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F" w:rsidRDefault="00B51032" w:rsidP="00B51032">
      <w:pPr>
        <w:jc w:val="center"/>
        <w:rPr>
          <w:b/>
        </w:rPr>
      </w:pPr>
      <w:bookmarkStart w:id="0" w:name="_GoBack"/>
      <w:bookmarkEnd w:id="0"/>
      <w:r w:rsidRPr="00B51032">
        <w:rPr>
          <w:b/>
        </w:rPr>
        <w:t xml:space="preserve">Using </w:t>
      </w:r>
      <w:r w:rsidR="009E71B4">
        <w:rPr>
          <w:b/>
        </w:rPr>
        <w:t>Uns</w:t>
      </w:r>
      <w:r w:rsidRPr="00B51032">
        <w:rPr>
          <w:b/>
        </w:rPr>
        <w:t>upervised Machine Learning to Construct Optimal Corporate High Yield Bond Portfolios</w:t>
      </w:r>
    </w:p>
    <w:p w:rsidR="00B51032" w:rsidRDefault="00B51032" w:rsidP="00B51032">
      <w:pPr>
        <w:rPr>
          <w:b/>
        </w:rPr>
      </w:pPr>
    </w:p>
    <w:p w:rsidR="00130D8C" w:rsidRDefault="00130D8C" w:rsidP="00B51032">
      <w:r>
        <w:rPr>
          <w:b/>
        </w:rPr>
        <w:t xml:space="preserve">Goal:  </w:t>
      </w:r>
      <w:r>
        <w:t xml:space="preserve">To build a relative risk neutral High Yield corporate bond portfolio using </w:t>
      </w:r>
      <w:r w:rsidR="00490A0E">
        <w:t>un</w:t>
      </w:r>
      <w:r>
        <w:t>supervised machine learning</w:t>
      </w:r>
      <w:r w:rsidR="00F65EF0">
        <w:t xml:space="preserve"> (convolutional deep neural network)</w:t>
      </w:r>
      <w:r>
        <w:t>.</w:t>
      </w:r>
    </w:p>
    <w:p w:rsidR="00130D8C" w:rsidRDefault="00130D8C" w:rsidP="00B51032"/>
    <w:p w:rsidR="00130D8C" w:rsidRPr="00130D8C" w:rsidRDefault="00130D8C" w:rsidP="00B51032">
      <w:pPr>
        <w:rPr>
          <w:b/>
        </w:rPr>
      </w:pPr>
      <w:r w:rsidRPr="00130D8C">
        <w:rPr>
          <w:b/>
        </w:rPr>
        <w:t>Subject Material:</w:t>
      </w:r>
    </w:p>
    <w:p w:rsidR="008D0616" w:rsidRDefault="00FA491E" w:rsidP="004E5793">
      <w:r>
        <w:t xml:space="preserve">High Yield </w:t>
      </w:r>
      <w:r w:rsidR="00056DE4">
        <w:t xml:space="preserve">corporate </w:t>
      </w:r>
      <w:r>
        <w:t xml:space="preserve">bond managers who use a </w:t>
      </w:r>
      <w:r w:rsidR="00130D8C">
        <w:t>“</w:t>
      </w:r>
      <w:r>
        <w:t>bottoms-up</w:t>
      </w:r>
      <w:r w:rsidR="00130D8C">
        <w:t>”</w:t>
      </w:r>
      <w:r w:rsidR="00B51032">
        <w:t xml:space="preserve"> approach to </w:t>
      </w:r>
      <w:r>
        <w:t xml:space="preserve">investing rely </w:t>
      </w:r>
      <w:r w:rsidR="00B51032">
        <w:t>on buying</w:t>
      </w:r>
      <w:r w:rsidR="00056DE4">
        <w:t xml:space="preserve"> or selling</w:t>
      </w:r>
      <w:r w:rsidR="00B51032">
        <w:t xml:space="preserve"> </w:t>
      </w:r>
      <w:r>
        <w:t>high yield corporate bonds</w:t>
      </w:r>
      <w:r w:rsidR="00B51032">
        <w:t xml:space="preserve"> that trade at a </w:t>
      </w:r>
      <w:r w:rsidR="00130D8C">
        <w:t xml:space="preserve">price </w:t>
      </w:r>
      <w:r w:rsidR="00056DE4">
        <w:t>below</w:t>
      </w:r>
      <w:r w:rsidR="00130D8C">
        <w:t xml:space="preserve"> or </w:t>
      </w:r>
      <w:r w:rsidR="00056DE4">
        <w:t>above</w:t>
      </w:r>
      <w:r w:rsidR="00130D8C">
        <w:t xml:space="preserve"> </w:t>
      </w:r>
      <w:r w:rsidR="00056DE4">
        <w:t>the credit’s intrinsic value based on the issuer</w:t>
      </w:r>
      <w:r w:rsidR="00E82DBA">
        <w:t>s</w:t>
      </w:r>
      <w:r w:rsidR="00056DE4">
        <w:t xml:space="preserve"> credit risk</w:t>
      </w:r>
      <w:r w:rsidR="00B51032">
        <w:t xml:space="preserve">. </w:t>
      </w:r>
      <w:r w:rsidR="00056DE4">
        <w:t xml:space="preserve">The yield, </w:t>
      </w:r>
      <w:r w:rsidR="002F6166">
        <w:t xml:space="preserve">or </w:t>
      </w:r>
      <w:r w:rsidR="00056DE4">
        <w:t xml:space="preserve">intrinsic value, of a high yield bond is determined by discounting the expected future cash flows to its present par value.  </w:t>
      </w:r>
      <w:r>
        <w:t xml:space="preserve">Assuming the </w:t>
      </w:r>
      <w:r w:rsidR="00056DE4">
        <w:t xml:space="preserve">price of a given high yield corporate bond </w:t>
      </w:r>
      <w:r>
        <w:t xml:space="preserve">is above or below </w:t>
      </w:r>
      <w:r w:rsidR="004E5793">
        <w:t>its</w:t>
      </w:r>
      <w:r>
        <w:t xml:space="preserve"> intrinsic </w:t>
      </w:r>
      <w:r w:rsidR="004E5793">
        <w:t>value</w:t>
      </w:r>
      <w:r>
        <w:t>, the fundamental analyst can buy or sell the associated bond and</w:t>
      </w:r>
      <w:r w:rsidR="00056DE4">
        <w:t>, assuming the issuer does not default,</w:t>
      </w:r>
      <w:r>
        <w:t xml:space="preserve"> profit from the spread</w:t>
      </w:r>
      <w:r w:rsidR="0045038F">
        <w:t xml:space="preserve"> between the two.</w:t>
      </w:r>
      <w:r>
        <w:t xml:space="preserve"> </w:t>
      </w:r>
      <w:r w:rsidR="004E5793">
        <w:t>However, as my colleagues Michael Kimble and Jakob Bak astutely pointed out, the prevailing model for thinking about corporate bonds has been derived from strategies that have bee</w:t>
      </w:r>
      <w:r w:rsidR="002F6166">
        <w:t>n effective for equity markets.</w:t>
      </w:r>
      <w:r w:rsidR="004E5793">
        <w:t xml:space="preserve"> </w:t>
      </w:r>
      <w:r w:rsidR="002F6166">
        <w:t>High Yield corporate</w:t>
      </w:r>
      <w:r w:rsidR="004E5793">
        <w:t xml:space="preserve"> bonds are different from equities and behave differently.  Equities possess unlimited upside potential, so picking just a few winners can offset a significant </w:t>
      </w:r>
      <w:r w:rsidR="00E82DBA">
        <w:t>number of losers.  Historically</w:t>
      </w:r>
      <w:r w:rsidR="004E5793">
        <w:t xml:space="preserve"> </w:t>
      </w:r>
      <w:r w:rsidR="00E82DBA">
        <w:t xml:space="preserve">looking over any twelve month period over, </w:t>
      </w:r>
      <w:r w:rsidR="004E5793">
        <w:t xml:space="preserve">the distribution of </w:t>
      </w:r>
      <w:r w:rsidR="00E82DBA">
        <w:t xml:space="preserve">equity </w:t>
      </w:r>
      <w:r w:rsidR="002F6166">
        <w:t xml:space="preserve">total </w:t>
      </w:r>
      <w:r w:rsidR="00E82DBA">
        <w:t xml:space="preserve">returns </w:t>
      </w:r>
      <w:r w:rsidR="002F6166">
        <w:t>are</w:t>
      </w:r>
      <w:r w:rsidR="00E82DBA">
        <w:t xml:space="preserve"> positively skewed</w:t>
      </w:r>
      <w:r w:rsidR="004E5793">
        <w:t xml:space="preserve">.  Therefore, conventional methods have a good chance of success.  High Yields bonds present a fundamentally different situation.  Upside potential is constrained as bond prices approach par.  Rare is the bond that produces a better than 20% total return relative to the rest of its cohort.  Losers of that magnitude are a much more common occurrence.  </w:t>
      </w:r>
      <w:r w:rsidR="00E82DBA">
        <w:t>Due to its fundamental structure, t</w:t>
      </w:r>
      <w:r w:rsidR="004E5793">
        <w:t xml:space="preserve">he </w:t>
      </w:r>
      <w:r w:rsidR="008D0616">
        <w:t xml:space="preserve">trailing twelve month total return </w:t>
      </w:r>
      <w:r w:rsidR="004E5793">
        <w:t xml:space="preserve">distribution </w:t>
      </w:r>
      <w:r w:rsidR="008D0616">
        <w:t xml:space="preserve">is leptokurtic (as shown in </w:t>
      </w:r>
      <w:r w:rsidR="005A0267">
        <w:t xml:space="preserve">the historical price distribution in </w:t>
      </w:r>
      <w:r w:rsidR="008D0616">
        <w:t>figure 1)</w:t>
      </w:r>
      <w:r w:rsidR="004E5793">
        <w:t>.</w:t>
      </w:r>
      <w:r w:rsidR="00E82DBA">
        <w:t xml:space="preserve">  As such, the bonds you do not own are more important than the ones you do.</w:t>
      </w:r>
    </w:p>
    <w:p w:rsidR="008D0616" w:rsidRDefault="005A0267" w:rsidP="004E5793">
      <w:r w:rsidRPr="00A84B5A">
        <w:rPr>
          <w:noProof/>
        </w:rPr>
        <w:drawing>
          <wp:inline distT="0" distB="0" distL="0" distR="0" wp14:anchorId="356A3041" wp14:editId="45C9EE5A">
            <wp:extent cx="4699122" cy="31146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2069" cy="3116628"/>
                    </a:xfrm>
                    <a:prstGeom prst="rect">
                      <a:avLst/>
                    </a:prstGeom>
                    <a:noFill/>
                    <a:ln>
                      <a:noFill/>
                    </a:ln>
                  </pic:spPr>
                </pic:pic>
              </a:graphicData>
            </a:graphic>
          </wp:inline>
        </w:drawing>
      </w:r>
    </w:p>
    <w:p w:rsidR="00F6746A" w:rsidRDefault="00E82DBA" w:rsidP="00E82DBA">
      <w:r>
        <w:lastRenderedPageBreak/>
        <w:t>Th</w:t>
      </w:r>
      <w:r w:rsidR="00294F80">
        <w:t>e goal of this project</w:t>
      </w:r>
      <w:r>
        <w:t xml:space="preserve"> </w:t>
      </w:r>
      <w:r w:rsidR="00294F80">
        <w:t>will be to develop</w:t>
      </w:r>
      <w:r>
        <w:t xml:space="preserve"> a new appro</w:t>
      </w:r>
      <w:r w:rsidR="00294F80">
        <w:t>ach to bond investment strategy</w:t>
      </w:r>
      <w:r>
        <w:t xml:space="preserve"> </w:t>
      </w:r>
      <w:r w:rsidR="00294F80">
        <w:t xml:space="preserve">by </w:t>
      </w:r>
      <w:r w:rsidR="002F6166">
        <w:t xml:space="preserve">training a deep neural network </w:t>
      </w:r>
      <w:r w:rsidR="00294F80">
        <w:t>algorithm to rank the credit risk of a given high yield issuer relative to its cohort</w:t>
      </w:r>
      <w:r>
        <w:t xml:space="preserve">.  </w:t>
      </w:r>
      <w:r w:rsidR="00F6746A">
        <w:t xml:space="preserve">For issuers whose financial statements are not public, I will assume that the market is efficiently capturing the credit risk of the issuer and use its option adjusted spread. </w:t>
      </w:r>
      <w:r>
        <w:t xml:space="preserve">I do not believe, however, that </w:t>
      </w:r>
      <w:r w:rsidR="00F6746A">
        <w:t>using a training set</w:t>
      </w:r>
      <w:r>
        <w:t xml:space="preserve"> of </w:t>
      </w:r>
      <w:r w:rsidR="00F6746A">
        <w:t>backward-looking financial ratios</w:t>
      </w:r>
      <w:r>
        <w:t xml:space="preserve"> will result in</w:t>
      </w:r>
      <w:r w:rsidR="00F6746A">
        <w:t xml:space="preserve"> optimal credit risk ranking for any particular point in time</w:t>
      </w:r>
      <w:r>
        <w:t>.</w:t>
      </w:r>
      <w:r w:rsidR="00F6746A">
        <w:t xml:space="preserve">  Regardless of the algorithm being used, any machine learning technique depends on the depth and usefulness of information in its training set.  As such, </w:t>
      </w:r>
      <w:r w:rsidR="008D0616">
        <w:t xml:space="preserve">I will be using a database that I am currently building which has </w:t>
      </w:r>
      <w:r w:rsidR="005A0267">
        <w:t xml:space="preserve">40 different financial metrics that captures information about a company’s capital structure, profitability and how effective it is in using new “money” (new issued debt or free cash flow) to generate returns, leverage, debt service ability, cost of capital, and </w:t>
      </w:r>
      <w:r w:rsidR="009938BC">
        <w:t>(</w:t>
      </w:r>
      <w:r w:rsidR="005A0267">
        <w:t xml:space="preserve">assuming </w:t>
      </w:r>
      <w:r w:rsidR="00F138AE">
        <w:t>the size (total assets), income (EBIT), and cost of capital (debt &amp; equity) remain constant over the next twelve months</w:t>
      </w:r>
      <w:r w:rsidR="00DF672C">
        <w:t>)</w:t>
      </w:r>
      <w:r w:rsidR="00F138AE">
        <w:t xml:space="preserve"> how much new money can be created before it’s cost of capital exceeds its return on capital.  I’m gathering this information by using </w:t>
      </w:r>
      <w:proofErr w:type="spellStart"/>
      <w:r w:rsidR="00F138AE">
        <w:t>Factset</w:t>
      </w:r>
      <w:proofErr w:type="spellEnd"/>
      <w:r w:rsidR="00F138AE">
        <w:t xml:space="preserve">, Bloomberg, &amp; </w:t>
      </w:r>
      <w:proofErr w:type="spellStart"/>
      <w:r w:rsidR="00F138AE">
        <w:t>Compustat</w:t>
      </w:r>
      <w:proofErr w:type="spellEnd"/>
      <w:r w:rsidR="00F138AE">
        <w:t xml:space="preserve"> to pull information on public investment grade and high yield corporate debt issuers from 12/31/1996 – 10/31/2016</w:t>
      </w:r>
      <w:r w:rsidR="00C101CF">
        <w:t xml:space="preserve"> on a monthly basis.</w:t>
      </w:r>
    </w:p>
    <w:p w:rsidR="004B4B87" w:rsidRPr="00F6746A" w:rsidRDefault="00C101CF" w:rsidP="00E82DBA">
      <w:r>
        <w:t>Regardless of how effective this technique will be, f</w:t>
      </w:r>
      <w:r w:rsidR="00E82DBA">
        <w:t>undamental analysis remains critically important</w:t>
      </w:r>
      <w:r>
        <w:t xml:space="preserve"> for any high yield bond strategy</w:t>
      </w:r>
      <w:r w:rsidR="00E82DBA">
        <w:t xml:space="preserve">.  </w:t>
      </w:r>
      <w:r w:rsidR="002F6166">
        <w:t>A c</w:t>
      </w:r>
      <w:r w:rsidR="00E82DBA">
        <w:t xml:space="preserve">onstantly shifting landscape, accounting rule changes, economic and competitive pressures, and structural adjustments in the market preclude a formulaic approach to bond analysis.  </w:t>
      </w:r>
      <w:r w:rsidR="00F6746A">
        <w:t>H</w:t>
      </w:r>
      <w:r w:rsidR="00E82DBA">
        <w:t xml:space="preserve">owever, </w:t>
      </w:r>
      <w:r w:rsidR="002F6166">
        <w:t>training a deep neural network algorithm</w:t>
      </w:r>
      <w:r w:rsidR="00E82DBA">
        <w:t xml:space="preserve"> </w:t>
      </w:r>
      <w:r w:rsidR="004B4B87">
        <w:t xml:space="preserve">to rank the credit risk of a given high yield issuer </w:t>
      </w:r>
      <w:r w:rsidR="00E82DBA">
        <w:t>can be effectively deployed when the focal point of the process is avoiding losses, rather than hitting big winners.</w:t>
      </w:r>
      <w:r>
        <w:t xml:space="preserve"> High yield fixed income team resources can thus focus on incorporating private issuer fundamental information into the training set and assess whether new or possibly more forward looking measures can be added to the training set to increase the effectiveness of the issuer credit </w:t>
      </w:r>
      <w:r w:rsidR="004B4B87">
        <w:t>risk ranking.  In a world of increasing quantity of information and disparate financial datasets, being able to build a system that systematically make sense of all this information can separate one from the pack.</w:t>
      </w:r>
    </w:p>
    <w:sectPr w:rsidR="004B4B87" w:rsidRPr="00F6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28"/>
    <w:rsid w:val="00056DE4"/>
    <w:rsid w:val="00083294"/>
    <w:rsid w:val="00130D8C"/>
    <w:rsid w:val="001A3A28"/>
    <w:rsid w:val="001A44D7"/>
    <w:rsid w:val="00294F80"/>
    <w:rsid w:val="002F6166"/>
    <w:rsid w:val="0045038F"/>
    <w:rsid w:val="00490A0E"/>
    <w:rsid w:val="004B4B87"/>
    <w:rsid w:val="004E5793"/>
    <w:rsid w:val="005A0267"/>
    <w:rsid w:val="00786DD7"/>
    <w:rsid w:val="008D0616"/>
    <w:rsid w:val="009938BC"/>
    <w:rsid w:val="009E71B4"/>
    <w:rsid w:val="00B51032"/>
    <w:rsid w:val="00C101CF"/>
    <w:rsid w:val="00D53F25"/>
    <w:rsid w:val="00DF672C"/>
    <w:rsid w:val="00E82DBA"/>
    <w:rsid w:val="00F138AE"/>
    <w:rsid w:val="00F65EF0"/>
    <w:rsid w:val="00F6746A"/>
    <w:rsid w:val="00FA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D32DA-FDF7-41C4-92DC-BE5BDC8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5</cp:revision>
  <dcterms:created xsi:type="dcterms:W3CDTF">2016-11-04T18:25:00Z</dcterms:created>
  <dcterms:modified xsi:type="dcterms:W3CDTF">2017-02-23T04:12:00Z</dcterms:modified>
</cp:coreProperties>
</file>