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DE0" w:rsidRPr="00591DE0" w:rsidRDefault="00591DE0">
      <w:pPr>
        <w:rPr>
          <w:b/>
          <w:sz w:val="28"/>
          <w:szCs w:val="28"/>
          <w:u w:val="single"/>
        </w:rPr>
      </w:pPr>
      <w:bookmarkStart w:id="0" w:name="_GoBack"/>
      <w:bookmarkEnd w:id="0"/>
      <w:r w:rsidRPr="00591DE0">
        <w:rPr>
          <w:b/>
          <w:sz w:val="28"/>
          <w:szCs w:val="28"/>
          <w:u w:val="single"/>
        </w:rPr>
        <w:t>Recent Evolution of Distressed Exchange Offers</w:t>
      </w:r>
    </w:p>
    <w:p w:rsidR="004053B5" w:rsidRDefault="006C3911">
      <w:r>
        <w:t xml:space="preserve">The </w:t>
      </w:r>
      <w:r w:rsidR="00BA3BAA">
        <w:t>number</w:t>
      </w:r>
      <w:r w:rsidR="004053B5">
        <w:t xml:space="preserve"> and proportion</w:t>
      </w:r>
      <w:r>
        <w:t xml:space="preserve"> of distressed exchanges</w:t>
      </w:r>
      <w:r w:rsidR="002545A6">
        <w:t xml:space="preserve"> </w:t>
      </w:r>
      <w:r w:rsidR="004053B5">
        <w:t xml:space="preserve">relative to the total number of defaults </w:t>
      </w:r>
      <w:r>
        <w:t>in the U.S. is</w:t>
      </w:r>
      <w:r w:rsidR="00EF3316">
        <w:t xml:space="preserve"> </w:t>
      </w:r>
      <w:r>
        <w:t>rising</w:t>
      </w:r>
      <w:r w:rsidR="00BA3BAA">
        <w:t xml:space="preserve"> </w:t>
      </w:r>
      <w:r w:rsidR="00BA3BAA">
        <w:t>(</w:t>
      </w:r>
      <w:r w:rsidR="00196BCB">
        <w:t xml:space="preserve">Chart </w:t>
      </w:r>
      <w:r w:rsidR="00BA3BAA">
        <w:t>1)</w:t>
      </w:r>
      <w:r>
        <w:t xml:space="preserve">.  </w:t>
      </w:r>
      <w:r w:rsidR="002545A6">
        <w:t>Over the past 12-18 months, t</w:t>
      </w:r>
      <w:r>
        <w:t>h</w:t>
      </w:r>
      <w:r w:rsidR="002545A6">
        <w:t>e</w:t>
      </w:r>
      <w:r>
        <w:t xml:space="preserve"> </w:t>
      </w:r>
      <w:r w:rsidR="00217F1D">
        <w:t xml:space="preserve">increase in </w:t>
      </w:r>
      <w:r w:rsidR="00FC0916">
        <w:t>distressed exchanges</w:t>
      </w:r>
      <w:r>
        <w:t xml:space="preserve"> </w:t>
      </w:r>
      <w:r w:rsidR="00FC0916">
        <w:t>was</w:t>
      </w:r>
      <w:r w:rsidR="00897D16">
        <w:t xml:space="preserve"> </w:t>
      </w:r>
      <w:r>
        <w:t xml:space="preserve">driven by the </w:t>
      </w:r>
      <w:r w:rsidR="00217F1D">
        <w:t>drop in</w:t>
      </w:r>
      <w:r>
        <w:t xml:space="preserve"> commodity prices on </w:t>
      </w:r>
      <w:r w:rsidR="00897D16">
        <w:t xml:space="preserve">commodity dependent </w:t>
      </w:r>
      <w:r>
        <w:t>companies.</w:t>
      </w:r>
      <w:r w:rsidR="00897D16">
        <w:t xml:space="preserve">  </w:t>
      </w:r>
      <w:r w:rsidR="00835190">
        <w:t>Typically, a</w:t>
      </w:r>
      <w:r w:rsidR="00897D16">
        <w:t xml:space="preserve"> distressed exchange occurs when </w:t>
      </w:r>
      <w:r w:rsidR="00835190">
        <w:t xml:space="preserve">a company offers </w:t>
      </w:r>
      <w:r w:rsidR="00835190" w:rsidRPr="00835190">
        <w:t xml:space="preserve">creditors new or restructured debt that amounts to a </w:t>
      </w:r>
      <w:r w:rsidR="00835190">
        <w:t>smaller</w:t>
      </w:r>
      <w:r w:rsidR="00835190" w:rsidRPr="00835190">
        <w:t xml:space="preserve"> financial obligation relative to the original obligation. </w:t>
      </w:r>
      <w:r w:rsidR="002545A6">
        <w:t>However, d</w:t>
      </w:r>
      <w:r w:rsidR="00835190">
        <w:t xml:space="preserve">istressed exchanges can also </w:t>
      </w:r>
      <w:r w:rsidR="002545A6">
        <w:t xml:space="preserve">result from a </w:t>
      </w:r>
      <w:r w:rsidR="002545A6">
        <w:t xml:space="preserve">reduction of the effective interest rate on the debt, a subordination of claims, </w:t>
      </w:r>
      <w:r w:rsidR="002545A6">
        <w:t xml:space="preserve">or </w:t>
      </w:r>
      <w:r w:rsidR="002545A6">
        <w:t>an extension of time to repay the deb</w:t>
      </w:r>
      <w:r w:rsidR="002545A6">
        <w:t xml:space="preserve">t.  </w:t>
      </w:r>
      <w:r w:rsidR="00835190" w:rsidRPr="00835190">
        <w:t>In doing so, a company can avoid a bankruptcy or push it off until market conditions improve.</w:t>
      </w:r>
      <w:r w:rsidR="00BA3BAA">
        <w:t xml:space="preserve">  In</w:t>
      </w:r>
      <w:r w:rsidR="004053B5">
        <w:t xml:space="preserve"> 2015, </w:t>
      </w:r>
      <w:r w:rsidR="00BA3BAA">
        <w:t>distressed exchanges</w:t>
      </w:r>
      <w:r w:rsidR="004053B5">
        <w:t xml:space="preserve"> represented 21 of 48 U</w:t>
      </w:r>
      <w:r w:rsidR="00591DE0">
        <w:t>.</w:t>
      </w:r>
      <w:r w:rsidR="004053B5">
        <w:t>S</w:t>
      </w:r>
      <w:r w:rsidR="00591DE0">
        <w:t>.</w:t>
      </w:r>
      <w:r w:rsidR="004053B5">
        <w:t xml:space="preserve"> corporate defaults, or 43.8%, compared with an average of about 22% of total US default</w:t>
      </w:r>
      <w:r w:rsidR="00BA3BAA">
        <w:t>s from 1988 through 2015.</w:t>
      </w:r>
    </w:p>
    <w:p w:rsidR="00BA3BAA" w:rsidRPr="00591DE0" w:rsidRDefault="00196BCB">
      <w:pPr>
        <w:rPr>
          <w:b/>
          <w:sz w:val="18"/>
          <w:szCs w:val="18"/>
          <w:u w:val="single"/>
        </w:rPr>
      </w:pPr>
      <w:r w:rsidRPr="00591DE0">
        <w:rPr>
          <w:b/>
          <w:sz w:val="18"/>
          <w:szCs w:val="18"/>
          <w:u w:val="single"/>
        </w:rPr>
        <w:t>Chart 1</w:t>
      </w:r>
    </w:p>
    <w:p w:rsidR="00BA3BAA" w:rsidRDefault="00196BCB">
      <w:r>
        <w:rPr>
          <w:noProof/>
        </w:rPr>
        <w:drawing>
          <wp:inline distT="0" distB="0" distL="0" distR="0" wp14:anchorId="5943367C" wp14:editId="6E0DC45D">
            <wp:extent cx="6267450" cy="2027547"/>
            <wp:effectExtent l="0" t="0" r="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8758" t="36303" r="30252" b="41534"/>
                    <a:stretch/>
                  </pic:blipFill>
                  <pic:spPr bwMode="auto">
                    <a:xfrm>
                      <a:off x="0" y="0"/>
                      <a:ext cx="6267450" cy="2027547"/>
                    </a:xfrm>
                    <a:prstGeom prst="rect">
                      <a:avLst/>
                    </a:prstGeom>
                    <a:noFill/>
                    <a:ln>
                      <a:noFill/>
                    </a:ln>
                    <a:extLst/>
                  </pic:spPr>
                </pic:pic>
              </a:graphicData>
            </a:graphic>
          </wp:inline>
        </w:drawing>
      </w:r>
    </w:p>
    <w:p w:rsidR="00BA3BAA" w:rsidRDefault="00BA3BAA"/>
    <w:p w:rsidR="00BA3BAA" w:rsidRDefault="00BA3BAA">
      <w:r>
        <w:t>T</w:t>
      </w:r>
      <w:r>
        <w:t xml:space="preserve">he largest </w:t>
      </w:r>
      <w:r>
        <w:t>numbers of distressed exchanges occur</w:t>
      </w:r>
      <w:r>
        <w:t xml:space="preserve"> during default cycles, both in absolute numbers and as a percentage of all defaults. </w:t>
      </w:r>
      <w:r>
        <w:t>Distressed exchanges</w:t>
      </w:r>
      <w:r>
        <w:t xml:space="preserve"> are intended to buy time to avoid or delay bankruptcy, until improvement in either the company's operating conditions or the industry or macro environment make one unnecessary. In the best case, they can help overleveraged firms reduce debt just enough to stay solvent and avoid bankruptcy. But, they can also preserve value simply by pushing off a bankruptcy from the depths of a default cycle to a more benign environment.</w:t>
      </w:r>
    </w:p>
    <w:p w:rsidR="00591DE0" w:rsidRDefault="00591DE0"/>
    <w:p w:rsidR="00591DE0" w:rsidRPr="00591DE0" w:rsidRDefault="00591DE0">
      <w:pPr>
        <w:rPr>
          <w:b/>
          <w:sz w:val="28"/>
          <w:szCs w:val="28"/>
          <w:u w:val="single"/>
        </w:rPr>
      </w:pPr>
      <w:r w:rsidRPr="00591DE0">
        <w:rPr>
          <w:b/>
          <w:sz w:val="28"/>
          <w:szCs w:val="28"/>
          <w:u w:val="single"/>
        </w:rPr>
        <w:t>Distressed Exchanges in the Energy Sector</w:t>
      </w:r>
    </w:p>
    <w:p w:rsidR="00E36FAC" w:rsidRDefault="00BA3BAA">
      <w:r>
        <w:t>The E</w:t>
      </w:r>
      <w:r>
        <w:t xml:space="preserve">xploration and </w:t>
      </w:r>
      <w:r>
        <w:t>P</w:t>
      </w:r>
      <w:r>
        <w:t>roduction</w:t>
      </w:r>
      <w:r>
        <w:t xml:space="preserve"> </w:t>
      </w:r>
      <w:r>
        <w:t>of Oil</w:t>
      </w:r>
      <w:r w:rsidR="00D9593B">
        <w:t xml:space="preserve"> (E&amp;P)</w:t>
      </w:r>
      <w:r>
        <w:t xml:space="preserve"> </w:t>
      </w:r>
      <w:r>
        <w:t>sector has seen a surge of distressed exchanges, with creditors now willing to swap principal to improve their payment-priority position in the midst of a protracted slump in commodity prices. In most instances, creditors have been swapping senior unsecured debt for smaller amounts of secured debt, with second or third liens</w:t>
      </w:r>
      <w:r w:rsidR="00E36FAC">
        <w:t xml:space="preserve">.  </w:t>
      </w:r>
      <w:r w:rsidR="00E36FAC">
        <w:t xml:space="preserve">If successful, this lessens the probability of default for the issuer, in addition to </w:t>
      </w:r>
      <w:r w:rsidR="00E36FAC">
        <w:t xml:space="preserve">increasing the recovery rate (assuming </w:t>
      </w:r>
      <w:r w:rsidR="00E36FAC">
        <w:t>the new security ranks higher in repayment priority</w:t>
      </w:r>
      <w:r w:rsidR="00E36FAC">
        <w:t xml:space="preserve">) </w:t>
      </w:r>
      <w:r w:rsidR="00E36FAC">
        <w:t xml:space="preserve">for the new debt versus the exchanged instrument. </w:t>
      </w:r>
      <w:r w:rsidR="00E36FAC">
        <w:t xml:space="preserve"> </w:t>
      </w:r>
      <w:r w:rsidR="00E36FAC">
        <w:t xml:space="preserve">If </w:t>
      </w:r>
      <w:r w:rsidR="00E36FAC">
        <w:lastRenderedPageBreak/>
        <w:t>the only improvement is that the new debt is secu</w:t>
      </w:r>
      <w:r w:rsidR="00E36FAC">
        <w:t xml:space="preserve">red by a second or third lien, versus being unsecured, </w:t>
      </w:r>
      <w:r w:rsidR="00E36FAC">
        <w:t xml:space="preserve">but remains at the same relative rank on the balance sheet, then the improvement in ultimate recovery is negligible. </w:t>
      </w:r>
      <w:r w:rsidR="00E36FAC">
        <w:t xml:space="preserve"> </w:t>
      </w:r>
    </w:p>
    <w:p w:rsidR="00BA3BAA" w:rsidRDefault="00E36FAC">
      <w:r>
        <w:t xml:space="preserve">The current spate of E&amp;P distressed exchanges offers an interesting example of behavior when an entire industry segment is under stress (see </w:t>
      </w:r>
      <w:r w:rsidR="00D9593B">
        <w:t>Table 1</w:t>
      </w:r>
      <w:r>
        <w:t>)</w:t>
      </w:r>
      <w:r w:rsidR="00D9593B">
        <w:t>.</w:t>
      </w:r>
      <w:r>
        <w:t xml:space="preserve"> </w:t>
      </w:r>
      <w:r w:rsidR="00D9593B">
        <w:t xml:space="preserve"> </w:t>
      </w:r>
      <w:r w:rsidR="00B52E81">
        <w:t>The below table shows global U.S. dollar denominated distressed exchanges of high yield issuers since the beginning of 2015.</w:t>
      </w:r>
      <w:r w:rsidR="0078306F">
        <w:t xml:space="preserve">  The total par amount of distressed exchange offers was $</w:t>
      </w:r>
      <w:r w:rsidR="00E766CE">
        <w:t>17.5</w:t>
      </w:r>
      <w:r w:rsidR="0078306F">
        <w:t xml:space="preserve"> billion.  Over this time period, </w:t>
      </w:r>
      <w:r w:rsidR="00E766CE">
        <w:t>69%</w:t>
      </w:r>
      <w:r w:rsidR="0078306F">
        <w:t xml:space="preserve"> of distressed exchanges were from issuers in a commodity industry.</w:t>
      </w:r>
      <w:r w:rsidR="00E766CE">
        <w:t xml:space="preserve"> Just to add color to a few notable distressed exchanges, </w:t>
      </w:r>
      <w:proofErr w:type="spellStart"/>
      <w:r w:rsidR="00E766CE">
        <w:t>Halcon</w:t>
      </w:r>
      <w:proofErr w:type="spellEnd"/>
      <w:r w:rsidR="00E766CE">
        <w:t xml:space="preserve"> Resources (highlighted in yellow) had two distressed exchanges, in May and June, last year.  The first distressed exchange offer was $227 million senior unsecured notes for </w:t>
      </w:r>
      <w:proofErr w:type="spellStart"/>
      <w:r w:rsidR="00E766CE">
        <w:t>Halcon</w:t>
      </w:r>
      <w:proofErr w:type="spellEnd"/>
      <w:r w:rsidR="00E766CE">
        <w:t xml:space="preserve"> common equity and the second exchange was for $1.57 billion existing senior unsecured notes for </w:t>
      </w:r>
      <w:r w:rsidR="006348DF">
        <w:t xml:space="preserve">$1.02 billion senior secured third lien notes.  Also, </w:t>
      </w:r>
      <w:proofErr w:type="spellStart"/>
      <w:r w:rsidR="006348DF">
        <w:t>Exco</w:t>
      </w:r>
      <w:proofErr w:type="spellEnd"/>
      <w:r w:rsidR="006348DF">
        <w:t xml:space="preserve"> Resources (highlighted in red), had a distressed exchange in October for $577 million of its existing unsecured notes for $291 million of new second lien debt.</w:t>
      </w:r>
    </w:p>
    <w:p w:rsidR="00B52E81" w:rsidRPr="00591DE0" w:rsidRDefault="00B52E81">
      <w:pPr>
        <w:rPr>
          <w:b/>
          <w:sz w:val="18"/>
          <w:szCs w:val="18"/>
          <w:u w:val="single"/>
        </w:rPr>
      </w:pPr>
      <w:r w:rsidRPr="00591DE0">
        <w:rPr>
          <w:b/>
          <w:sz w:val="18"/>
          <w:szCs w:val="18"/>
          <w:u w:val="single"/>
        </w:rPr>
        <w:t>Table 1</w:t>
      </w:r>
    </w:p>
    <w:p w:rsidR="00B52E81" w:rsidRDefault="006348DF">
      <w:r w:rsidRPr="006348DF">
        <w:drawing>
          <wp:inline distT="0" distB="0" distL="0" distR="0" wp14:anchorId="42281238" wp14:editId="164FCF01">
            <wp:extent cx="6249143" cy="380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246" cy="3805403"/>
                    </a:xfrm>
                    <a:prstGeom prst="rect">
                      <a:avLst/>
                    </a:prstGeom>
                    <a:noFill/>
                    <a:ln>
                      <a:noFill/>
                    </a:ln>
                  </pic:spPr>
                </pic:pic>
              </a:graphicData>
            </a:graphic>
          </wp:inline>
        </w:drawing>
      </w:r>
    </w:p>
    <w:p w:rsidR="00B52E81" w:rsidRDefault="00B52E81"/>
    <w:p w:rsidR="00B52E81" w:rsidRDefault="00B52E81">
      <w:r>
        <w:t xml:space="preserve">Many E&amp;P companies raised cash in early 2015 through the issuance of equity, unsecured debt and even secured debt (stressed high yield issuers), with that cash going to fund operations, capital expenditures and wait out the downturn. Lower oil prices reduce companies' borrowing bases, since asset values are based on discounted cash flow analysis, which banks use to determine revolver borrowing base </w:t>
      </w:r>
      <w:r>
        <w:lastRenderedPageBreak/>
        <w:t>availability, usually every six months. As commodity hedges roll off and as commodity prices continue to stay low, banks will reduce the borrowing base of high yield E&amp;P companies. If this occurs, recovery rates for new secured debt tranches that replaced unsecured debt in distressed exchanges will improve, assuming there is less senior secured debt above.</w:t>
      </w:r>
    </w:p>
    <w:p w:rsidR="00591DE0" w:rsidRDefault="00591DE0"/>
    <w:p w:rsidR="00591DE0" w:rsidRPr="00591DE0" w:rsidRDefault="00591DE0">
      <w:pPr>
        <w:rPr>
          <w:b/>
          <w:sz w:val="28"/>
          <w:szCs w:val="28"/>
          <w:u w:val="single"/>
        </w:rPr>
      </w:pPr>
      <w:r w:rsidRPr="00591DE0">
        <w:rPr>
          <w:b/>
          <w:sz w:val="28"/>
          <w:szCs w:val="28"/>
          <w:u w:val="single"/>
        </w:rPr>
        <w:t>Second Time a Charm for Creditors?</w:t>
      </w:r>
    </w:p>
    <w:p w:rsidR="00B52E81" w:rsidRDefault="00670963">
      <w:r>
        <w:t>On a historical basis, w</w:t>
      </w:r>
      <w:r>
        <w:t>o</w:t>
      </w:r>
      <w:r>
        <w:t>uld</w:t>
      </w:r>
      <w:r>
        <w:t xml:space="preserve"> the </w:t>
      </w:r>
      <w:r>
        <w:t xml:space="preserve">recovery rate on the </w:t>
      </w:r>
      <w:r>
        <w:t>original exchanged debt fared better had a compa</w:t>
      </w:r>
      <w:r>
        <w:t xml:space="preserve">ny simply declared bankruptcy </w:t>
      </w:r>
      <w:r>
        <w:t>instead of consummating a distressed exchange first and then suffering a subsequent bankru</w:t>
      </w:r>
      <w:r>
        <w:t xml:space="preserve">ptcy?  According to Moody’s, </w:t>
      </w:r>
      <w:r>
        <w:t xml:space="preserve"> </w:t>
      </w:r>
      <w:r>
        <w:t xml:space="preserve">they </w:t>
      </w:r>
      <w:r>
        <w:t xml:space="preserve">examined 20 defaulted issuers in the Ultimate Recovery Database </w:t>
      </w:r>
      <w:r w:rsidR="00591DE0">
        <w:t xml:space="preserve">between 1988 and 2015 </w:t>
      </w:r>
      <w:r>
        <w:t>that had senior unsecured and subordinated bonds affected in the first round of distressed exchanges, and then were also part of a bankruptcy filing. Those were compared with recovery rates of similarly positioned unsecured and subordinated debt instruments that went through a bankruptcy only once. The debt cred</w:t>
      </w:r>
      <w:r w:rsidR="00196BCB">
        <w:t>itors benefited more from a one-</w:t>
      </w:r>
      <w:r>
        <w:t>time default, whether it was a distressed exchange or a bankruptcy, but certainly realized higher recoveries in the case of distressed exchanges. However, when a company started off fixing its problems with a distressed exchange and subsequently filed for a bankruptcy protection, its senior unsecured and subordinated bonds, on average, realized much worse recoveries</w:t>
      </w:r>
      <w:r w:rsidR="00196BCB">
        <w:t xml:space="preserve"> (Chart 2)</w:t>
      </w:r>
      <w:r>
        <w:t>.</w:t>
      </w:r>
    </w:p>
    <w:p w:rsidR="00670963" w:rsidRPr="00591DE0" w:rsidRDefault="00196BCB">
      <w:pPr>
        <w:rPr>
          <w:b/>
          <w:sz w:val="18"/>
          <w:szCs w:val="18"/>
          <w:u w:val="single"/>
        </w:rPr>
      </w:pPr>
      <w:r w:rsidRPr="00591DE0">
        <w:rPr>
          <w:b/>
          <w:sz w:val="18"/>
          <w:szCs w:val="18"/>
          <w:u w:val="single"/>
        </w:rPr>
        <w:t>Chart 2</w:t>
      </w:r>
    </w:p>
    <w:p w:rsidR="00670963" w:rsidRDefault="00670963">
      <w:r w:rsidRPr="00670963">
        <w:drawing>
          <wp:inline distT="0" distB="0" distL="0" distR="0" wp14:anchorId="25ADACB7" wp14:editId="12C79D62">
            <wp:extent cx="6334545" cy="1133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4545" cy="1133475"/>
                    </a:xfrm>
                    <a:prstGeom prst="rect">
                      <a:avLst/>
                    </a:prstGeom>
                    <a:noFill/>
                    <a:ln>
                      <a:noFill/>
                    </a:ln>
                  </pic:spPr>
                </pic:pic>
              </a:graphicData>
            </a:graphic>
          </wp:inline>
        </w:drawing>
      </w:r>
    </w:p>
    <w:p w:rsidR="00557687" w:rsidRDefault="00557687"/>
    <w:p w:rsidR="003D0B08" w:rsidRDefault="00981E54">
      <w:r>
        <w:t>It is also worth pointing out that recovery rates from 2014 to 2015 were lower (Chart 3).  Chart 3 presents average recovery rates, measured by trading prices, for debt defaulted in the past two years.  Except for distressed exchanges, recovery rates for defaulted debt equal the average trading price over 30 days after the default.  For distressed exchanges, the recovery rate equals the price on the exchange date.  On a volume weighted basis, the recovery rate for Senior Unsecured Bonds declined from 40.8% to 33.3%.  Also, the recovery ra</w:t>
      </w:r>
      <w:r w:rsidR="00557687">
        <w:t>te for Senior Subordinated Debt</w:t>
      </w:r>
      <w:r>
        <w:t xml:space="preserve"> declined from 24.3% to </w:t>
      </w:r>
      <w:r w:rsidR="00557687">
        <w:t>20.3%.</w:t>
      </w:r>
    </w:p>
    <w:p w:rsidR="00C71325" w:rsidRDefault="00C71325"/>
    <w:p w:rsidR="00C71325" w:rsidRDefault="00C71325"/>
    <w:p w:rsidR="00C71325" w:rsidRDefault="00C71325"/>
    <w:p w:rsidR="00C71325" w:rsidRDefault="00C71325">
      <w:pPr>
        <w:rPr>
          <w:b/>
          <w:sz w:val="18"/>
          <w:szCs w:val="18"/>
          <w:u w:val="single"/>
        </w:rPr>
      </w:pPr>
    </w:p>
    <w:p w:rsidR="00C71325" w:rsidRPr="00C71325" w:rsidRDefault="00C71325">
      <w:pPr>
        <w:rPr>
          <w:b/>
          <w:sz w:val="18"/>
          <w:szCs w:val="18"/>
          <w:u w:val="single"/>
        </w:rPr>
      </w:pPr>
      <w:r w:rsidRPr="00C71325">
        <w:rPr>
          <w:b/>
          <w:sz w:val="18"/>
          <w:szCs w:val="18"/>
          <w:u w:val="single"/>
        </w:rPr>
        <w:lastRenderedPageBreak/>
        <w:t>Chart 3</w:t>
      </w:r>
    </w:p>
    <w:p w:rsidR="00557687" w:rsidRDefault="00C71325">
      <w:r>
        <w:rPr>
          <w:noProof/>
        </w:rPr>
        <mc:AlternateContent>
          <mc:Choice Requires="wps">
            <w:drawing>
              <wp:anchor distT="0" distB="0" distL="114300" distR="114300" simplePos="0" relativeHeight="251659264" behindDoc="0" locked="0" layoutInCell="1" allowOverlap="1" wp14:anchorId="299BDA74" wp14:editId="51DE77C3">
                <wp:simplePos x="0" y="0"/>
                <wp:positionH relativeFrom="column">
                  <wp:posOffset>-161925</wp:posOffset>
                </wp:positionH>
                <wp:positionV relativeFrom="paragraph">
                  <wp:posOffset>0</wp:posOffset>
                </wp:positionV>
                <wp:extent cx="762000" cy="228600"/>
                <wp:effectExtent l="0" t="0" r="19050" b="19050"/>
                <wp:wrapNone/>
                <wp:docPr id="7" name="Rectangle 4"/>
                <wp:cNvGraphicFramePr/>
                <a:graphic xmlns:a="http://schemas.openxmlformats.org/drawingml/2006/main">
                  <a:graphicData uri="http://schemas.microsoft.com/office/word/2010/wordprocessingShape">
                    <wps:wsp>
                      <wps:cNvSpPr/>
                      <wps:spPr>
                        <a:xfrm>
                          <a:off x="0" y="0"/>
                          <a:ext cx="7620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2.75pt;margin-top:0;width:60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" fillcolor="white [3212]" strokecolor="white [3212]" strokeweight="2pt"/>
            </w:pict>
          </mc:Fallback>
        </mc:AlternateContent>
      </w:r>
      <w:r>
        <w:rPr>
          <w:noProof/>
        </w:rPr>
        <w:drawing>
          <wp:inline distT="0" distB="0" distL="0" distR="0" wp14:anchorId="07C9F091" wp14:editId="691E9B3A">
            <wp:extent cx="5400136" cy="4942937"/>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37552" t="23503" r="28861" b="25117"/>
                    <a:stretch/>
                  </pic:blipFill>
                  <pic:spPr bwMode="auto">
                    <a:xfrm>
                      <a:off x="0" y="0"/>
                      <a:ext cx="5400136" cy="494293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D0B08" w:rsidRDefault="003D0B08"/>
    <w:sectPr w:rsidR="003D0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190" w:rsidRDefault="00835190" w:rsidP="00835190">
      <w:pPr>
        <w:spacing w:after="0" w:line="240" w:lineRule="auto"/>
      </w:pPr>
      <w:r>
        <w:separator/>
      </w:r>
    </w:p>
  </w:endnote>
  <w:endnote w:type="continuationSeparator" w:id="0">
    <w:p w:rsidR="00835190" w:rsidRDefault="00835190" w:rsidP="0083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190" w:rsidRDefault="00835190" w:rsidP="00835190">
      <w:pPr>
        <w:spacing w:after="0" w:line="240" w:lineRule="auto"/>
      </w:pPr>
      <w:r>
        <w:separator/>
      </w:r>
    </w:p>
  </w:footnote>
  <w:footnote w:type="continuationSeparator" w:id="0">
    <w:p w:rsidR="00835190" w:rsidRDefault="00835190" w:rsidP="00835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316"/>
    <w:rsid w:val="00030FC1"/>
    <w:rsid w:val="00196BCB"/>
    <w:rsid w:val="00217F1D"/>
    <w:rsid w:val="002545A6"/>
    <w:rsid w:val="0026291A"/>
    <w:rsid w:val="002830D3"/>
    <w:rsid w:val="00354FB3"/>
    <w:rsid w:val="003D0B08"/>
    <w:rsid w:val="004053B5"/>
    <w:rsid w:val="00407428"/>
    <w:rsid w:val="00557687"/>
    <w:rsid w:val="00591DE0"/>
    <w:rsid w:val="006348DF"/>
    <w:rsid w:val="00670963"/>
    <w:rsid w:val="006C3911"/>
    <w:rsid w:val="0078306F"/>
    <w:rsid w:val="00835190"/>
    <w:rsid w:val="00897D16"/>
    <w:rsid w:val="00981E54"/>
    <w:rsid w:val="00B52E81"/>
    <w:rsid w:val="00BA3BAA"/>
    <w:rsid w:val="00C71325"/>
    <w:rsid w:val="00C766DA"/>
    <w:rsid w:val="00D9593B"/>
    <w:rsid w:val="00E3077E"/>
    <w:rsid w:val="00E36FAC"/>
    <w:rsid w:val="00E766CE"/>
    <w:rsid w:val="00E879F6"/>
    <w:rsid w:val="00EF3316"/>
    <w:rsid w:val="00FC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5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190"/>
    <w:rPr>
      <w:sz w:val="20"/>
      <w:szCs w:val="20"/>
    </w:rPr>
  </w:style>
  <w:style w:type="character" w:styleId="FootnoteReference">
    <w:name w:val="footnote reference"/>
    <w:basedOn w:val="DefaultParagraphFont"/>
    <w:uiPriority w:val="99"/>
    <w:semiHidden/>
    <w:unhideWhenUsed/>
    <w:rsid w:val="00835190"/>
    <w:rPr>
      <w:vertAlign w:val="superscript"/>
    </w:rPr>
  </w:style>
  <w:style w:type="paragraph" w:styleId="BalloonText">
    <w:name w:val="Balloon Text"/>
    <w:basedOn w:val="Normal"/>
    <w:link w:val="BalloonTextChar"/>
    <w:uiPriority w:val="99"/>
    <w:semiHidden/>
    <w:unhideWhenUsed/>
    <w:rsid w:val="00BA3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5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190"/>
    <w:rPr>
      <w:sz w:val="20"/>
      <w:szCs w:val="20"/>
    </w:rPr>
  </w:style>
  <w:style w:type="character" w:styleId="FootnoteReference">
    <w:name w:val="footnote reference"/>
    <w:basedOn w:val="DefaultParagraphFont"/>
    <w:uiPriority w:val="99"/>
    <w:semiHidden/>
    <w:unhideWhenUsed/>
    <w:rsid w:val="00835190"/>
    <w:rPr>
      <w:vertAlign w:val="superscript"/>
    </w:rPr>
  </w:style>
  <w:style w:type="paragraph" w:styleId="BalloonText">
    <w:name w:val="Balloon Text"/>
    <w:basedOn w:val="Normal"/>
    <w:link w:val="BalloonTextChar"/>
    <w:uiPriority w:val="99"/>
    <w:semiHidden/>
    <w:unhideWhenUsed/>
    <w:rsid w:val="00BA3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39CCB-A5E2-4E05-82DC-5BED4215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Fagan</dc:creator>
  <cp:lastModifiedBy>Brian Fagan</cp:lastModifiedBy>
  <cp:revision>5</cp:revision>
  <cp:lastPrinted>2016-03-02T20:20:00Z</cp:lastPrinted>
  <dcterms:created xsi:type="dcterms:W3CDTF">2016-03-02T20:18:00Z</dcterms:created>
  <dcterms:modified xsi:type="dcterms:W3CDTF">2016-03-03T15:49:00Z</dcterms:modified>
</cp:coreProperties>
</file>