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4C37C" w14:textId="77777777" w:rsidR="00335619" w:rsidRDefault="00335619" w:rsidP="00335619">
      <w:pPr>
        <w:spacing w:line="360" w:lineRule="auto"/>
        <w:jc w:val="center"/>
        <w:rPr>
          <w:b/>
          <w:bCs/>
        </w:rPr>
      </w:pPr>
      <w:bookmarkStart w:id="0" w:name="_GoBack"/>
      <w:bookmarkEnd w:id="0"/>
    </w:p>
    <w:p w14:paraId="0BEC39E7" w14:textId="77777777" w:rsidR="00335619" w:rsidRDefault="00335619" w:rsidP="00335619">
      <w:pPr>
        <w:spacing w:line="360" w:lineRule="auto"/>
        <w:jc w:val="center"/>
        <w:rPr>
          <w:b/>
          <w:bCs/>
        </w:rPr>
      </w:pPr>
    </w:p>
    <w:p w14:paraId="0075FBD5" w14:textId="77777777" w:rsidR="00335619" w:rsidRDefault="00335619" w:rsidP="00335619">
      <w:pPr>
        <w:spacing w:line="360" w:lineRule="auto"/>
        <w:jc w:val="center"/>
        <w:rPr>
          <w:b/>
          <w:bCs/>
        </w:rPr>
      </w:pPr>
    </w:p>
    <w:p w14:paraId="494AD499" w14:textId="77777777" w:rsidR="00335619" w:rsidRDefault="00335619" w:rsidP="00335619">
      <w:pPr>
        <w:spacing w:line="360" w:lineRule="auto"/>
        <w:jc w:val="center"/>
        <w:rPr>
          <w:b/>
          <w:bCs/>
        </w:rPr>
      </w:pPr>
    </w:p>
    <w:p w14:paraId="56CAD097" w14:textId="77777777" w:rsidR="00335619" w:rsidRPr="0023367D" w:rsidRDefault="00335619" w:rsidP="00335619">
      <w:pPr>
        <w:spacing w:line="360" w:lineRule="auto"/>
        <w:jc w:val="center"/>
        <w:outlineLvl w:val="0"/>
        <w:rPr>
          <w:b/>
          <w:bCs/>
        </w:rPr>
      </w:pPr>
      <w:r w:rsidRPr="0023367D">
        <w:rPr>
          <w:b/>
          <w:bCs/>
        </w:rPr>
        <w:t>The Changing Relevance of Accounting Information to Debt Holders over Time</w:t>
      </w:r>
    </w:p>
    <w:p w14:paraId="3DB12272" w14:textId="77777777" w:rsidR="00335619" w:rsidRDefault="00335619" w:rsidP="00335619">
      <w:pPr>
        <w:jc w:val="center"/>
        <w:rPr>
          <w:bCs/>
        </w:rPr>
      </w:pPr>
    </w:p>
    <w:p w14:paraId="4F835757" w14:textId="77777777" w:rsidR="003A32AF" w:rsidRDefault="003A32AF" w:rsidP="00335619">
      <w:pPr>
        <w:jc w:val="center"/>
        <w:rPr>
          <w:bCs/>
        </w:rPr>
      </w:pPr>
    </w:p>
    <w:p w14:paraId="2F8AAF19" w14:textId="77777777" w:rsidR="006C3F5E" w:rsidRPr="0023367D" w:rsidRDefault="006C3F5E" w:rsidP="006C3F5E">
      <w:pPr>
        <w:jc w:val="center"/>
        <w:outlineLvl w:val="0"/>
        <w:rPr>
          <w:bCs/>
        </w:rPr>
      </w:pPr>
      <w:r w:rsidRPr="0023367D">
        <w:rPr>
          <w:bCs/>
        </w:rPr>
        <w:t xml:space="preserve">Dan </w:t>
      </w:r>
      <w:proofErr w:type="spellStart"/>
      <w:r w:rsidRPr="0023367D">
        <w:rPr>
          <w:bCs/>
        </w:rPr>
        <w:t>Givoly</w:t>
      </w:r>
      <w:proofErr w:type="spellEnd"/>
    </w:p>
    <w:p w14:paraId="766C30F0" w14:textId="77777777" w:rsidR="006C3F5E" w:rsidRPr="0023367D" w:rsidRDefault="006C3F5E" w:rsidP="006C3F5E">
      <w:pPr>
        <w:spacing w:line="360" w:lineRule="auto"/>
        <w:jc w:val="center"/>
        <w:rPr>
          <w:bCs/>
        </w:rPr>
      </w:pPr>
      <w:r w:rsidRPr="0023367D">
        <w:rPr>
          <w:bCs/>
        </w:rPr>
        <w:t>Pennsylvania State University</w:t>
      </w:r>
    </w:p>
    <w:p w14:paraId="2F9E65BE" w14:textId="77777777" w:rsidR="006C3F5E" w:rsidRPr="0023367D" w:rsidRDefault="006C3F5E" w:rsidP="006C3F5E">
      <w:pPr>
        <w:jc w:val="center"/>
        <w:outlineLvl w:val="0"/>
        <w:rPr>
          <w:bCs/>
        </w:rPr>
      </w:pPr>
      <w:r w:rsidRPr="0023367D">
        <w:rPr>
          <w:bCs/>
        </w:rPr>
        <w:t xml:space="preserve">Carla </w:t>
      </w:r>
      <w:proofErr w:type="spellStart"/>
      <w:r w:rsidRPr="0023367D">
        <w:rPr>
          <w:bCs/>
        </w:rPr>
        <w:t>Hayn</w:t>
      </w:r>
      <w:proofErr w:type="spellEnd"/>
    </w:p>
    <w:p w14:paraId="6AB1FBEB" w14:textId="77777777" w:rsidR="006C3F5E" w:rsidRPr="0023367D" w:rsidRDefault="006C3F5E" w:rsidP="006C3F5E">
      <w:pPr>
        <w:spacing w:line="360" w:lineRule="auto"/>
        <w:jc w:val="center"/>
        <w:rPr>
          <w:bCs/>
        </w:rPr>
      </w:pPr>
      <w:r w:rsidRPr="0023367D">
        <w:rPr>
          <w:bCs/>
        </w:rPr>
        <w:t>University of California, Los Angeles</w:t>
      </w:r>
    </w:p>
    <w:p w14:paraId="491A54AA" w14:textId="77777777" w:rsidR="006C3F5E" w:rsidRPr="0023367D" w:rsidRDefault="006C3F5E" w:rsidP="006C3F5E">
      <w:pPr>
        <w:jc w:val="center"/>
        <w:outlineLvl w:val="0"/>
        <w:rPr>
          <w:bCs/>
        </w:rPr>
      </w:pPr>
      <w:r w:rsidRPr="0023367D">
        <w:rPr>
          <w:bCs/>
        </w:rPr>
        <w:t>Sharon Katz</w:t>
      </w:r>
    </w:p>
    <w:p w14:paraId="122EE5FC" w14:textId="77777777" w:rsidR="006C3F5E" w:rsidRPr="0023367D" w:rsidRDefault="006C3F5E" w:rsidP="006C3F5E">
      <w:pPr>
        <w:spacing w:line="360" w:lineRule="auto"/>
        <w:jc w:val="center"/>
        <w:rPr>
          <w:bCs/>
        </w:rPr>
      </w:pPr>
      <w:r w:rsidRPr="0023367D">
        <w:rPr>
          <w:bCs/>
        </w:rPr>
        <w:t>Columbia University</w:t>
      </w:r>
    </w:p>
    <w:p w14:paraId="2C39C16D" w14:textId="77777777" w:rsidR="006C3F5E" w:rsidRPr="0023367D" w:rsidRDefault="006C3F5E" w:rsidP="006C3F5E">
      <w:pPr>
        <w:spacing w:line="360" w:lineRule="auto"/>
        <w:rPr>
          <w:b/>
          <w:bCs/>
        </w:rPr>
      </w:pPr>
    </w:p>
    <w:p w14:paraId="3EBE3403" w14:textId="1F6469F9" w:rsidR="006C3F5E" w:rsidRPr="0023367D" w:rsidRDefault="006C3F5E" w:rsidP="006C3F5E">
      <w:pPr>
        <w:spacing w:line="360" w:lineRule="auto"/>
        <w:jc w:val="center"/>
        <w:rPr>
          <w:bCs/>
        </w:rPr>
      </w:pPr>
      <w:r>
        <w:rPr>
          <w:bCs/>
        </w:rPr>
        <w:t>June 10</w:t>
      </w:r>
      <w:r w:rsidRPr="0023367D">
        <w:rPr>
          <w:bCs/>
        </w:rPr>
        <w:t>, 2016</w:t>
      </w:r>
    </w:p>
    <w:p w14:paraId="7CBA7BF8" w14:textId="77777777" w:rsidR="003A32AF" w:rsidRDefault="003A32AF" w:rsidP="00335619">
      <w:pPr>
        <w:jc w:val="center"/>
        <w:rPr>
          <w:bCs/>
        </w:rPr>
      </w:pPr>
    </w:p>
    <w:p w14:paraId="1932D15B" w14:textId="77777777" w:rsidR="003A32AF" w:rsidRPr="0023367D" w:rsidRDefault="003A32AF" w:rsidP="00335619">
      <w:pPr>
        <w:jc w:val="center"/>
        <w:rPr>
          <w:bCs/>
        </w:rPr>
      </w:pPr>
    </w:p>
    <w:p w14:paraId="4D965810" w14:textId="77777777" w:rsidR="00335619" w:rsidRPr="0023367D" w:rsidRDefault="003A32AF" w:rsidP="00335619">
      <w:pPr>
        <w:spacing w:line="360" w:lineRule="auto"/>
        <w:jc w:val="center"/>
        <w:rPr>
          <w:b/>
          <w:bCs/>
        </w:rPr>
      </w:pPr>
      <w:r>
        <w:rPr>
          <w:b/>
          <w:bCs/>
        </w:rPr>
        <w:t>Abstract</w:t>
      </w:r>
    </w:p>
    <w:p w14:paraId="1BBD4D02" w14:textId="36F101E9" w:rsidR="00335619" w:rsidRDefault="000A7AFC" w:rsidP="006C3F5E">
      <w:pPr>
        <w:jc w:val="both"/>
      </w:pPr>
      <w:r>
        <w:t>A number of studies have examined the change over time in the information content of accounting numbers to stockholder</w:t>
      </w:r>
      <w:r w:rsidR="00AE0122">
        <w:t>s</w:t>
      </w:r>
      <w:r>
        <w:t>. However, the stockholders</w:t>
      </w:r>
      <w:r w:rsidR="00AE0122">
        <w:t>’</w:t>
      </w:r>
      <w:r>
        <w:t xml:space="preserve"> perspective is not necessarily identical to that of debt holders</w:t>
      </w:r>
      <w:r w:rsidR="001E1EA3">
        <w:t xml:space="preserve">. The two groups face </w:t>
      </w:r>
      <w:r>
        <w:t xml:space="preserve">different risks and rewards </w:t>
      </w:r>
      <w:r w:rsidR="00896837">
        <w:t>and thus the</w:t>
      </w:r>
      <w:r w:rsidR="001E1EA3">
        <w:t xml:space="preserve">ir informational </w:t>
      </w:r>
      <w:r w:rsidR="00896837">
        <w:t xml:space="preserve">needs </w:t>
      </w:r>
      <w:r w:rsidR="001E1EA3">
        <w:t>are not the same</w:t>
      </w:r>
      <w:r w:rsidR="00896837">
        <w:t>.</w:t>
      </w:r>
      <w:r>
        <w:t xml:space="preserve"> </w:t>
      </w:r>
      <w:r w:rsidR="00335619" w:rsidRPr="0023367D">
        <w:t xml:space="preserve">We examine the change in the information content of accounting numbers over time from </w:t>
      </w:r>
      <w:r w:rsidR="00B912C3" w:rsidRPr="0023367D">
        <w:t xml:space="preserve">the </w:t>
      </w:r>
      <w:r w:rsidR="003B1C8A" w:rsidRPr="0023367D">
        <w:t xml:space="preserve">debt </w:t>
      </w:r>
      <w:r w:rsidR="00335619" w:rsidRPr="0023367D">
        <w:t>holders’ perspective</w:t>
      </w:r>
      <w:r w:rsidR="00896837">
        <w:t xml:space="preserve"> and</w:t>
      </w:r>
      <w:r w:rsidR="00987F86">
        <w:t xml:space="preserve"> hypothesize about the economic and reporting factors likely to affect this change. </w:t>
      </w:r>
      <w:r w:rsidR="00B43CFE" w:rsidRPr="0023367D">
        <w:t>Using</w:t>
      </w:r>
      <w:r w:rsidR="00335619" w:rsidRPr="0023367D">
        <w:t xml:space="preserve"> the association between accounting </w:t>
      </w:r>
      <w:r w:rsidR="00E26DB8" w:rsidRPr="0023367D">
        <w:t xml:space="preserve">numbers </w:t>
      </w:r>
      <w:r w:rsidR="00335619" w:rsidRPr="0023367D">
        <w:t>and bond valuation and returns</w:t>
      </w:r>
      <w:r w:rsidR="00A1186E" w:rsidRPr="0023367D">
        <w:t>,</w:t>
      </w:r>
      <w:r w:rsidR="00B43CFE" w:rsidRPr="0023367D">
        <w:t xml:space="preserve"> w</w:t>
      </w:r>
      <w:r w:rsidR="00236CA1" w:rsidRPr="0023367D">
        <w:t xml:space="preserve">e find </w:t>
      </w:r>
      <w:r w:rsidR="00B43CFE" w:rsidRPr="0023367D">
        <w:t xml:space="preserve">that the information content to </w:t>
      </w:r>
      <w:r w:rsidR="003B1C8A" w:rsidRPr="0023367D">
        <w:t>debt</w:t>
      </w:r>
      <w:r w:rsidR="00B43CFE" w:rsidRPr="0023367D">
        <w:t xml:space="preserve"> </w:t>
      </w:r>
      <w:r w:rsidR="00236CA1" w:rsidRPr="0023367D">
        <w:t xml:space="preserve">holders </w:t>
      </w:r>
      <w:r w:rsidR="00B43CFE" w:rsidRPr="0023367D">
        <w:t>has increased</w:t>
      </w:r>
      <w:r w:rsidR="001E1EA3">
        <w:t xml:space="preserve"> </w:t>
      </w:r>
      <w:r w:rsidR="00E34049">
        <w:t>over time</w:t>
      </w:r>
      <w:r w:rsidR="00B43CFE" w:rsidRPr="0023367D">
        <w:t xml:space="preserve">. </w:t>
      </w:r>
      <w:r w:rsidR="00335619" w:rsidRPr="0023367D">
        <w:t>In contrast</w:t>
      </w:r>
      <w:r w:rsidR="00355293">
        <w:t xml:space="preserve">, </w:t>
      </w:r>
      <w:r w:rsidR="001E1EA3">
        <w:t xml:space="preserve">but </w:t>
      </w:r>
      <w:r w:rsidR="00AE4362" w:rsidRPr="0023367D">
        <w:t xml:space="preserve">consistent </w:t>
      </w:r>
      <w:r w:rsidR="00883E8F" w:rsidRPr="0023367D">
        <w:t xml:space="preserve">with </w:t>
      </w:r>
      <w:r w:rsidR="001E1EA3">
        <w:t>prior</w:t>
      </w:r>
      <w:r w:rsidR="001E1EA3" w:rsidRPr="0023367D">
        <w:t xml:space="preserve"> </w:t>
      </w:r>
      <w:r w:rsidR="00883E8F" w:rsidRPr="0023367D">
        <w:t>studies</w:t>
      </w:r>
      <w:r w:rsidR="00335619" w:rsidRPr="0023367D">
        <w:t xml:space="preserve">, we find </w:t>
      </w:r>
      <w:r w:rsidR="0062690D">
        <w:t xml:space="preserve">that </w:t>
      </w:r>
      <w:r w:rsidR="00335619" w:rsidRPr="0023367D">
        <w:t>th</w:t>
      </w:r>
      <w:r w:rsidR="00C72E1B">
        <w:t>e</w:t>
      </w:r>
      <w:r w:rsidR="00A1186E" w:rsidRPr="0023367D">
        <w:t xml:space="preserve"> </w:t>
      </w:r>
      <w:r w:rsidR="00FD2EDB" w:rsidRPr="0023367D">
        <w:t xml:space="preserve">information content </w:t>
      </w:r>
      <w:r w:rsidR="00335619" w:rsidRPr="0023367D">
        <w:t>to equity holders</w:t>
      </w:r>
      <w:r w:rsidR="00355293">
        <w:t xml:space="preserve"> </w:t>
      </w:r>
      <w:r w:rsidR="00A546DB">
        <w:t xml:space="preserve">has </w:t>
      </w:r>
      <w:r w:rsidR="00355293">
        <w:t>decline</w:t>
      </w:r>
      <w:r w:rsidR="00A546DB">
        <w:t>d</w:t>
      </w:r>
      <w:r w:rsidR="0084558B">
        <w:t>.</w:t>
      </w:r>
      <w:r w:rsidR="000E6DEE" w:rsidRPr="000E6DEE">
        <w:t xml:space="preserve"> </w:t>
      </w:r>
      <w:r w:rsidR="000E6DEE" w:rsidRPr="0023367D">
        <w:t xml:space="preserve">The results suggest that the increased information content to debt holders is related to changes in credit risk and to reporting factors such as the </w:t>
      </w:r>
      <w:r w:rsidR="00580409">
        <w:t xml:space="preserve">increase in reporting conservatism, the </w:t>
      </w:r>
      <w:r w:rsidR="000E6DEE" w:rsidRPr="0023367D">
        <w:t xml:space="preserve">shift towards </w:t>
      </w:r>
      <w:r w:rsidR="00C164BB">
        <w:t>fair value accounting</w:t>
      </w:r>
      <w:r w:rsidR="000E6DEE" w:rsidRPr="0023367D">
        <w:t xml:space="preserve">, </w:t>
      </w:r>
      <w:r w:rsidR="00580409">
        <w:t>and the</w:t>
      </w:r>
      <w:r w:rsidR="000E6DEE" w:rsidRPr="0023367D">
        <w:t xml:space="preserve"> increase in </w:t>
      </w:r>
      <w:r w:rsidR="00580409">
        <w:t xml:space="preserve">the frequency of losses. </w:t>
      </w:r>
      <w:r w:rsidR="000E6DEE" w:rsidRPr="0023367D">
        <w:t>The findings</w:t>
      </w:r>
      <w:r w:rsidR="00335619" w:rsidRPr="0023367D">
        <w:t xml:space="preserve"> contribute to the scant literature on the use of accounting information by </w:t>
      </w:r>
      <w:r w:rsidR="003B1C8A" w:rsidRPr="0023367D">
        <w:t xml:space="preserve">debt </w:t>
      </w:r>
      <w:r w:rsidR="00335619" w:rsidRPr="0023367D">
        <w:t xml:space="preserve">holders and the extent to which financial reporting meets their unique needs. </w:t>
      </w:r>
    </w:p>
    <w:p w14:paraId="6F99DF59" w14:textId="77777777" w:rsidR="006C3F5E" w:rsidRDefault="006C3F5E" w:rsidP="006C3F5E">
      <w:pPr>
        <w:jc w:val="both"/>
      </w:pPr>
    </w:p>
    <w:p w14:paraId="7D1A4586" w14:textId="77777777" w:rsidR="006C3F5E" w:rsidRDefault="006C3F5E" w:rsidP="000E6DEE"/>
    <w:p w14:paraId="73EA30F8" w14:textId="77777777" w:rsidR="006C3F5E" w:rsidRDefault="006C3F5E" w:rsidP="000E6DEE"/>
    <w:p w14:paraId="7A658DB4" w14:textId="77777777" w:rsidR="006C3F5E" w:rsidRDefault="006C3F5E" w:rsidP="000E6DEE"/>
    <w:p w14:paraId="24FA3D16" w14:textId="77777777" w:rsidR="006C3F5E" w:rsidRDefault="006C3F5E" w:rsidP="000E6DEE"/>
    <w:p w14:paraId="2F0630DC" w14:textId="77777777" w:rsidR="006C3F5E" w:rsidRPr="0023367D" w:rsidRDefault="006C3F5E" w:rsidP="000E6DEE"/>
    <w:p w14:paraId="15BFD3F2" w14:textId="77777777" w:rsidR="006C3F5E" w:rsidRPr="0023367D" w:rsidRDefault="006C3F5E" w:rsidP="006C3F5E">
      <w:pPr>
        <w:spacing w:after="120"/>
        <w:rPr>
          <w:b/>
          <w:bCs/>
        </w:rPr>
      </w:pPr>
      <w:r w:rsidRPr="0023367D">
        <w:rPr>
          <w:b/>
          <w:bCs/>
        </w:rPr>
        <w:t>____________________________</w:t>
      </w:r>
    </w:p>
    <w:p w14:paraId="7B32B46A" w14:textId="77777777" w:rsidR="006C3F5E" w:rsidRPr="0023367D" w:rsidRDefault="006C3F5E" w:rsidP="006C3F5E">
      <w:pPr>
        <w:rPr>
          <w:sz w:val="20"/>
          <w:szCs w:val="20"/>
        </w:rPr>
      </w:pPr>
      <w:r w:rsidRPr="0023367D">
        <w:rPr>
          <w:sz w:val="20"/>
          <w:szCs w:val="20"/>
        </w:rPr>
        <w:t xml:space="preserve">We appreciate the helpful comments of Eli Amir, Dan </w:t>
      </w:r>
      <w:proofErr w:type="spellStart"/>
      <w:r w:rsidRPr="0023367D">
        <w:rPr>
          <w:sz w:val="20"/>
          <w:szCs w:val="20"/>
        </w:rPr>
        <w:t>Amiram</w:t>
      </w:r>
      <w:proofErr w:type="spellEnd"/>
      <w:r w:rsidRPr="0023367D">
        <w:rPr>
          <w:sz w:val="20"/>
          <w:szCs w:val="20"/>
        </w:rPr>
        <w:t xml:space="preserve">, </w:t>
      </w:r>
      <w:proofErr w:type="spellStart"/>
      <w:r w:rsidRPr="0023367D">
        <w:rPr>
          <w:sz w:val="20"/>
          <w:szCs w:val="20"/>
        </w:rPr>
        <w:t>Fabrizio</w:t>
      </w:r>
      <w:proofErr w:type="spellEnd"/>
      <w:r w:rsidRPr="0023367D">
        <w:rPr>
          <w:sz w:val="20"/>
          <w:szCs w:val="20"/>
        </w:rPr>
        <w:t xml:space="preserve"> </w:t>
      </w:r>
      <w:proofErr w:type="spellStart"/>
      <w:r w:rsidRPr="0023367D">
        <w:rPr>
          <w:sz w:val="20"/>
          <w:szCs w:val="20"/>
        </w:rPr>
        <w:t>Ferri</w:t>
      </w:r>
      <w:proofErr w:type="spellEnd"/>
      <w:r w:rsidRPr="0023367D">
        <w:rPr>
          <w:sz w:val="20"/>
          <w:szCs w:val="20"/>
        </w:rPr>
        <w:t xml:space="preserve">, Trevor Harris, </w:t>
      </w:r>
      <w:proofErr w:type="spellStart"/>
      <w:r w:rsidRPr="0023367D">
        <w:rPr>
          <w:sz w:val="20"/>
          <w:szCs w:val="20"/>
        </w:rPr>
        <w:t>Urooj</w:t>
      </w:r>
      <w:proofErr w:type="spellEnd"/>
      <w:r w:rsidRPr="0023367D">
        <w:rPr>
          <w:sz w:val="20"/>
          <w:szCs w:val="20"/>
        </w:rPr>
        <w:t xml:space="preserve"> Khan, </w:t>
      </w:r>
      <w:proofErr w:type="spellStart"/>
      <w:r w:rsidRPr="0023367D">
        <w:rPr>
          <w:sz w:val="20"/>
          <w:szCs w:val="20"/>
        </w:rPr>
        <w:t>Xiumin</w:t>
      </w:r>
      <w:proofErr w:type="spellEnd"/>
      <w:r w:rsidRPr="0023367D">
        <w:rPr>
          <w:sz w:val="20"/>
          <w:szCs w:val="20"/>
        </w:rPr>
        <w:t xml:space="preserve"> Martin (discussant), Suresh </w:t>
      </w:r>
      <w:proofErr w:type="spellStart"/>
      <w:r w:rsidRPr="0023367D">
        <w:rPr>
          <w:sz w:val="20"/>
          <w:szCs w:val="20"/>
        </w:rPr>
        <w:t>Nallareddy</w:t>
      </w:r>
      <w:proofErr w:type="spellEnd"/>
      <w:r w:rsidRPr="0023367D">
        <w:rPr>
          <w:sz w:val="20"/>
          <w:szCs w:val="20"/>
        </w:rPr>
        <w:t xml:space="preserve">, </w:t>
      </w:r>
      <w:proofErr w:type="spellStart"/>
      <w:r w:rsidRPr="0023367D">
        <w:rPr>
          <w:sz w:val="20"/>
          <w:szCs w:val="20"/>
        </w:rPr>
        <w:t>Doron</w:t>
      </w:r>
      <w:proofErr w:type="spellEnd"/>
      <w:r w:rsidRPr="0023367D">
        <w:rPr>
          <w:sz w:val="20"/>
          <w:szCs w:val="20"/>
        </w:rPr>
        <w:t xml:space="preserve"> </w:t>
      </w:r>
      <w:proofErr w:type="spellStart"/>
      <w:r w:rsidRPr="0023367D">
        <w:rPr>
          <w:sz w:val="20"/>
          <w:szCs w:val="20"/>
        </w:rPr>
        <w:t>Nissim</w:t>
      </w:r>
      <w:proofErr w:type="spellEnd"/>
      <w:r w:rsidRPr="0023367D">
        <w:rPr>
          <w:sz w:val="20"/>
          <w:szCs w:val="20"/>
        </w:rPr>
        <w:t xml:space="preserve">, Gil </w:t>
      </w:r>
      <w:proofErr w:type="spellStart"/>
      <w:r w:rsidRPr="0023367D">
        <w:rPr>
          <w:sz w:val="20"/>
          <w:szCs w:val="20"/>
        </w:rPr>
        <w:t>Sadka</w:t>
      </w:r>
      <w:proofErr w:type="spellEnd"/>
      <w:r w:rsidRPr="0023367D">
        <w:rPr>
          <w:sz w:val="20"/>
          <w:szCs w:val="20"/>
        </w:rPr>
        <w:t xml:space="preserve">, </w:t>
      </w:r>
      <w:proofErr w:type="spellStart"/>
      <w:r w:rsidRPr="0023367D">
        <w:rPr>
          <w:sz w:val="20"/>
          <w:szCs w:val="20"/>
        </w:rPr>
        <w:t>Jayanthi</w:t>
      </w:r>
      <w:proofErr w:type="spellEnd"/>
      <w:r w:rsidRPr="0023367D">
        <w:rPr>
          <w:sz w:val="20"/>
          <w:szCs w:val="20"/>
        </w:rPr>
        <w:t xml:space="preserve"> Sunder (discussant), Rodrigo Verdi and workshop participants at Columbia Business School, Tel Aviv University, the 2013 AAA Annual Meeting, the 2013 EAA Annual Meeting and the 2014 FARS Midyear Conference. We also gratefully acknowledge financial support provided by Columbia Business School and Harvard Business School. All errors are our own.</w:t>
      </w:r>
    </w:p>
    <w:p w14:paraId="63404DFA" w14:textId="77777777" w:rsidR="006C3F5E" w:rsidRPr="0023367D" w:rsidRDefault="006C3F5E" w:rsidP="006C3F5E">
      <w:pPr>
        <w:spacing w:line="360" w:lineRule="auto"/>
        <w:jc w:val="center"/>
        <w:outlineLvl w:val="0"/>
        <w:rPr>
          <w:b/>
          <w:bCs/>
        </w:rPr>
        <w:sectPr w:rsidR="006C3F5E" w:rsidRPr="0023367D" w:rsidSect="001F06ED">
          <w:headerReference w:type="even" r:id="rId8"/>
          <w:footerReference w:type="default" r:id="rId9"/>
          <w:pgSz w:w="12240" w:h="15840"/>
          <w:pgMar w:top="1440" w:right="1440" w:bottom="230" w:left="1440" w:header="720" w:footer="720" w:gutter="0"/>
          <w:cols w:space="720"/>
          <w:titlePg/>
          <w:docGrid w:linePitch="360"/>
        </w:sectPr>
      </w:pPr>
    </w:p>
    <w:p w14:paraId="22621394" w14:textId="77777777" w:rsidR="00335619" w:rsidRPr="0023367D" w:rsidRDefault="00335619" w:rsidP="00335619">
      <w:pPr>
        <w:spacing w:line="360" w:lineRule="auto"/>
        <w:jc w:val="center"/>
        <w:outlineLvl w:val="0"/>
        <w:rPr>
          <w:b/>
          <w:bCs/>
        </w:rPr>
      </w:pPr>
      <w:r w:rsidRPr="0023367D">
        <w:rPr>
          <w:b/>
          <w:bCs/>
        </w:rPr>
        <w:lastRenderedPageBreak/>
        <w:t>The Changing Relevance of Accounting Information to Debt Holders over Time</w:t>
      </w:r>
    </w:p>
    <w:p w14:paraId="2795CA31" w14:textId="77777777" w:rsidR="00335619" w:rsidRPr="0023367D" w:rsidRDefault="00335619" w:rsidP="00335619">
      <w:pPr>
        <w:numPr>
          <w:ilvl w:val="0"/>
          <w:numId w:val="1"/>
        </w:numPr>
        <w:spacing w:before="240" w:line="480" w:lineRule="auto"/>
        <w:rPr>
          <w:b/>
          <w:bCs/>
        </w:rPr>
      </w:pPr>
      <w:r w:rsidRPr="0023367D">
        <w:rPr>
          <w:b/>
          <w:bCs/>
        </w:rPr>
        <w:t>Introduction</w:t>
      </w:r>
    </w:p>
    <w:p w14:paraId="387A80D5" w14:textId="77777777" w:rsidR="00BE7680" w:rsidRPr="0023367D" w:rsidRDefault="006E6210" w:rsidP="00335619">
      <w:pPr>
        <w:spacing w:line="480" w:lineRule="auto"/>
        <w:ind w:firstLine="540"/>
      </w:pPr>
      <w:r w:rsidRPr="0023367D">
        <w:t xml:space="preserve">This study examines the change over time in the information content of accounting numbers to </w:t>
      </w:r>
      <w:r w:rsidR="00213184" w:rsidRPr="0023367D">
        <w:t>bond</w:t>
      </w:r>
      <w:r w:rsidRPr="0023367D">
        <w:t xml:space="preserve"> holders. </w:t>
      </w:r>
      <w:r w:rsidR="00070928" w:rsidRPr="0023367D">
        <w:t xml:space="preserve">Most </w:t>
      </w:r>
      <w:r w:rsidR="00605E95">
        <w:t xml:space="preserve">of the </w:t>
      </w:r>
      <w:r w:rsidR="00070928" w:rsidRPr="0023367D">
        <w:t>previous studies on the value relevance of accounting numbers</w:t>
      </w:r>
      <w:r w:rsidR="007F4618">
        <w:t xml:space="preserve"> and its change over time</w:t>
      </w:r>
      <w:r w:rsidR="00070928" w:rsidRPr="0023367D">
        <w:t xml:space="preserve"> have focused on equity holders. It is important, however, to </w:t>
      </w:r>
      <w:r w:rsidR="001108EF" w:rsidRPr="0023367D">
        <w:t xml:space="preserve">also </w:t>
      </w:r>
      <w:r w:rsidR="00070928" w:rsidRPr="0023367D">
        <w:t xml:space="preserve">examine the </w:t>
      </w:r>
      <w:r w:rsidR="00B919F9" w:rsidRPr="0023367D">
        <w:t>value relevance from the perspective of debt</w:t>
      </w:r>
      <w:r w:rsidR="00070928" w:rsidRPr="0023367D">
        <w:t xml:space="preserve"> holders</w:t>
      </w:r>
      <w:r w:rsidR="00B919F9" w:rsidRPr="0023367D">
        <w:t xml:space="preserve"> </w:t>
      </w:r>
      <w:r w:rsidR="00070928" w:rsidRPr="0023367D">
        <w:t>for a number of reasons. First,</w:t>
      </w:r>
      <w:r w:rsidR="00AE4362" w:rsidRPr="0023367D">
        <w:t xml:space="preserve"> </w:t>
      </w:r>
      <w:r w:rsidR="00B919F9" w:rsidRPr="0023367D">
        <w:t xml:space="preserve">the amount invested in debt </w:t>
      </w:r>
      <w:r w:rsidR="001108EF" w:rsidRPr="0023367D">
        <w:t xml:space="preserve">in the U.S. markets </w:t>
      </w:r>
      <w:r w:rsidR="00B919F9" w:rsidRPr="0023367D">
        <w:t>is almost as large as that invested in equity.</w:t>
      </w:r>
      <w:r w:rsidR="00BE7680" w:rsidRPr="0023367D">
        <w:rPr>
          <w:rStyle w:val="FootnoteReference"/>
        </w:rPr>
        <w:footnoteReference w:id="1"/>
      </w:r>
      <w:r w:rsidR="00B919F9" w:rsidRPr="0023367D">
        <w:t xml:space="preserve"> </w:t>
      </w:r>
      <w:r w:rsidR="00070928" w:rsidRPr="0023367D">
        <w:t xml:space="preserve">Second, </w:t>
      </w:r>
      <w:r w:rsidR="005F5363" w:rsidRPr="0023367D">
        <w:t xml:space="preserve">a key objective of </w:t>
      </w:r>
      <w:r w:rsidR="00B919F9" w:rsidRPr="0023367D">
        <w:t xml:space="preserve">financial </w:t>
      </w:r>
      <w:r w:rsidR="00081F69" w:rsidRPr="0023367D">
        <w:t xml:space="preserve">reporting </w:t>
      </w:r>
      <w:r w:rsidR="005F5363" w:rsidRPr="0023367D">
        <w:t xml:space="preserve">is to produce information that is useful to all </w:t>
      </w:r>
      <w:r w:rsidR="007F4618">
        <w:t>users of financial statements</w:t>
      </w:r>
      <w:r w:rsidR="00B919F9" w:rsidRPr="0023367D">
        <w:t xml:space="preserve">, </w:t>
      </w:r>
      <w:r w:rsidR="00081F69" w:rsidRPr="0023367D">
        <w:t>including creditors.</w:t>
      </w:r>
      <w:r w:rsidR="005F5363" w:rsidRPr="0023367D">
        <w:rPr>
          <w:rStyle w:val="FootnoteReference"/>
        </w:rPr>
        <w:footnoteReference w:id="2"/>
      </w:r>
      <w:r w:rsidR="005F5363" w:rsidRPr="0023367D">
        <w:t xml:space="preserve"> </w:t>
      </w:r>
      <w:r w:rsidR="00070928" w:rsidRPr="0023367D">
        <w:t>Third, the finding</w:t>
      </w:r>
      <w:r w:rsidR="00B919F9" w:rsidRPr="0023367D">
        <w:t>s</w:t>
      </w:r>
      <w:r w:rsidR="00070928" w:rsidRPr="0023367D">
        <w:t xml:space="preserve"> </w:t>
      </w:r>
      <w:r w:rsidR="00B919F9" w:rsidRPr="0023367D">
        <w:t xml:space="preserve">regarding the relevance of accounting numbers to the </w:t>
      </w:r>
      <w:r w:rsidR="005F5363" w:rsidRPr="0023367D">
        <w:t>e</w:t>
      </w:r>
      <w:r w:rsidR="00070928" w:rsidRPr="0023367D">
        <w:t>quity holders cannot be extended</w:t>
      </w:r>
      <w:r w:rsidR="005F5363" w:rsidRPr="0023367D">
        <w:t xml:space="preserve"> to </w:t>
      </w:r>
      <w:r w:rsidR="005435F4">
        <w:t>debt</w:t>
      </w:r>
      <w:r w:rsidR="005435F4" w:rsidRPr="0023367D">
        <w:t xml:space="preserve"> </w:t>
      </w:r>
      <w:r w:rsidR="005F5363" w:rsidRPr="0023367D">
        <w:t>holders</w:t>
      </w:r>
      <w:r w:rsidR="00B919F9" w:rsidRPr="0023367D">
        <w:t xml:space="preserve"> </w:t>
      </w:r>
      <w:r w:rsidR="00213184" w:rsidRPr="0023367D">
        <w:t>because</w:t>
      </w:r>
      <w:r w:rsidR="00FB3040">
        <w:t xml:space="preserve"> of</w:t>
      </w:r>
      <w:r w:rsidR="00213184" w:rsidRPr="0023367D">
        <w:t xml:space="preserve"> the different </w:t>
      </w:r>
      <w:r w:rsidR="00FB3040">
        <w:t>characteristics</w:t>
      </w:r>
      <w:r w:rsidR="00FB3040" w:rsidRPr="0023367D">
        <w:t xml:space="preserve"> </w:t>
      </w:r>
      <w:r w:rsidR="00213184" w:rsidRPr="0023367D">
        <w:t>of the claims held by these two investor groups.</w:t>
      </w:r>
      <w:r w:rsidR="00081F69" w:rsidRPr="0023367D">
        <w:t xml:space="preserve"> </w:t>
      </w:r>
    </w:p>
    <w:p w14:paraId="4EAD4CB6" w14:textId="1788B648" w:rsidR="00BE7680" w:rsidRPr="0023367D" w:rsidRDefault="0026307B" w:rsidP="00106609">
      <w:pPr>
        <w:spacing w:line="480" w:lineRule="auto"/>
        <w:ind w:firstLine="540"/>
      </w:pPr>
      <w:r w:rsidRPr="0023367D">
        <w:t xml:space="preserve">The need to extend </w:t>
      </w:r>
      <w:r w:rsidR="00620611" w:rsidRPr="0023367D">
        <w:t>the value relevance research to debt holders</w:t>
      </w:r>
      <w:r w:rsidR="00EA6C37">
        <w:t xml:space="preserve"> </w:t>
      </w:r>
      <w:r w:rsidR="00620611" w:rsidRPr="0023367D">
        <w:t xml:space="preserve">has been recognized </w:t>
      </w:r>
      <w:r w:rsidR="001108EF" w:rsidRPr="0023367D">
        <w:t>by</w:t>
      </w:r>
      <w:r w:rsidR="00620611" w:rsidRPr="0023367D">
        <w:t xml:space="preserve"> </w:t>
      </w:r>
      <w:proofErr w:type="spellStart"/>
      <w:r w:rsidR="00620611" w:rsidRPr="0023367D">
        <w:t>Holthausen</w:t>
      </w:r>
      <w:proofErr w:type="spellEnd"/>
      <w:r w:rsidR="00620611" w:rsidRPr="0023367D">
        <w:t xml:space="preserve"> and Watts (2001)</w:t>
      </w:r>
      <w:r w:rsidR="001108EF" w:rsidRPr="0023367D">
        <w:t xml:space="preserve"> </w:t>
      </w:r>
      <w:r w:rsidR="00F00B47" w:rsidRPr="0023367D">
        <w:t xml:space="preserve">in their comprehensive </w:t>
      </w:r>
      <w:r w:rsidR="001108EF" w:rsidRPr="0023367D">
        <w:t xml:space="preserve">review </w:t>
      </w:r>
      <w:r w:rsidR="00F00B47" w:rsidRPr="0023367D">
        <w:t xml:space="preserve">of </w:t>
      </w:r>
      <w:r w:rsidR="001108EF" w:rsidRPr="0023367D">
        <w:t>the value relevance literature</w:t>
      </w:r>
      <w:r w:rsidR="006059C3" w:rsidRPr="0023367D">
        <w:t xml:space="preserve">. </w:t>
      </w:r>
      <w:r w:rsidR="00F00B47" w:rsidRPr="0023367D">
        <w:t>Noting the</w:t>
      </w:r>
      <w:r w:rsidR="00A74A4D" w:rsidRPr="0023367D">
        <w:t xml:space="preserve"> </w:t>
      </w:r>
      <w:r w:rsidR="001E0890">
        <w:t xml:space="preserve">scarcity </w:t>
      </w:r>
      <w:r w:rsidR="00A74A4D" w:rsidRPr="0023367D">
        <w:t xml:space="preserve">of studies on the </w:t>
      </w:r>
      <w:r w:rsidR="006059C3" w:rsidRPr="0023367D">
        <w:t>value</w:t>
      </w:r>
      <w:r w:rsidR="00EA6C37">
        <w:t xml:space="preserve"> </w:t>
      </w:r>
      <w:r w:rsidR="006059C3" w:rsidRPr="0023367D">
        <w:t xml:space="preserve">relevance </w:t>
      </w:r>
      <w:r w:rsidR="00A74A4D" w:rsidRPr="0023367D">
        <w:t xml:space="preserve">of accounting numbers for </w:t>
      </w:r>
      <w:r w:rsidR="006059C3" w:rsidRPr="0023367D">
        <w:t xml:space="preserve">debt </w:t>
      </w:r>
      <w:r w:rsidR="00A74A4D" w:rsidRPr="0023367D">
        <w:t xml:space="preserve">holders, they call </w:t>
      </w:r>
      <w:r w:rsidR="00CA4A2E" w:rsidRPr="0023367D">
        <w:t xml:space="preserve">for future research </w:t>
      </w:r>
      <w:r w:rsidR="00F00B47" w:rsidRPr="0023367D">
        <w:t xml:space="preserve">in this realm </w:t>
      </w:r>
      <w:r w:rsidR="00CA4A2E" w:rsidRPr="0023367D">
        <w:t>to consider non-equity investors.</w:t>
      </w:r>
      <w:r w:rsidR="00BE7680" w:rsidRPr="0023367D">
        <w:rPr>
          <w:rStyle w:val="FootnoteReference"/>
        </w:rPr>
        <w:footnoteReference w:id="3"/>
      </w:r>
      <w:r w:rsidR="00CA4A2E" w:rsidRPr="0023367D">
        <w:t xml:space="preserve"> </w:t>
      </w:r>
      <w:r w:rsidR="009B34C2" w:rsidRPr="0023367D">
        <w:t xml:space="preserve">Our study responds to this call by examining the change over time in the relevance of accounting information </w:t>
      </w:r>
      <w:r w:rsidR="001108EF" w:rsidRPr="0023367D">
        <w:t>to</w:t>
      </w:r>
      <w:r w:rsidR="009B34C2" w:rsidRPr="0023367D">
        <w:t xml:space="preserve"> </w:t>
      </w:r>
      <w:r w:rsidR="009B34C2" w:rsidRPr="0023367D">
        <w:rPr>
          <w:i/>
        </w:rPr>
        <w:t>bond</w:t>
      </w:r>
      <w:r w:rsidR="009B34C2" w:rsidRPr="0023367D">
        <w:t xml:space="preserve"> holders. </w:t>
      </w:r>
    </w:p>
    <w:p w14:paraId="6964BA15" w14:textId="611E3ABC" w:rsidR="00BD7182" w:rsidRDefault="009B34C2" w:rsidP="000E6DEE">
      <w:pPr>
        <w:spacing w:line="480" w:lineRule="auto"/>
        <w:ind w:firstLine="547"/>
      </w:pPr>
      <w:r w:rsidRPr="0023367D">
        <w:t xml:space="preserve">Prior research shows </w:t>
      </w:r>
      <w:r w:rsidR="005F5363" w:rsidRPr="0023367D">
        <w:t>that the information content, or relevance, of earnings, as captured by the strength of the</w:t>
      </w:r>
      <w:r w:rsidR="001108EF" w:rsidRPr="0023367D">
        <w:t>ir</w:t>
      </w:r>
      <w:r w:rsidR="005F5363" w:rsidRPr="0023367D">
        <w:t xml:space="preserve"> association </w:t>
      </w:r>
      <w:r w:rsidR="001108EF" w:rsidRPr="0023367D">
        <w:t xml:space="preserve">with </w:t>
      </w:r>
      <w:r w:rsidR="005F5363" w:rsidRPr="0023367D">
        <w:t xml:space="preserve">stock returns and valuation, has declined over time (see Collins, Maydew, and Weis 1997; </w:t>
      </w:r>
      <w:r w:rsidR="005435F4">
        <w:t xml:space="preserve">and </w:t>
      </w:r>
      <w:r w:rsidR="005F5363" w:rsidRPr="0023367D">
        <w:t xml:space="preserve">Lev and </w:t>
      </w:r>
      <w:proofErr w:type="spellStart"/>
      <w:r w:rsidR="005F5363" w:rsidRPr="0023367D">
        <w:t>Zarowin</w:t>
      </w:r>
      <w:proofErr w:type="spellEnd"/>
      <w:r w:rsidR="005F5363" w:rsidRPr="0023367D">
        <w:t xml:space="preserve"> 1999)</w:t>
      </w:r>
      <w:r w:rsidR="0084558B">
        <w:t xml:space="preserve">. </w:t>
      </w:r>
      <w:r w:rsidR="00BD7182" w:rsidRPr="0023367D">
        <w:t xml:space="preserve">Given that financial statement information is a major input for </w:t>
      </w:r>
      <w:r w:rsidR="00BD7182">
        <w:t>equity</w:t>
      </w:r>
      <w:r w:rsidR="00BD7182" w:rsidRPr="0023367D">
        <w:t xml:space="preserve"> valuation and an important contracting device</w:t>
      </w:r>
      <w:r w:rsidR="00BD7182">
        <w:t xml:space="preserve">, the decline </w:t>
      </w:r>
      <w:r w:rsidR="00BD7182">
        <w:lastRenderedPageBreak/>
        <w:t>in the value relevance of financial statement information to equity holders has implications for market efficiency and resource allocations</w:t>
      </w:r>
      <w:r w:rsidR="003A60FD">
        <w:t xml:space="preserve">. Specifically, </w:t>
      </w:r>
      <w:r w:rsidR="00BD7182">
        <w:t>i</w:t>
      </w:r>
      <w:r w:rsidR="00693775">
        <w:t xml:space="preserve">n the absence of alternative sources of reliable </w:t>
      </w:r>
      <w:r w:rsidR="00A945E3">
        <w:t xml:space="preserve">cost-effective </w:t>
      </w:r>
      <w:r w:rsidR="00693775">
        <w:t xml:space="preserve">information, the reduced usefulness of accounting numbers would be </w:t>
      </w:r>
      <w:r w:rsidR="00BD7182">
        <w:t xml:space="preserve">associated with </w:t>
      </w:r>
      <w:r w:rsidR="00BD7182" w:rsidRPr="0023367D">
        <w:t>additional costs</w:t>
      </w:r>
      <w:r w:rsidR="00BD7182">
        <w:t xml:space="preserve"> </w:t>
      </w:r>
      <w:r w:rsidR="00A945E3">
        <w:t>of information search and production</w:t>
      </w:r>
      <w:r w:rsidR="00BD7182" w:rsidRPr="0023367D">
        <w:t xml:space="preserve">, increased information asymmetry and risk, and </w:t>
      </w:r>
      <w:r w:rsidR="00BD7182">
        <w:t>an</w:t>
      </w:r>
      <w:r w:rsidR="00BD7182" w:rsidRPr="0023367D">
        <w:t xml:space="preserve"> increase in the cost of capital</w:t>
      </w:r>
      <w:r w:rsidR="00693775">
        <w:t xml:space="preserve"> (</w:t>
      </w:r>
      <w:r w:rsidR="00A945E3">
        <w:t xml:space="preserve">see, for example, </w:t>
      </w:r>
      <w:r w:rsidR="00693775">
        <w:t xml:space="preserve">Lev and </w:t>
      </w:r>
      <w:proofErr w:type="spellStart"/>
      <w:r w:rsidR="00693775">
        <w:t>Zarowin</w:t>
      </w:r>
      <w:proofErr w:type="spellEnd"/>
      <w:r w:rsidR="00693775">
        <w:t xml:space="preserve"> 1999 and</w:t>
      </w:r>
      <w:r w:rsidR="00A945E3">
        <w:t xml:space="preserve"> Easley and </w:t>
      </w:r>
      <w:r w:rsidR="003A60FD">
        <w:t xml:space="preserve">O’Hara </w:t>
      </w:r>
      <w:r w:rsidR="00A945E3">
        <w:t>2004)</w:t>
      </w:r>
      <w:r w:rsidR="00BD7182" w:rsidRPr="0023367D">
        <w:t xml:space="preserve">. </w:t>
      </w:r>
      <w:r w:rsidR="00BD7182">
        <w:t xml:space="preserve">As a result, these findings raised concerns among </w:t>
      </w:r>
      <w:r w:rsidR="00BD7182" w:rsidRPr="0023367D">
        <w:t>standard setters (e.g., the report of the AICPA Special Committee on Financial Reporting 1994</w:t>
      </w:r>
      <w:r w:rsidR="003A60FD">
        <w:t>;</w:t>
      </w:r>
      <w:r w:rsidR="003A60FD" w:rsidRPr="0023367D">
        <w:t xml:space="preserve"> </w:t>
      </w:r>
      <w:r w:rsidR="00BD7182" w:rsidRPr="0023367D">
        <w:t xml:space="preserve">the “Jenkins Committee”) and academicians (e.g., Amir and Lev 1996; Lev and </w:t>
      </w:r>
      <w:proofErr w:type="spellStart"/>
      <w:r w:rsidR="00BD7182" w:rsidRPr="0023367D">
        <w:t>Zarowin</w:t>
      </w:r>
      <w:proofErr w:type="spellEnd"/>
      <w:r w:rsidR="00BD7182" w:rsidRPr="0023367D">
        <w:t xml:space="preserve"> 1999).</w:t>
      </w:r>
      <w:r w:rsidR="00BD7182" w:rsidRPr="0023367D">
        <w:rPr>
          <w:rStyle w:val="FootnoteReference"/>
        </w:rPr>
        <w:footnoteReference w:id="4"/>
      </w:r>
      <w:r w:rsidR="00BD7182" w:rsidRPr="0023367D">
        <w:t xml:space="preserve"> </w:t>
      </w:r>
    </w:p>
    <w:p w14:paraId="58439AE8" w14:textId="77777777" w:rsidR="002E4DD1" w:rsidRPr="0023367D" w:rsidRDefault="00BD7182" w:rsidP="002E4DD1">
      <w:pPr>
        <w:spacing w:line="480" w:lineRule="auto"/>
        <w:ind w:firstLine="540"/>
      </w:pPr>
      <w:r>
        <w:t xml:space="preserve">Similar concerns </w:t>
      </w:r>
      <w:r w:rsidR="00605E95">
        <w:t>are merited</w:t>
      </w:r>
      <w:r>
        <w:t xml:space="preserve"> if a decline occurs in the value relevance of accounting numbers for creditors. However, the </w:t>
      </w:r>
      <w:r w:rsidR="005F5363" w:rsidRPr="0023367D">
        <w:t xml:space="preserve">finding </w:t>
      </w:r>
      <w:r w:rsidR="00605E95">
        <w:t>of</w:t>
      </w:r>
      <w:r w:rsidR="00A674CE">
        <w:t xml:space="preserve"> </w:t>
      </w:r>
      <w:r w:rsidR="005F5363" w:rsidRPr="0023367D">
        <w:t xml:space="preserve">a decline in the information content of earnings to equity holders does not necessarily extend to debt holders. Debt holders are more concerned </w:t>
      </w:r>
      <w:r w:rsidR="00A674CE">
        <w:t>with</w:t>
      </w:r>
      <w:r w:rsidR="00A674CE" w:rsidRPr="0023367D">
        <w:t xml:space="preserve"> </w:t>
      </w:r>
      <w:r w:rsidR="005F5363" w:rsidRPr="0023367D">
        <w:t xml:space="preserve">the ability of accounting information to adequately and promptly convey downside risks and unfavorable information than </w:t>
      </w:r>
      <w:r w:rsidR="00F0655B">
        <w:t xml:space="preserve">with </w:t>
      </w:r>
      <w:r w:rsidR="005F5363" w:rsidRPr="0023367D">
        <w:t xml:space="preserve">information that helps </w:t>
      </w:r>
      <w:r w:rsidR="00DF189B" w:rsidRPr="0023367D">
        <w:t xml:space="preserve">them </w:t>
      </w:r>
      <w:r w:rsidR="005F5363" w:rsidRPr="0023367D">
        <w:t>assess growth opportunities</w:t>
      </w:r>
      <w:r w:rsidR="00605E95">
        <w:t>,</w:t>
      </w:r>
      <w:r w:rsidR="00A674CE">
        <w:t xml:space="preserve"> </w:t>
      </w:r>
      <w:r w:rsidR="005F5363" w:rsidRPr="0023367D">
        <w:t>a major interest of shareholders</w:t>
      </w:r>
      <w:r w:rsidR="0084558B">
        <w:t xml:space="preserve">. </w:t>
      </w:r>
      <w:r w:rsidR="002E4DD1" w:rsidRPr="0023367D">
        <w:t>As a result</w:t>
      </w:r>
      <w:r w:rsidR="0062690D">
        <w:t>,</w:t>
      </w:r>
      <w:r w:rsidR="002E4DD1" w:rsidRPr="0023367D">
        <w:t xml:space="preserve"> </w:t>
      </w:r>
      <w:r w:rsidR="00605E95">
        <w:t xml:space="preserve">the </w:t>
      </w:r>
      <w:r w:rsidR="002E4DD1" w:rsidRPr="0023367D">
        <w:t xml:space="preserve">sensitivity to earnings </w:t>
      </w:r>
      <w:r w:rsidR="00DF189B" w:rsidRPr="0023367D">
        <w:t>differs</w:t>
      </w:r>
      <w:r w:rsidR="002E4DD1" w:rsidRPr="0023367D">
        <w:t xml:space="preserve"> for equity and debt </w:t>
      </w:r>
      <w:r w:rsidR="00DF189B" w:rsidRPr="0023367D">
        <w:t>valuation</w:t>
      </w:r>
      <w:r w:rsidR="002E4DD1" w:rsidRPr="0023367D">
        <w:t xml:space="preserve">. While the association of debt values with earnings is positive, </w:t>
      </w:r>
      <w:r w:rsidR="00605E95">
        <w:t xml:space="preserve">the value of </w:t>
      </w:r>
      <w:r w:rsidR="002E4DD1" w:rsidRPr="0023367D">
        <w:t xml:space="preserve">debt </w:t>
      </w:r>
      <w:r w:rsidR="00605E95">
        <w:t xml:space="preserve">is less sensitive </w:t>
      </w:r>
      <w:r w:rsidR="002E4DD1" w:rsidRPr="0023367D">
        <w:t xml:space="preserve">to earnings once </w:t>
      </w:r>
      <w:r w:rsidR="00605E95">
        <w:t>they</w:t>
      </w:r>
      <w:r w:rsidR="00605E95" w:rsidRPr="0023367D">
        <w:t xml:space="preserve"> </w:t>
      </w:r>
      <w:r w:rsidR="002E4DD1" w:rsidRPr="0023367D">
        <w:t xml:space="preserve">exceed a certain </w:t>
      </w:r>
      <w:r w:rsidR="00DF189B" w:rsidRPr="0023367D">
        <w:t xml:space="preserve">threshold </w:t>
      </w:r>
      <w:r w:rsidR="002E4DD1" w:rsidRPr="0023367D">
        <w:t>because of the cap on the debt’s redemption value</w:t>
      </w:r>
      <w:r w:rsidR="0084558B">
        <w:t xml:space="preserve">. </w:t>
      </w:r>
      <w:r w:rsidR="002E4DD1" w:rsidRPr="0023367D">
        <w:t xml:space="preserve">For a detailed analysis of the effect of earnings on the valuation of claims by equity holders and creditors, see </w:t>
      </w:r>
      <w:proofErr w:type="spellStart"/>
      <w:r w:rsidR="002E4DD1" w:rsidRPr="0023367D">
        <w:t>Lok</w:t>
      </w:r>
      <w:proofErr w:type="spellEnd"/>
      <w:r w:rsidR="002E4DD1" w:rsidRPr="0023367D">
        <w:t xml:space="preserve"> and Richardson (2011). </w:t>
      </w:r>
    </w:p>
    <w:p w14:paraId="349AA9F9" w14:textId="77777777" w:rsidR="001161C5" w:rsidRPr="0023367D" w:rsidRDefault="001161C5" w:rsidP="001161C5">
      <w:pPr>
        <w:spacing w:line="480" w:lineRule="auto"/>
        <w:ind w:firstLine="540"/>
      </w:pPr>
      <w:r w:rsidRPr="0023367D">
        <w:t>This differing sensitivity to earnings suggests that trends in financial reporting</w:t>
      </w:r>
      <w:r>
        <w:t>,</w:t>
      </w:r>
      <w:r w:rsidRPr="00B51F75">
        <w:t xml:space="preserve"> </w:t>
      </w:r>
      <w:r w:rsidRPr="0023367D">
        <w:t xml:space="preserve">are likely to have different implications for equity holders and </w:t>
      </w:r>
      <w:r>
        <w:t>creditors</w:t>
      </w:r>
      <w:r w:rsidRPr="0023367D">
        <w:t>.</w:t>
      </w:r>
      <w:r w:rsidRPr="0023367D">
        <w:rPr>
          <w:color w:val="FF0000"/>
        </w:rPr>
        <w:t xml:space="preserve"> </w:t>
      </w:r>
      <w:r w:rsidRPr="0023367D">
        <w:t xml:space="preserve">Thus, proposals to enhance the relevance of accounting information to equity holders may not be beneficial to </w:t>
      </w:r>
      <w:r>
        <w:t>debt holders</w:t>
      </w:r>
      <w:r w:rsidRPr="0023367D">
        <w:t>.</w:t>
      </w:r>
    </w:p>
    <w:p w14:paraId="2C777A51" w14:textId="5FC0356E" w:rsidR="001161C5" w:rsidRPr="0023367D" w:rsidRDefault="001161C5" w:rsidP="001161C5">
      <w:pPr>
        <w:spacing w:line="480" w:lineRule="auto"/>
        <w:ind w:firstLine="540"/>
      </w:pPr>
      <w:r w:rsidRPr="00FE3232">
        <w:t xml:space="preserve">We identify a number of reporting factors and develop hypotheses about their expected effect on the information content of accounting number to debt holders. One such factor is the </w:t>
      </w:r>
      <w:r w:rsidRPr="00FE3232">
        <w:lastRenderedPageBreak/>
        <w:t xml:space="preserve">shift by accounting standard setters to an asset-liability focus (“balance sheet approach”) from a revenue-expense focus (“income statement approach”), along with their move towards fair-value accounting. Such shifts may enhance the value of the balance sheet as an indicator of the firm’s liquidation value and </w:t>
      </w:r>
      <w:r w:rsidR="006D0AD2" w:rsidRPr="00FE3232">
        <w:t xml:space="preserve">increase </w:t>
      </w:r>
      <w:r w:rsidRPr="00FE3232">
        <w:t>the information content of accounting numbers to creditors. Another reporting factor that may act in the opposite direction is the accounting for intangible</w:t>
      </w:r>
      <w:r w:rsidR="006D0AD2" w:rsidRPr="00FE3232">
        <w:t xml:space="preserve"> asset</w:t>
      </w:r>
      <w:r w:rsidRPr="00FE3232">
        <w:t xml:space="preserve">s </w:t>
      </w:r>
      <w:r w:rsidR="006D0AD2" w:rsidRPr="00FE3232">
        <w:t>which</w:t>
      </w:r>
      <w:r w:rsidRPr="00FE3232">
        <w:t xml:space="preserve">, coupled with the increase in the intensity of investment in </w:t>
      </w:r>
      <w:r w:rsidR="006D0AD2" w:rsidRPr="00FE3232">
        <w:t>these assets</w:t>
      </w:r>
      <w:r w:rsidRPr="00FE3232">
        <w:t xml:space="preserve">, </w:t>
      </w:r>
      <w:r w:rsidR="006D0AD2" w:rsidRPr="00FE3232">
        <w:t xml:space="preserve">may </w:t>
      </w:r>
      <w:r w:rsidRPr="00FE3232">
        <w:t xml:space="preserve">diminish the usefulness of financial statements in assessing the firm’s viability and exit value. Finally, the increase in reporting conservatism, a property that </w:t>
      </w:r>
      <w:r w:rsidR="006D0AD2" w:rsidRPr="00FE3232">
        <w:t xml:space="preserve">has </w:t>
      </w:r>
      <w:r w:rsidRPr="00FE3232">
        <w:t>implications for the efficiency of debt contracting</w:t>
      </w:r>
      <w:r w:rsidR="006D0AD2" w:rsidRPr="00FE3232">
        <w:t>,</w:t>
      </w:r>
      <w:r w:rsidRPr="00FE3232">
        <w:t xml:space="preserve"> may increase the relevance of the financial statements for creditors. We test for the effect of these and other reporting and economic factors on the change over time in the information content of accounting numbers to a major group of creditors, bond holders.</w:t>
      </w:r>
      <w:r>
        <w:t xml:space="preserve"> </w:t>
      </w:r>
    </w:p>
    <w:p w14:paraId="7E9C4C7D" w14:textId="7422129A" w:rsidR="001F2055" w:rsidRPr="0023367D" w:rsidRDefault="00335619" w:rsidP="00597E27">
      <w:pPr>
        <w:spacing w:line="480" w:lineRule="auto"/>
        <w:ind w:firstLine="630"/>
      </w:pPr>
      <w:r w:rsidRPr="0023367D">
        <w:t xml:space="preserve">The scarcity of research from </w:t>
      </w:r>
      <w:r w:rsidR="00C12B73" w:rsidRPr="0023367D">
        <w:t xml:space="preserve">the </w:t>
      </w:r>
      <w:r w:rsidRPr="0023367D">
        <w:t xml:space="preserve">debt holders’ perspective </w:t>
      </w:r>
      <w:r w:rsidR="00FA29AB" w:rsidRPr="0023367D">
        <w:t xml:space="preserve">is likely due to difficulties in </w:t>
      </w:r>
      <w:r w:rsidR="00C12B73" w:rsidRPr="0023367D">
        <w:t xml:space="preserve">obtaining </w:t>
      </w:r>
      <w:r w:rsidR="00FA29AB" w:rsidRPr="0023367D">
        <w:t xml:space="preserve">return and valuation data on </w:t>
      </w:r>
      <w:r w:rsidR="008141C7">
        <w:t>bond</w:t>
      </w:r>
      <w:r w:rsidR="00891AF5">
        <w:t>s</w:t>
      </w:r>
      <w:r w:rsidR="001108EF" w:rsidRPr="0023367D">
        <w:t>.</w:t>
      </w:r>
      <w:r w:rsidRPr="0023367D">
        <w:rPr>
          <w:rStyle w:val="FootnoteReference"/>
        </w:rPr>
        <w:footnoteReference w:id="5"/>
      </w:r>
      <w:r w:rsidRPr="0023367D">
        <w:t xml:space="preserve"> </w:t>
      </w:r>
      <w:r w:rsidR="001F2055" w:rsidRPr="0023367D">
        <w:t>We</w:t>
      </w:r>
      <w:r w:rsidR="006A798F" w:rsidRPr="0023367D">
        <w:t xml:space="preserve"> were able to obtain </w:t>
      </w:r>
      <w:r w:rsidR="001F2055" w:rsidRPr="0023367D">
        <w:t xml:space="preserve">a </w:t>
      </w:r>
      <w:r w:rsidR="0098682F">
        <w:t xml:space="preserve">proprietary data base </w:t>
      </w:r>
      <w:r w:rsidR="006D0AD2">
        <w:t>from which we could</w:t>
      </w:r>
      <w:r w:rsidR="0098682F">
        <w:t xml:space="preserve"> c</w:t>
      </w:r>
      <w:r w:rsidR="00D15591">
        <w:t>o</w:t>
      </w:r>
      <w:r w:rsidR="0098682F">
        <w:t>nstr</w:t>
      </w:r>
      <w:r w:rsidR="00D15591">
        <w:t>u</w:t>
      </w:r>
      <w:r w:rsidR="0098682F">
        <w:t xml:space="preserve">ct a </w:t>
      </w:r>
      <w:r w:rsidR="001F2055" w:rsidRPr="0023367D">
        <w:t>sample of 13,910 corporate bond</w:t>
      </w:r>
      <w:r w:rsidR="00891AF5">
        <w:t>-</w:t>
      </w:r>
      <w:r w:rsidR="001F2055" w:rsidRPr="0023367D">
        <w:t>issues over the 39-year period from 1975 to 2013</w:t>
      </w:r>
      <w:r w:rsidR="006A798F" w:rsidRPr="0023367D">
        <w:t xml:space="preserve">. Using return </w:t>
      </w:r>
      <w:r w:rsidR="00F0655B">
        <w:t xml:space="preserve">and </w:t>
      </w:r>
      <w:r w:rsidR="00FA29AB" w:rsidRPr="0023367D">
        <w:t xml:space="preserve">valuation </w:t>
      </w:r>
      <w:r w:rsidR="006A798F" w:rsidRPr="0023367D">
        <w:t>models</w:t>
      </w:r>
      <w:r w:rsidR="00F0655B">
        <w:t xml:space="preserve"> for bond and equity</w:t>
      </w:r>
      <w:r w:rsidR="006A798F" w:rsidRPr="0023367D">
        <w:t>, w</w:t>
      </w:r>
      <w:r w:rsidR="001F2055" w:rsidRPr="0023367D">
        <w:t>e find that the value relevance of accounting information has generally increased for bond holders while, consistent with previous studies,</w:t>
      </w:r>
      <w:r w:rsidR="00891AF5">
        <w:t xml:space="preserve"> </w:t>
      </w:r>
      <w:r w:rsidR="00116BF4">
        <w:t xml:space="preserve">it </w:t>
      </w:r>
      <w:r w:rsidR="00891AF5">
        <w:t xml:space="preserve">has </w:t>
      </w:r>
      <w:r w:rsidR="001F2055" w:rsidRPr="0023367D">
        <w:t xml:space="preserve">decreased for equity holders. </w:t>
      </w:r>
      <w:r w:rsidR="006A798F" w:rsidRPr="0023367D">
        <w:t xml:space="preserve">We then explore the reasons </w:t>
      </w:r>
      <w:r w:rsidR="00822865" w:rsidRPr="0023367D">
        <w:t>for this increase</w:t>
      </w:r>
      <w:r w:rsidR="00A40505">
        <w:t>,</w:t>
      </w:r>
      <w:r w:rsidR="00822865" w:rsidRPr="0023367D">
        <w:t xml:space="preserve"> and test </w:t>
      </w:r>
      <w:r w:rsidR="006A798F" w:rsidRPr="0023367D">
        <w:t>reporting</w:t>
      </w:r>
      <w:r w:rsidR="009B62E6" w:rsidRPr="0023367D">
        <w:t xml:space="preserve"> and economic explanations for it. </w:t>
      </w:r>
      <w:r w:rsidR="00822865" w:rsidRPr="0023367D">
        <w:t>We find that</w:t>
      </w:r>
      <w:r w:rsidR="009B62E6" w:rsidRPr="0023367D">
        <w:t xml:space="preserve"> increased </w:t>
      </w:r>
      <w:r w:rsidR="005174A8">
        <w:t>credit</w:t>
      </w:r>
      <w:r w:rsidR="005174A8" w:rsidRPr="0023367D">
        <w:t xml:space="preserve"> </w:t>
      </w:r>
      <w:r w:rsidR="009B62E6" w:rsidRPr="0023367D">
        <w:t>risk</w:t>
      </w:r>
      <w:r w:rsidR="000E6DEE">
        <w:t>, measured by the probability of default,</w:t>
      </w:r>
      <w:r w:rsidR="00E7252E">
        <w:t xml:space="preserve"> </w:t>
      </w:r>
      <w:r w:rsidR="00E7252E" w:rsidRPr="00443B9D">
        <w:t>and the increase in the frequency of losses, factors to which the valuation of debt is more sensitive than that of equity</w:t>
      </w:r>
      <w:r w:rsidR="002B51E3" w:rsidRPr="00443B9D">
        <w:t xml:space="preserve">, </w:t>
      </w:r>
      <w:r w:rsidR="00E7252E" w:rsidRPr="00443B9D">
        <w:t xml:space="preserve">as well as </w:t>
      </w:r>
      <w:r w:rsidR="007E763B" w:rsidRPr="00443B9D">
        <w:t xml:space="preserve">the shift </w:t>
      </w:r>
      <w:r w:rsidR="00597E27" w:rsidRPr="00443B9D">
        <w:t xml:space="preserve">in the emphasis of accounting standard setters from the determination of net income </w:t>
      </w:r>
      <w:r w:rsidR="007E763B" w:rsidRPr="00443B9D">
        <w:t>to</w:t>
      </w:r>
      <w:r w:rsidR="00597E27" w:rsidRPr="00443B9D">
        <w:t xml:space="preserve"> the valuation of assets and liabilities (“</w:t>
      </w:r>
      <w:r w:rsidR="007E763B" w:rsidRPr="00443B9D">
        <w:t>the balance sheet approach</w:t>
      </w:r>
      <w:r w:rsidR="00597E27" w:rsidRPr="00443B9D">
        <w:t>”)</w:t>
      </w:r>
      <w:r w:rsidR="00E7252E" w:rsidRPr="00443B9D">
        <w:t>,</w:t>
      </w:r>
      <w:r w:rsidR="006602CF" w:rsidRPr="00443B9D">
        <w:t xml:space="preserve"> are the </w:t>
      </w:r>
      <w:r w:rsidR="00A40505" w:rsidRPr="00443B9D">
        <w:t xml:space="preserve">primary </w:t>
      </w:r>
      <w:r w:rsidR="006602CF" w:rsidRPr="00443B9D">
        <w:t xml:space="preserve">explanations for the upward trend in </w:t>
      </w:r>
      <w:r w:rsidR="00116BF4" w:rsidRPr="00443B9D">
        <w:t xml:space="preserve">the </w:t>
      </w:r>
      <w:r w:rsidR="006602CF" w:rsidRPr="00443B9D">
        <w:t>information content to bond holders</w:t>
      </w:r>
      <w:r w:rsidR="001F2055" w:rsidRPr="00443B9D">
        <w:t>.</w:t>
      </w:r>
      <w:r w:rsidR="001F2055" w:rsidRPr="0023367D">
        <w:t xml:space="preserve"> The increase in reporting conservatism over the last four decades, which likely reflects changes in accounting standards and their implementation as well as changes in management reporting incentives, also appears to </w:t>
      </w:r>
      <w:r w:rsidR="00A52A77">
        <w:t xml:space="preserve">have </w:t>
      </w:r>
      <w:r w:rsidR="00C12B73" w:rsidRPr="0023367D">
        <w:t>play</w:t>
      </w:r>
      <w:r w:rsidR="00A52A77">
        <w:t>ed</w:t>
      </w:r>
      <w:r w:rsidR="00C12B73" w:rsidRPr="0023367D">
        <w:t xml:space="preserve"> a </w:t>
      </w:r>
      <w:r w:rsidR="00116BF4">
        <w:t xml:space="preserve">contributing </w:t>
      </w:r>
      <w:r w:rsidR="00C12B73" w:rsidRPr="0023367D">
        <w:t>role</w:t>
      </w:r>
      <w:r w:rsidR="001F2055" w:rsidRPr="0023367D">
        <w:t>.</w:t>
      </w:r>
      <w:r w:rsidR="007E763B">
        <w:t xml:space="preserve"> </w:t>
      </w:r>
      <w:r w:rsidR="00116BF4">
        <w:t xml:space="preserve">Offsetting this trend, the </w:t>
      </w:r>
      <w:r w:rsidR="007E763B">
        <w:t xml:space="preserve">increase in the </w:t>
      </w:r>
      <w:r w:rsidR="0098682F">
        <w:t xml:space="preserve">extent </w:t>
      </w:r>
      <w:r w:rsidR="007E763B">
        <w:t xml:space="preserve">of intangible investments </w:t>
      </w:r>
      <w:r w:rsidR="00116BF4">
        <w:t>appears</w:t>
      </w:r>
      <w:r w:rsidR="007E763B">
        <w:t xml:space="preserve"> to </w:t>
      </w:r>
      <w:r w:rsidR="004839C6" w:rsidRPr="004839C6">
        <w:t>reduce the usefulness of accounting numbers to bond holders</w:t>
      </w:r>
      <w:r w:rsidR="004839C6">
        <w:t xml:space="preserve">. </w:t>
      </w:r>
    </w:p>
    <w:p w14:paraId="4D2F5A29" w14:textId="5A308B90" w:rsidR="00335619" w:rsidRPr="0023367D" w:rsidRDefault="00335619" w:rsidP="00335619">
      <w:pPr>
        <w:spacing w:line="480" w:lineRule="auto"/>
        <w:ind w:firstLine="540"/>
      </w:pPr>
      <w:r w:rsidRPr="0023367D">
        <w:t xml:space="preserve">The paper contributes to the literature in a number of ways. It is the first to </w:t>
      </w:r>
      <w:r w:rsidR="006602CF" w:rsidRPr="0023367D">
        <w:t xml:space="preserve">document </w:t>
      </w:r>
      <w:r w:rsidRPr="0023367D">
        <w:t xml:space="preserve">the change in the value relevance of accounting information for debt holders and to contrast it </w:t>
      </w:r>
      <w:r w:rsidR="006602CF" w:rsidRPr="0023367D">
        <w:t xml:space="preserve">with </w:t>
      </w:r>
      <w:r w:rsidR="00C12B73" w:rsidRPr="0023367D">
        <w:t>the change</w:t>
      </w:r>
      <w:r w:rsidR="006602CF" w:rsidRPr="0023367D">
        <w:t xml:space="preserve"> </w:t>
      </w:r>
      <w:r w:rsidR="00F53EF8">
        <w:t>for</w:t>
      </w:r>
      <w:r w:rsidR="00F53EF8" w:rsidRPr="0023367D">
        <w:t xml:space="preserve"> </w:t>
      </w:r>
      <w:r w:rsidRPr="0023367D">
        <w:t>equity holders.</w:t>
      </w:r>
      <w:r w:rsidR="006602CF" w:rsidRPr="0023367D">
        <w:t xml:space="preserve"> </w:t>
      </w:r>
      <w:r w:rsidRPr="0023367D">
        <w:t xml:space="preserve">It also extends prior research by empirically confirming theoretical predictions regarding the differential response of the bond and stock markets to accounting information. Finally, </w:t>
      </w:r>
      <w:r w:rsidR="00061CE5" w:rsidRPr="0023367D">
        <w:t xml:space="preserve">the </w:t>
      </w:r>
      <w:r w:rsidRPr="0023367D">
        <w:t xml:space="preserve">findings are beneficial to accounting standard setters and regulators as </w:t>
      </w:r>
      <w:r w:rsidR="00061CE5" w:rsidRPr="0023367D">
        <w:t xml:space="preserve">they </w:t>
      </w:r>
      <w:r w:rsidRPr="0023367D">
        <w:t xml:space="preserve">demonstrate </w:t>
      </w:r>
      <w:r w:rsidR="00F31FF3" w:rsidRPr="0023367D">
        <w:t xml:space="preserve">the differential impact of various </w:t>
      </w:r>
      <w:r w:rsidRPr="0023367D">
        <w:t xml:space="preserve">financial reporting attributes </w:t>
      </w:r>
      <w:r w:rsidR="00F31FF3" w:rsidRPr="0023367D">
        <w:t xml:space="preserve">on </w:t>
      </w:r>
      <w:r w:rsidRPr="0023367D">
        <w:t xml:space="preserve">these two investor groups. </w:t>
      </w:r>
    </w:p>
    <w:p w14:paraId="2CA2AF63" w14:textId="77777777" w:rsidR="00335619" w:rsidRPr="0023367D" w:rsidRDefault="00335619" w:rsidP="00335619">
      <w:pPr>
        <w:spacing w:line="480" w:lineRule="auto"/>
        <w:ind w:firstLine="540"/>
      </w:pPr>
      <w:r w:rsidRPr="0023367D">
        <w:t xml:space="preserve">The paper proceeds as follows. </w:t>
      </w:r>
      <w:r w:rsidR="00E74D8C" w:rsidRPr="0023367D">
        <w:t>T</w:t>
      </w:r>
      <w:r w:rsidRPr="0023367D">
        <w:t xml:space="preserve">he next section contains a review of the literature on the </w:t>
      </w:r>
      <w:r w:rsidR="00122631" w:rsidRPr="0023367D">
        <w:t>relevance of accounting numbers for equity and debt valuation.</w:t>
      </w:r>
      <w:r w:rsidRPr="0023367D">
        <w:t xml:space="preserve"> The factors hypothesized to affect the changes over time in the </w:t>
      </w:r>
      <w:proofErr w:type="spellStart"/>
      <w:r w:rsidRPr="0023367D">
        <w:t>informativeness</w:t>
      </w:r>
      <w:proofErr w:type="spellEnd"/>
      <w:r w:rsidRPr="0023367D">
        <w:t xml:space="preserve"> of accounting numbers to bond holders are discussed in section </w:t>
      </w:r>
      <w:r w:rsidR="00E74D8C" w:rsidRPr="0023367D">
        <w:t>3</w:t>
      </w:r>
      <w:r w:rsidRPr="0023367D">
        <w:t xml:space="preserve">. The methodology is presented in section </w:t>
      </w:r>
      <w:r w:rsidR="00E74D8C" w:rsidRPr="0023367D">
        <w:t>4</w:t>
      </w:r>
      <w:r w:rsidRPr="0023367D">
        <w:t xml:space="preserve">, followed by a description of the data and sample in section </w:t>
      </w:r>
      <w:r w:rsidR="00122631" w:rsidRPr="0023367D">
        <w:t>5</w:t>
      </w:r>
      <w:r w:rsidRPr="0023367D">
        <w:t xml:space="preserve">. The main results are </w:t>
      </w:r>
      <w:r w:rsidR="00061CE5" w:rsidRPr="0023367D">
        <w:t xml:space="preserve">provided </w:t>
      </w:r>
      <w:r w:rsidRPr="0023367D">
        <w:t xml:space="preserve">and discussed in section </w:t>
      </w:r>
      <w:r w:rsidR="00122631" w:rsidRPr="0023367D">
        <w:t>6</w:t>
      </w:r>
      <w:r w:rsidRPr="0023367D">
        <w:t xml:space="preserve">. Section </w:t>
      </w:r>
      <w:r w:rsidR="00122631" w:rsidRPr="0023367D">
        <w:t xml:space="preserve">7 </w:t>
      </w:r>
      <w:r w:rsidR="00061CE5" w:rsidRPr="0023367D">
        <w:t xml:space="preserve">contains </w:t>
      </w:r>
      <w:r w:rsidRPr="0023367D">
        <w:t xml:space="preserve">additional tests and robustness checks. </w:t>
      </w:r>
      <w:r w:rsidR="00061CE5" w:rsidRPr="0023367D">
        <w:t>A</w:t>
      </w:r>
      <w:r w:rsidRPr="0023367D">
        <w:t xml:space="preserve"> summary and concluding remarks</w:t>
      </w:r>
      <w:r w:rsidR="00061CE5" w:rsidRPr="0023367D">
        <w:t xml:space="preserve"> are provided in the last section</w:t>
      </w:r>
      <w:r w:rsidRPr="0023367D">
        <w:t>.</w:t>
      </w:r>
    </w:p>
    <w:p w14:paraId="782F304B" w14:textId="77777777" w:rsidR="00335619" w:rsidRPr="0023367D" w:rsidRDefault="002E4DD1" w:rsidP="00F53EF8">
      <w:pPr>
        <w:keepNext/>
        <w:spacing w:before="120" w:line="480" w:lineRule="auto"/>
        <w:rPr>
          <w:b/>
          <w:bCs/>
        </w:rPr>
      </w:pPr>
      <w:r w:rsidRPr="0023367D">
        <w:rPr>
          <w:b/>
          <w:bCs/>
        </w:rPr>
        <w:t>2</w:t>
      </w:r>
      <w:r w:rsidR="00335619" w:rsidRPr="0023367D">
        <w:rPr>
          <w:b/>
          <w:bCs/>
        </w:rPr>
        <w:t>. Literature Review</w:t>
      </w:r>
    </w:p>
    <w:p w14:paraId="455CAA74" w14:textId="77777777" w:rsidR="00335619" w:rsidRPr="0023367D" w:rsidRDefault="002E4DD1" w:rsidP="00F53EF8">
      <w:pPr>
        <w:keepNext/>
        <w:spacing w:line="480" w:lineRule="auto"/>
        <w:outlineLvl w:val="0"/>
        <w:rPr>
          <w:b/>
          <w:bCs/>
        </w:rPr>
      </w:pPr>
      <w:r w:rsidRPr="0023367D">
        <w:rPr>
          <w:b/>
          <w:bCs/>
        </w:rPr>
        <w:t>2</w:t>
      </w:r>
      <w:r w:rsidR="00335619" w:rsidRPr="0023367D">
        <w:rPr>
          <w:b/>
          <w:bCs/>
        </w:rPr>
        <w:t>.1. Value relevance of accounting information over time</w:t>
      </w:r>
    </w:p>
    <w:p w14:paraId="0F03EBB3" w14:textId="77777777" w:rsidR="00335619" w:rsidRPr="0023367D" w:rsidRDefault="00335619" w:rsidP="00F53EF8">
      <w:pPr>
        <w:keepNext/>
        <w:spacing w:line="480" w:lineRule="auto"/>
        <w:ind w:firstLine="540"/>
      </w:pPr>
      <w:r w:rsidRPr="0023367D">
        <w:t xml:space="preserve">Concerns about the failure of historical accounting to properly reflect corporate performance in the “new economy” and the resulting potential decline in the value relevance of accounting information have been expressed since the early 1990s. Among the studies to document how the information content of earnings has changed over time are Ramesh and </w:t>
      </w:r>
      <w:proofErr w:type="spellStart"/>
      <w:r w:rsidRPr="0023367D">
        <w:t>Thiagarajan</w:t>
      </w:r>
      <w:proofErr w:type="spellEnd"/>
      <w:r w:rsidRPr="0023367D">
        <w:t xml:space="preserve"> (1996), Collins et al. (1997), Ely and </w:t>
      </w:r>
      <w:proofErr w:type="spellStart"/>
      <w:r w:rsidRPr="0023367D">
        <w:t>Waymire</w:t>
      </w:r>
      <w:proofErr w:type="spellEnd"/>
      <w:r w:rsidRPr="0023367D">
        <w:t xml:space="preserve"> (1999), Francis and </w:t>
      </w:r>
      <w:proofErr w:type="spellStart"/>
      <w:r w:rsidRPr="0023367D">
        <w:t>Schipper</w:t>
      </w:r>
      <w:proofErr w:type="spellEnd"/>
      <w:r w:rsidRPr="0023367D">
        <w:t xml:space="preserve"> (1999), and Lev and </w:t>
      </w:r>
      <w:proofErr w:type="spellStart"/>
      <w:r w:rsidRPr="0023367D">
        <w:t>Zarowin</w:t>
      </w:r>
      <w:proofErr w:type="spellEnd"/>
      <w:r w:rsidRPr="0023367D">
        <w:t xml:space="preserve"> (1999). While these studies use different measures to capture usefulness, their common finding is that the value relevance of earnings has declined over recent decades. </w:t>
      </w:r>
      <w:r w:rsidR="003454A3" w:rsidRPr="0023367D">
        <w:t xml:space="preserve">A </w:t>
      </w:r>
      <w:r w:rsidRPr="0023367D">
        <w:t xml:space="preserve">frequent explanation for this decline is the accounting treatment of intangibles and the shift towards fair values (see </w:t>
      </w:r>
      <w:proofErr w:type="spellStart"/>
      <w:r w:rsidRPr="0023367D">
        <w:t>Dichev</w:t>
      </w:r>
      <w:proofErr w:type="spellEnd"/>
      <w:r w:rsidRPr="0023367D">
        <w:t xml:space="preserve"> and Tang 2008). </w:t>
      </w:r>
    </w:p>
    <w:p w14:paraId="2475F76A" w14:textId="77777777" w:rsidR="00335619" w:rsidRPr="0023367D" w:rsidRDefault="002E4DD1" w:rsidP="00335619">
      <w:pPr>
        <w:spacing w:line="480" w:lineRule="auto"/>
      </w:pPr>
      <w:r w:rsidRPr="0023367D">
        <w:rPr>
          <w:b/>
          <w:bCs/>
        </w:rPr>
        <w:t>2</w:t>
      </w:r>
      <w:r w:rsidR="00335619" w:rsidRPr="0023367D">
        <w:rPr>
          <w:b/>
          <w:bCs/>
        </w:rPr>
        <w:t>.2. Information content of accounting numbers for debt holders</w:t>
      </w:r>
    </w:p>
    <w:p w14:paraId="5CA158A0" w14:textId="72E911B1" w:rsidR="00E7252E" w:rsidRDefault="00335619" w:rsidP="00E7252E">
      <w:pPr>
        <w:spacing w:line="480" w:lineRule="auto"/>
        <w:ind w:firstLine="547"/>
      </w:pPr>
      <w:r w:rsidRPr="0023367D">
        <w:t xml:space="preserve">The potential differential response of bond prices to accounting information has been the subject of several research studies. Plummer and Tse (1999) show </w:t>
      </w:r>
      <w:r w:rsidR="00F53EF8">
        <w:t xml:space="preserve">that </w:t>
      </w:r>
      <w:r w:rsidRPr="0023367D">
        <w:t xml:space="preserve">the association between stock returns and earnings is weaker for firms with lower bond ratings and those reporting losses. Yet, for these same firms, the association between bond returns and earnings is stronger. </w:t>
      </w:r>
      <w:proofErr w:type="spellStart"/>
      <w:r w:rsidRPr="0023367D">
        <w:t>Datta</w:t>
      </w:r>
      <w:proofErr w:type="spellEnd"/>
      <w:r w:rsidRPr="0023367D">
        <w:t xml:space="preserve"> and Dhillon (1993) find that bond returns are positively associated with the content of earnings announcements</w:t>
      </w:r>
      <w:r w:rsidR="0084558B">
        <w:t xml:space="preserve">. </w:t>
      </w:r>
      <w:proofErr w:type="spellStart"/>
      <w:r w:rsidR="0099787D">
        <w:t>Sridharan</w:t>
      </w:r>
      <w:proofErr w:type="spellEnd"/>
      <w:r w:rsidR="0099787D">
        <w:t xml:space="preserve"> (2011) finds that balance sheet information is more important for bond holders than equity holders. </w:t>
      </w:r>
      <w:r w:rsidRPr="0023367D">
        <w:t xml:space="preserve">Easton et al. (2009) analyze the trading prices of bonds around annual earnings announcements and find a positive association between bond returns and unexpected earnings. </w:t>
      </w:r>
      <w:r w:rsidR="00F53EF8">
        <w:t>This association</w:t>
      </w:r>
      <w:r w:rsidRPr="0023367D">
        <w:t xml:space="preserve"> </w:t>
      </w:r>
      <w:r w:rsidR="00F53EF8">
        <w:t>is</w:t>
      </w:r>
      <w:r w:rsidR="00F53EF8" w:rsidRPr="0023367D">
        <w:t xml:space="preserve"> </w:t>
      </w:r>
      <w:r w:rsidRPr="0023367D">
        <w:t xml:space="preserve">found to be stronger when earnings convey bad news and when the bonds are riskier. </w:t>
      </w:r>
      <w:proofErr w:type="spellStart"/>
      <w:r w:rsidRPr="0023367D">
        <w:t>DeFond</w:t>
      </w:r>
      <w:proofErr w:type="spellEnd"/>
      <w:r w:rsidRPr="0023367D">
        <w:t xml:space="preserve"> and Zhang (2014) find that bond prices reflect negative earnings surprises </w:t>
      </w:r>
      <w:r w:rsidR="00641EAA" w:rsidRPr="0023367D">
        <w:t xml:space="preserve">on a </w:t>
      </w:r>
      <w:r w:rsidR="002E4DD1" w:rsidRPr="0023367D">
        <w:t>timelier</w:t>
      </w:r>
      <w:r w:rsidR="00641EAA" w:rsidRPr="0023367D">
        <w:t xml:space="preserve"> basis </w:t>
      </w:r>
      <w:r w:rsidRPr="0023367D">
        <w:t xml:space="preserve">than positive surprises, and incorporate bad news more quickly than </w:t>
      </w:r>
      <w:r w:rsidR="00641EAA" w:rsidRPr="0023367D">
        <w:t xml:space="preserve">do </w:t>
      </w:r>
      <w:r w:rsidRPr="0023367D">
        <w:t>stock prices</w:t>
      </w:r>
      <w:r w:rsidR="0084558B">
        <w:t xml:space="preserve">. </w:t>
      </w:r>
      <w:r w:rsidRPr="0023367D">
        <w:t>They further find that bond prices anticipate bad news conveyed in balance sheet changes while stock prices do not. Finally, Shi (2003) demonstrates the need to consider the perspectives of all users of financial information</w:t>
      </w:r>
      <w:r w:rsidR="00FD1FA2" w:rsidRPr="0023367D">
        <w:t xml:space="preserve"> in setting the accounting standards for investment in R&amp;D</w:t>
      </w:r>
      <w:r w:rsidRPr="0023367D">
        <w:t xml:space="preserve">. All of these studies support the notion that </w:t>
      </w:r>
      <w:r w:rsidR="00FD1FA2" w:rsidRPr="0023367D">
        <w:t xml:space="preserve">in determining </w:t>
      </w:r>
      <w:r w:rsidR="00641EAA" w:rsidRPr="0023367D">
        <w:t xml:space="preserve">the </w:t>
      </w:r>
      <w:r w:rsidR="00FD1FA2" w:rsidRPr="0023367D">
        <w:t xml:space="preserve">information content of accounting numbers </w:t>
      </w:r>
      <w:r w:rsidR="009201E0" w:rsidRPr="0023367D">
        <w:t xml:space="preserve">and in </w:t>
      </w:r>
      <w:r w:rsidRPr="0023367D">
        <w:t>assess</w:t>
      </w:r>
      <w:r w:rsidR="00FD1FA2" w:rsidRPr="0023367D">
        <w:t xml:space="preserve">ing </w:t>
      </w:r>
      <w:r w:rsidRPr="0023367D">
        <w:t>alternative financial reporting standards</w:t>
      </w:r>
      <w:r w:rsidR="00641EAA" w:rsidRPr="0023367D">
        <w:t>,</w:t>
      </w:r>
      <w:r w:rsidRPr="0023367D">
        <w:t xml:space="preserve"> </w:t>
      </w:r>
      <w:r w:rsidR="00FD1FA2" w:rsidRPr="0023367D">
        <w:t>one should consider</w:t>
      </w:r>
      <w:r w:rsidRPr="0023367D">
        <w:t xml:space="preserve"> both </w:t>
      </w:r>
      <w:r w:rsidR="00FD1FA2" w:rsidRPr="0023367D">
        <w:t xml:space="preserve">groups of constituents. </w:t>
      </w:r>
    </w:p>
    <w:p w14:paraId="34D1D807" w14:textId="77777777" w:rsidR="00E74D8C" w:rsidRPr="0023367D" w:rsidRDefault="00E74D8C" w:rsidP="00E7252E">
      <w:pPr>
        <w:spacing w:line="480" w:lineRule="auto"/>
        <w:ind w:firstLine="547"/>
      </w:pPr>
      <w:r w:rsidRPr="0023367D">
        <w:t xml:space="preserve">To the best of our knowledge, the only studies that directly </w:t>
      </w:r>
      <w:r w:rsidRPr="00E7252E">
        <w:t xml:space="preserve">examine </w:t>
      </w:r>
      <w:r w:rsidR="004E1BE4" w:rsidRPr="00E7252E">
        <w:t xml:space="preserve">the </w:t>
      </w:r>
      <w:r w:rsidRPr="00E7252E">
        <w:t xml:space="preserve">change </w:t>
      </w:r>
      <w:r w:rsidR="004E1BE4" w:rsidRPr="00E7252E">
        <w:t>over</w:t>
      </w:r>
      <w:r w:rsidR="004E1BE4">
        <w:t xml:space="preserve"> time in the usefulness of accounting numbers </w:t>
      </w:r>
      <w:r w:rsidRPr="0023367D">
        <w:t>to bond holders are Beaver et al. (2005) and Beaver et al. (2012). These papers focus only on one aspect of accounting information: its ability to predict bankruptcy</w:t>
      </w:r>
      <w:r w:rsidR="0084558B">
        <w:t xml:space="preserve">. </w:t>
      </w:r>
      <w:r w:rsidR="00E7252E">
        <w:t xml:space="preserve">We employ </w:t>
      </w:r>
      <w:r w:rsidRPr="0023367D">
        <w:t xml:space="preserve">broader </w:t>
      </w:r>
      <w:r w:rsidR="00E7252E" w:rsidRPr="0023367D">
        <w:t>criteri</w:t>
      </w:r>
      <w:r w:rsidR="00E7252E">
        <w:t>a</w:t>
      </w:r>
      <w:r w:rsidR="00E7252E" w:rsidRPr="0023367D">
        <w:t xml:space="preserve"> </w:t>
      </w:r>
      <w:r w:rsidRPr="0023367D">
        <w:t>to gauge usefulness and different bond valuation and return models</w:t>
      </w:r>
      <w:r w:rsidR="00597E27">
        <w:t xml:space="preserve"> </w:t>
      </w:r>
      <w:r w:rsidR="00E7252E">
        <w:t>to assess</w:t>
      </w:r>
      <w:r w:rsidRPr="0023367D">
        <w:t xml:space="preserve"> this change to bond holders. Further, by examining a sample of bonds issued by publicly-</w:t>
      </w:r>
      <w:r w:rsidR="00E7252E">
        <w:t xml:space="preserve">held </w:t>
      </w:r>
      <w:r w:rsidRPr="0023367D">
        <w:t xml:space="preserve">companies, we are able to directly compare the changes in the information content of accounting numbers to both bond and equity holders. </w:t>
      </w:r>
    </w:p>
    <w:p w14:paraId="71595F94" w14:textId="77777777" w:rsidR="002E346E" w:rsidRPr="0023367D" w:rsidRDefault="00122631" w:rsidP="00873634">
      <w:pPr>
        <w:keepNext/>
        <w:spacing w:before="120" w:after="240"/>
        <w:ind w:left="274" w:hanging="274"/>
        <w:outlineLvl w:val="0"/>
        <w:rPr>
          <w:b/>
          <w:bCs/>
        </w:rPr>
      </w:pPr>
      <w:r w:rsidRPr="0023367D">
        <w:rPr>
          <w:b/>
          <w:bCs/>
        </w:rPr>
        <w:t>3</w:t>
      </w:r>
      <w:r w:rsidR="00E74D8C" w:rsidRPr="0023367D">
        <w:rPr>
          <w:b/>
          <w:bCs/>
        </w:rPr>
        <w:t>.</w:t>
      </w:r>
      <w:r w:rsidR="00FD1FA2" w:rsidRPr="0023367D">
        <w:rPr>
          <w:b/>
          <w:bCs/>
        </w:rPr>
        <w:t xml:space="preserve"> </w:t>
      </w:r>
      <w:r w:rsidR="00E7252E">
        <w:rPr>
          <w:b/>
          <w:bCs/>
        </w:rPr>
        <w:t xml:space="preserve">Factors </w:t>
      </w:r>
      <w:r w:rsidR="00335619" w:rsidRPr="0023367D">
        <w:rPr>
          <w:b/>
          <w:bCs/>
        </w:rPr>
        <w:t xml:space="preserve">Hypothesized </w:t>
      </w:r>
      <w:r w:rsidR="00E7252E">
        <w:rPr>
          <w:b/>
          <w:bCs/>
        </w:rPr>
        <w:t>to Affect</w:t>
      </w:r>
      <w:r w:rsidR="00335619" w:rsidRPr="0023367D">
        <w:rPr>
          <w:b/>
          <w:bCs/>
        </w:rPr>
        <w:t xml:space="preserve"> the Change in</w:t>
      </w:r>
      <w:r w:rsidR="00FD1FA2" w:rsidRPr="0023367D">
        <w:rPr>
          <w:b/>
          <w:bCs/>
        </w:rPr>
        <w:t xml:space="preserve"> </w:t>
      </w:r>
      <w:r w:rsidR="00335619" w:rsidRPr="0023367D">
        <w:rPr>
          <w:b/>
          <w:bCs/>
        </w:rPr>
        <w:t xml:space="preserve">the Information Content of Accounting Numbers for </w:t>
      </w:r>
      <w:r w:rsidR="004F1233" w:rsidRPr="0023367D">
        <w:rPr>
          <w:b/>
          <w:bCs/>
        </w:rPr>
        <w:t xml:space="preserve">Debt </w:t>
      </w:r>
      <w:r w:rsidR="00335619" w:rsidRPr="0023367D">
        <w:rPr>
          <w:b/>
          <w:bCs/>
        </w:rPr>
        <w:t xml:space="preserve">Holders </w:t>
      </w:r>
    </w:p>
    <w:p w14:paraId="0CB4A535" w14:textId="77777777" w:rsidR="00335619" w:rsidRPr="0023367D" w:rsidRDefault="00335619" w:rsidP="003236B6">
      <w:pPr>
        <w:keepNext/>
        <w:spacing w:line="480" w:lineRule="auto"/>
        <w:ind w:firstLine="720"/>
      </w:pPr>
      <w:r w:rsidRPr="0023367D">
        <w:t xml:space="preserve">The main economic factor that may explain the change in the value relevance of accounting information to debt holders is credit risk. </w:t>
      </w:r>
      <w:r w:rsidR="007C45DA" w:rsidRPr="0023367D">
        <w:t xml:space="preserve">Consistent with previous studies and as confirmed by </w:t>
      </w:r>
      <w:r w:rsidRPr="0023367D">
        <w:t xml:space="preserve">the cross-sectional tests reported in </w:t>
      </w:r>
      <w:r w:rsidR="003236B6">
        <w:t>this paper</w:t>
      </w:r>
      <w:r w:rsidRPr="0023367D">
        <w:t xml:space="preserve">, bond values and returns are more strongly associated with accounting information when the firm’s credit risk is higher. We expect that this relation will also be evident in our time-series analysis and therefore hypothesize that fluctuations over time in credit risk are positively associated with the information content of accounting numbers to bond holders. </w:t>
      </w:r>
    </w:p>
    <w:p w14:paraId="0932A039" w14:textId="3AC182B4" w:rsidR="00335619" w:rsidRPr="0023367D" w:rsidRDefault="00335619" w:rsidP="00FA3998">
      <w:pPr>
        <w:spacing w:line="480" w:lineRule="auto"/>
        <w:ind w:firstLine="720"/>
      </w:pPr>
      <w:r w:rsidRPr="0023367D">
        <w:t xml:space="preserve">A reporting attribute </w:t>
      </w:r>
      <w:r w:rsidR="005161B5">
        <w:t xml:space="preserve">that is </w:t>
      </w:r>
      <w:r w:rsidRPr="0023367D">
        <w:t xml:space="preserve">likely to be valued by debt holders, who are more concerned with downside risk, is the degree of accounting conservatism. Conservatism is hypothesized to </w:t>
      </w:r>
      <w:r w:rsidRPr="0023367D">
        <w:rPr>
          <w:rFonts w:ascii="NewBaskerville-Roman" w:hAnsi="NewBaskerville-Roman" w:cs="NewBaskerville-Roman"/>
          <w:szCs w:val="16"/>
        </w:rPr>
        <w:t>facilitate debt contracting and hence debt valuation (e.g., Watts and Zimmerman 1986; Ball 2001; Watts 2003a, b)</w:t>
      </w:r>
      <w:r w:rsidR="0084558B">
        <w:rPr>
          <w:rFonts w:ascii="NewBaskerville-Roman" w:hAnsi="NewBaskerville-Roman" w:cs="NewBaskerville-Roman"/>
          <w:szCs w:val="16"/>
        </w:rPr>
        <w:t xml:space="preserve">. </w:t>
      </w:r>
      <w:r w:rsidRPr="0023367D">
        <w:t>A</w:t>
      </w:r>
      <w:r w:rsidRPr="0023367D">
        <w:rPr>
          <w:rFonts w:ascii="NewBaskerville-Roman" w:hAnsi="NewBaskerville-Roman" w:cs="NewBaskerville-Roman"/>
          <w:szCs w:val="16"/>
        </w:rPr>
        <w:t xml:space="preserve"> number of papers examine efficiency gains from accounting conservatism in debt contracts (e.g., Ahmed et al. 2002; Zhang 2008; Ball et al. 2008a, b; Beatty et al. 2008; Wittenberg-</w:t>
      </w:r>
      <w:proofErr w:type="spellStart"/>
      <w:r w:rsidRPr="0023367D">
        <w:rPr>
          <w:rFonts w:ascii="NewBaskerville-Roman" w:hAnsi="NewBaskerville-Roman" w:cs="NewBaskerville-Roman"/>
          <w:szCs w:val="16"/>
        </w:rPr>
        <w:t>Moerman</w:t>
      </w:r>
      <w:proofErr w:type="spellEnd"/>
      <w:r w:rsidRPr="0023367D">
        <w:rPr>
          <w:rFonts w:ascii="NewBaskerville-Roman" w:hAnsi="NewBaskerville-Roman" w:cs="NewBaskerville-Roman"/>
          <w:szCs w:val="16"/>
        </w:rPr>
        <w:t xml:space="preserve"> 2008;</w:t>
      </w:r>
      <w:r w:rsidR="00630B02" w:rsidRPr="0023367D">
        <w:rPr>
          <w:rFonts w:ascii="NewBaskerville-Roman" w:hAnsi="NewBaskerville-Roman" w:cs="NewBaskerville-Roman"/>
          <w:szCs w:val="16"/>
        </w:rPr>
        <w:t xml:space="preserve"> </w:t>
      </w:r>
      <w:proofErr w:type="spellStart"/>
      <w:r w:rsidRPr="0023367D">
        <w:rPr>
          <w:rFonts w:ascii="NewBaskerville-Roman" w:hAnsi="NewBaskerville-Roman" w:cs="NewBaskerville-Roman"/>
          <w:szCs w:val="16"/>
        </w:rPr>
        <w:t>Vasvari</w:t>
      </w:r>
      <w:proofErr w:type="spellEnd"/>
      <w:r w:rsidRPr="0023367D">
        <w:rPr>
          <w:rFonts w:ascii="NewBaskerville-Roman" w:hAnsi="NewBaskerville-Roman" w:cs="NewBaskerville-Roman"/>
          <w:szCs w:val="16"/>
        </w:rPr>
        <w:t xml:space="preserve"> 2006)</w:t>
      </w:r>
      <w:r w:rsidR="0084558B">
        <w:rPr>
          <w:rFonts w:ascii="NewBaskerville-Roman" w:hAnsi="NewBaskerville-Roman" w:cs="NewBaskerville-Roman"/>
          <w:szCs w:val="16"/>
        </w:rPr>
        <w:t xml:space="preserve">. </w:t>
      </w:r>
      <w:r w:rsidRPr="0023367D">
        <w:rPr>
          <w:rFonts w:ascii="NewBaskerville-Roman" w:hAnsi="NewBaskerville-Roman" w:cs="NewBaskerville-Roman"/>
          <w:szCs w:val="16"/>
        </w:rPr>
        <w:t xml:space="preserve">This suggests a link between conservative reporting and the information content of accounting numbers for debt holders. </w:t>
      </w:r>
      <w:r w:rsidRPr="0023367D">
        <w:t xml:space="preserve">We </w:t>
      </w:r>
      <w:r w:rsidR="00FA3998" w:rsidRPr="0023367D">
        <w:t xml:space="preserve">thus </w:t>
      </w:r>
      <w:r w:rsidRPr="0023367D">
        <w:t xml:space="preserve">hypothesize that changes in reporting conservatism are positively associated with the relevance of accounting information to bond holders. </w:t>
      </w:r>
    </w:p>
    <w:p w14:paraId="7639667F" w14:textId="1F32D5D8" w:rsidR="00335619" w:rsidRPr="0023367D" w:rsidRDefault="00335619" w:rsidP="00FA3998">
      <w:pPr>
        <w:spacing w:line="480" w:lineRule="auto"/>
        <w:ind w:firstLine="720"/>
      </w:pPr>
      <w:r w:rsidRPr="0023367D">
        <w:t xml:space="preserve">Another reporting attribute that may affect the </w:t>
      </w:r>
      <w:proofErr w:type="spellStart"/>
      <w:r w:rsidRPr="0023367D">
        <w:t>informativeness</w:t>
      </w:r>
      <w:proofErr w:type="spellEnd"/>
      <w:r w:rsidRPr="0023367D">
        <w:t xml:space="preserve"> </w:t>
      </w:r>
      <w:r w:rsidR="00FA3998" w:rsidRPr="0023367D">
        <w:t xml:space="preserve">of accounting numbers </w:t>
      </w:r>
      <w:r w:rsidRPr="0023367D">
        <w:t xml:space="preserve">to bond holders is the extent to which assets and liabilities are measured at </w:t>
      </w:r>
      <w:r w:rsidR="009848ED">
        <w:t xml:space="preserve">their </w:t>
      </w:r>
      <w:r w:rsidRPr="0023367D">
        <w:t xml:space="preserve">fair </w:t>
      </w:r>
      <w:r w:rsidR="00170CCC">
        <w:t xml:space="preserve">market </w:t>
      </w:r>
      <w:r w:rsidRPr="0023367D">
        <w:t>value</w:t>
      </w:r>
      <w:r w:rsidR="009848ED">
        <w:t>s</w:t>
      </w:r>
      <w:r w:rsidR="0084558B">
        <w:t xml:space="preserve">. </w:t>
      </w:r>
      <w:r w:rsidRPr="0023367D">
        <w:t xml:space="preserve">The gradual shift towards fair value measurement (“mark-to-market”) </w:t>
      </w:r>
      <w:r w:rsidR="00FC56E1" w:rsidRPr="0023367D">
        <w:t xml:space="preserve">and the balance sheet approach </w:t>
      </w:r>
      <w:r w:rsidRPr="0023367D">
        <w:t>may have conflicting effects on the usefulness of financial statements to creditors</w:t>
      </w:r>
      <w:r w:rsidR="0084558B">
        <w:t xml:space="preserve">. </w:t>
      </w:r>
      <w:r w:rsidRPr="0023367D">
        <w:t xml:space="preserve">On the one hand, </w:t>
      </w:r>
      <w:r w:rsidR="005161B5">
        <w:t>this</w:t>
      </w:r>
      <w:r w:rsidR="005161B5" w:rsidRPr="0023367D">
        <w:t xml:space="preserve"> </w:t>
      </w:r>
      <w:r w:rsidRPr="0023367D">
        <w:t>shift is likely to increase the relevance of the book value of equity and related financial ratios (such as debt-to-equity) for bond valuation</w:t>
      </w:r>
      <w:r w:rsidR="0084558B">
        <w:t xml:space="preserve">. </w:t>
      </w:r>
      <w:r w:rsidRPr="0023367D">
        <w:t xml:space="preserve">On the other hand, the impact of this shift on </w:t>
      </w:r>
      <w:r w:rsidRPr="0023367D">
        <w:rPr>
          <w:i/>
        </w:rPr>
        <w:t>income numbers</w:t>
      </w:r>
      <w:r w:rsidRPr="0023367D">
        <w:t xml:space="preserve"> is less clear as fair value adjustments result in a poorer matching of revenues and expenses (see </w:t>
      </w:r>
      <w:proofErr w:type="spellStart"/>
      <w:r w:rsidRPr="0023367D">
        <w:t>Dichev</w:t>
      </w:r>
      <w:proofErr w:type="spellEnd"/>
      <w:r w:rsidRPr="0023367D">
        <w:t xml:space="preserve"> and Tang 2008)</w:t>
      </w:r>
      <w:r w:rsidR="0084558B">
        <w:t xml:space="preserve">. </w:t>
      </w:r>
      <w:r w:rsidRPr="0023367D">
        <w:t xml:space="preserve">Further, the use of fair values produces unrealized gains </w:t>
      </w:r>
      <w:r w:rsidR="005E7571" w:rsidRPr="0023367D">
        <w:t xml:space="preserve">and </w:t>
      </w:r>
      <w:r w:rsidRPr="0023367D">
        <w:t>losses in shareholders’ equity that are of a lower degree of verifiability</w:t>
      </w:r>
      <w:r w:rsidR="0084558B">
        <w:t xml:space="preserve">. </w:t>
      </w:r>
      <w:r w:rsidRPr="0023367D">
        <w:t xml:space="preserve">Given that debt contracting parties rely on the book value of equity </w:t>
      </w:r>
      <w:r w:rsidR="003236B6">
        <w:t xml:space="preserve">(or a variation of it, for example, tangible </w:t>
      </w:r>
      <w:r w:rsidR="000E6DEE">
        <w:t xml:space="preserve">net </w:t>
      </w:r>
      <w:r w:rsidR="003236B6">
        <w:t xml:space="preserve">worth) </w:t>
      </w:r>
      <w:r w:rsidRPr="0023367D">
        <w:t xml:space="preserve">as a proxy for the liquidation value of the company, the effect of fair value adjustments may reduce its </w:t>
      </w:r>
      <w:r w:rsidR="00FA3998" w:rsidRPr="0023367D">
        <w:t>relevance</w:t>
      </w:r>
      <w:r w:rsidRPr="0023367D">
        <w:t xml:space="preserve"> in bond valuation and contracting (see </w:t>
      </w:r>
      <w:proofErr w:type="spellStart"/>
      <w:r w:rsidRPr="0023367D">
        <w:t>Holthausen</w:t>
      </w:r>
      <w:proofErr w:type="spellEnd"/>
      <w:r w:rsidRPr="0023367D">
        <w:t xml:space="preserve"> and Watts 2001</w:t>
      </w:r>
      <w:r w:rsidR="005161B5">
        <w:t>;</w:t>
      </w:r>
      <w:r w:rsidR="005161B5" w:rsidRPr="0023367D">
        <w:t xml:space="preserve"> </w:t>
      </w:r>
      <w:r w:rsidRPr="0023367D">
        <w:t>Watts 2003</w:t>
      </w:r>
      <w:r w:rsidR="00FB0C2B" w:rsidRPr="0023367D">
        <w:t>a,</w:t>
      </w:r>
      <w:r w:rsidR="004C4441" w:rsidRPr="0023367D" w:rsidDel="004C4441">
        <w:t xml:space="preserve"> </w:t>
      </w:r>
      <w:r w:rsidR="00FB0C2B" w:rsidRPr="0023367D">
        <w:t>b</w:t>
      </w:r>
      <w:r w:rsidR="005161B5">
        <w:t>;</w:t>
      </w:r>
      <w:r w:rsidR="005161B5" w:rsidRPr="0023367D">
        <w:t xml:space="preserve"> </w:t>
      </w:r>
      <w:r w:rsidRPr="0023367D">
        <w:t>Kothari et al. 2010)</w:t>
      </w:r>
      <w:r w:rsidR="0084558B">
        <w:t xml:space="preserve">. </w:t>
      </w:r>
      <w:r w:rsidRPr="0023367D">
        <w:t xml:space="preserve">Because of these conflicting effects, we do not offer a directional hypothesis </w:t>
      </w:r>
      <w:r w:rsidR="00F31FF3" w:rsidRPr="0023367D">
        <w:t>as</w:t>
      </w:r>
      <w:r w:rsidR="005E7571" w:rsidRPr="0023367D">
        <w:t xml:space="preserve"> to how</w:t>
      </w:r>
      <w:r w:rsidRPr="0023367D">
        <w:t xml:space="preserve"> fair value reporting </w:t>
      </w:r>
      <w:r w:rsidR="005E7571" w:rsidRPr="0023367D">
        <w:t xml:space="preserve">impacts </w:t>
      </w:r>
      <w:r w:rsidRPr="0023367D">
        <w:t xml:space="preserve">the </w:t>
      </w:r>
      <w:r w:rsidR="00FA3998" w:rsidRPr="0023367D">
        <w:t xml:space="preserve">information content of accounting numbers </w:t>
      </w:r>
      <w:r w:rsidRPr="0023367D">
        <w:t xml:space="preserve">for bond valuation. </w:t>
      </w:r>
    </w:p>
    <w:p w14:paraId="131E1465" w14:textId="77777777" w:rsidR="00335619" w:rsidRPr="0023367D" w:rsidRDefault="00335619" w:rsidP="00335619">
      <w:pPr>
        <w:autoSpaceDE w:val="0"/>
        <w:autoSpaceDN w:val="0"/>
        <w:adjustRightInd w:val="0"/>
        <w:spacing w:line="480" w:lineRule="auto"/>
        <w:ind w:firstLine="720"/>
      </w:pPr>
      <w:r w:rsidRPr="0023367D">
        <w:t>Some factors cannot be clearly labeled as either ‘reporting’ or ‘economic’ as they reflect both real economic forces affecting the firm’s performance as well as how this performance is reported</w:t>
      </w:r>
      <w:r w:rsidR="0084558B">
        <w:t xml:space="preserve">. </w:t>
      </w:r>
      <w:r w:rsidRPr="0023367D">
        <w:t>One such factor is the incidence of losses, which is associated both with a firm’s real economic performance as well as its degree of</w:t>
      </w:r>
      <w:r w:rsidR="00927188" w:rsidRPr="0023367D">
        <w:t xml:space="preserve"> reporting</w:t>
      </w:r>
      <w:r w:rsidRPr="0023367D">
        <w:t xml:space="preserve"> conservatism.</w:t>
      </w:r>
      <w:r w:rsidRPr="0023367D">
        <w:rPr>
          <w:rStyle w:val="FootnoteReference"/>
        </w:rPr>
        <w:footnoteReference w:id="6"/>
      </w:r>
      <w:r w:rsidRPr="0023367D">
        <w:t xml:space="preserve">  Given that losses indicate some degree of financial distress, we hypothesize that changes in the frequency of losses are positively correlated with change in the information content of accounting numbers to bond holders. </w:t>
      </w:r>
    </w:p>
    <w:p w14:paraId="04011CB8" w14:textId="7C4280F4" w:rsidR="00335619" w:rsidRPr="0023367D" w:rsidRDefault="00335619" w:rsidP="003236B6">
      <w:pPr>
        <w:spacing w:line="480" w:lineRule="auto"/>
        <w:ind w:firstLine="720"/>
      </w:pPr>
      <w:r w:rsidRPr="0023367D">
        <w:t>Another “hybrid” factor is the intensity of investment</w:t>
      </w:r>
      <w:r w:rsidR="009848ED">
        <w:t>s</w:t>
      </w:r>
      <w:r w:rsidRPr="0023367D">
        <w:t xml:space="preserve"> in intangibles</w:t>
      </w:r>
      <w:r w:rsidR="0084558B">
        <w:t xml:space="preserve">. </w:t>
      </w:r>
      <w:r w:rsidR="006945E7" w:rsidRPr="0023367D">
        <w:t xml:space="preserve">This </w:t>
      </w:r>
      <w:r w:rsidRPr="0023367D">
        <w:t xml:space="preserve">is an economic factor because such investments are characterized by a </w:t>
      </w:r>
      <w:r w:rsidR="003236B6">
        <w:t>greater payoff uncertainty</w:t>
      </w:r>
      <w:r w:rsidRPr="0023367D">
        <w:t xml:space="preserve"> and therefore affect a firm’s credit risk</w:t>
      </w:r>
      <w:r w:rsidR="0084558B">
        <w:t xml:space="preserve">. </w:t>
      </w:r>
      <w:r w:rsidRPr="0023367D">
        <w:t xml:space="preserve">However, </w:t>
      </w:r>
      <w:r w:rsidR="006945E7" w:rsidRPr="0023367D">
        <w:t xml:space="preserve">this </w:t>
      </w:r>
      <w:r w:rsidRPr="0023367D">
        <w:t xml:space="preserve">is also a reporting factor as the value of intangible </w:t>
      </w:r>
      <w:r w:rsidR="009848ED">
        <w:t xml:space="preserve">investments </w:t>
      </w:r>
      <w:r w:rsidRPr="0023367D">
        <w:t xml:space="preserve">reported on the balance sheet differs from </w:t>
      </w:r>
      <w:r w:rsidR="009848ED">
        <w:t>their</w:t>
      </w:r>
      <w:r w:rsidR="009848ED" w:rsidRPr="0023367D">
        <w:t xml:space="preserve"> </w:t>
      </w:r>
      <w:r w:rsidRPr="0023367D">
        <w:t xml:space="preserve">fair </w:t>
      </w:r>
      <w:r w:rsidR="009848ED">
        <w:t xml:space="preserve">market </w:t>
      </w:r>
      <w:r w:rsidRPr="0023367D">
        <w:t>value</w:t>
      </w:r>
      <w:r w:rsidR="009848ED">
        <w:t>s</w:t>
      </w:r>
      <w:r w:rsidRPr="0023367D">
        <w:t xml:space="preserve"> either because </w:t>
      </w:r>
      <w:r w:rsidR="009848ED">
        <w:t>these</w:t>
      </w:r>
      <w:r w:rsidR="009848ED" w:rsidRPr="0023367D">
        <w:t xml:space="preserve"> </w:t>
      </w:r>
      <w:r w:rsidRPr="0023367D">
        <w:t>investment</w:t>
      </w:r>
      <w:r w:rsidR="009848ED">
        <w:t>s</w:t>
      </w:r>
      <w:r w:rsidRPr="0023367D">
        <w:t xml:space="preserve"> </w:t>
      </w:r>
      <w:r w:rsidR="009848ED">
        <w:t>are</w:t>
      </w:r>
      <w:r w:rsidR="009848ED" w:rsidRPr="0023367D">
        <w:t xml:space="preserve"> </w:t>
      </w:r>
      <w:r w:rsidRPr="0023367D">
        <w:t xml:space="preserve">expensed as </w:t>
      </w:r>
      <w:r w:rsidR="009848ED">
        <w:t xml:space="preserve">they are </w:t>
      </w:r>
      <w:r w:rsidRPr="0023367D">
        <w:t xml:space="preserve">incurred (e.g., R&amp;D expenditures) or because </w:t>
      </w:r>
      <w:r w:rsidR="009848ED">
        <w:t>their</w:t>
      </w:r>
      <w:r w:rsidR="009848ED" w:rsidRPr="0023367D">
        <w:t xml:space="preserve"> </w:t>
      </w:r>
      <w:r w:rsidRPr="0023367D">
        <w:t xml:space="preserve">historical cost deviates from </w:t>
      </w:r>
      <w:r w:rsidR="009848ED">
        <w:t>the current</w:t>
      </w:r>
      <w:r w:rsidR="009848ED" w:rsidRPr="0023367D">
        <w:t xml:space="preserve"> </w:t>
      </w:r>
      <w:r w:rsidRPr="0023367D">
        <w:t>fair value (e.g., unamortized goodwill)</w:t>
      </w:r>
      <w:r w:rsidR="0084558B">
        <w:t xml:space="preserve">. </w:t>
      </w:r>
      <w:r w:rsidRPr="0023367D">
        <w:t>There is evidence that the increase in intangible investment</w:t>
      </w:r>
      <w:r w:rsidR="009848ED">
        <w:t>s</w:t>
      </w:r>
      <w:r w:rsidRPr="0023367D">
        <w:t xml:space="preserve"> coupled with the difficulties in adequately representing them in the financial statements tend to reduce the </w:t>
      </w:r>
      <w:r w:rsidR="00927188" w:rsidRPr="0023367D">
        <w:t xml:space="preserve">relevance </w:t>
      </w:r>
      <w:r w:rsidRPr="0023367D">
        <w:t>of accounting information to stockholders (Collins et al. 1997).</w:t>
      </w:r>
      <w:r w:rsidRPr="0023367D">
        <w:rPr>
          <w:rStyle w:val="FootnoteReference"/>
        </w:rPr>
        <w:footnoteReference w:id="7"/>
      </w:r>
      <w:r w:rsidRPr="0023367D">
        <w:t xml:space="preserve">  We therefore expect investment in intangibles to be negatively associated with the usefulness of accounting information to bond holders.</w:t>
      </w:r>
    </w:p>
    <w:p w14:paraId="39B770E6" w14:textId="77777777" w:rsidR="00335619" w:rsidRPr="0023367D" w:rsidRDefault="00E74D8C" w:rsidP="00335619">
      <w:pPr>
        <w:spacing w:before="120" w:line="480" w:lineRule="auto"/>
        <w:rPr>
          <w:b/>
          <w:bCs/>
        </w:rPr>
      </w:pPr>
      <w:r w:rsidRPr="0023367D">
        <w:rPr>
          <w:b/>
          <w:bCs/>
        </w:rPr>
        <w:t>4</w:t>
      </w:r>
      <w:r w:rsidR="00335619" w:rsidRPr="0023367D">
        <w:rPr>
          <w:b/>
          <w:bCs/>
        </w:rPr>
        <w:t>. Methodology</w:t>
      </w:r>
    </w:p>
    <w:p w14:paraId="4D72E7EB" w14:textId="77777777" w:rsidR="00335619" w:rsidRPr="0023367D" w:rsidRDefault="00E74D8C" w:rsidP="00335619">
      <w:pPr>
        <w:spacing w:line="480" w:lineRule="auto"/>
        <w:outlineLvl w:val="0"/>
        <w:rPr>
          <w:b/>
          <w:bCs/>
        </w:rPr>
      </w:pPr>
      <w:r w:rsidRPr="0023367D">
        <w:rPr>
          <w:b/>
          <w:bCs/>
        </w:rPr>
        <w:t>4</w:t>
      </w:r>
      <w:r w:rsidR="00335619" w:rsidRPr="0023367D">
        <w:rPr>
          <w:b/>
          <w:bCs/>
        </w:rPr>
        <w:t>.1. Calculating bond returns</w:t>
      </w:r>
    </w:p>
    <w:p w14:paraId="4C37FD55" w14:textId="77777777" w:rsidR="00335619" w:rsidRPr="0023367D" w:rsidRDefault="00335619" w:rsidP="00335619">
      <w:pPr>
        <w:spacing w:line="480" w:lineRule="auto"/>
        <w:ind w:firstLine="540"/>
      </w:pPr>
      <w:r w:rsidRPr="0023367D">
        <w:t xml:space="preserve">Following Easton et al. (2009), Klein and </w:t>
      </w:r>
      <w:proofErr w:type="spellStart"/>
      <w:r w:rsidRPr="0023367D">
        <w:t>Zur</w:t>
      </w:r>
      <w:proofErr w:type="spellEnd"/>
      <w:r w:rsidRPr="0023367D">
        <w:t xml:space="preserve"> (2011), and Schaefer and </w:t>
      </w:r>
      <w:proofErr w:type="spellStart"/>
      <w:r w:rsidRPr="0023367D">
        <w:t>Strebulaev</w:t>
      </w:r>
      <w:proofErr w:type="spellEnd"/>
      <w:r w:rsidRPr="0023367D">
        <w:t xml:space="preserve"> (2008), we calculate the monthly raw bond return, BR as:</w:t>
      </w:r>
    </w:p>
    <w:p w14:paraId="1AFE935A" w14:textId="77777777" w:rsidR="00335619" w:rsidRPr="0023367D" w:rsidRDefault="00335619" w:rsidP="00335619">
      <w:pPr>
        <w:tabs>
          <w:tab w:val="left" w:pos="1080"/>
        </w:tabs>
        <w:spacing w:line="480" w:lineRule="auto"/>
        <w:rPr>
          <w:rFonts w:eastAsia="Calibri"/>
        </w:rPr>
      </w:pPr>
      <w:r w:rsidRPr="0023367D">
        <w:rPr>
          <w:rFonts w:eastAsia="Calibri"/>
        </w:rPr>
        <w:t xml:space="preserve"> </w:t>
      </w:r>
      <w:r w:rsidRPr="0023367D">
        <w:rPr>
          <w:rFonts w:eastAsia="Calibri"/>
        </w:rPr>
        <w:tab/>
      </w:r>
      <w:proofErr w:type="spellStart"/>
      <w:r w:rsidRPr="0023367D">
        <w:rPr>
          <w:rFonts w:eastAsia="Calibri"/>
        </w:rPr>
        <w:t>BR</w:t>
      </w:r>
      <w:r w:rsidRPr="0023367D">
        <w:rPr>
          <w:rFonts w:eastAsia="Calibri"/>
          <w:vertAlign w:val="subscript"/>
        </w:rPr>
        <w:t>ijt</w:t>
      </w:r>
      <w:proofErr w:type="spellEnd"/>
      <w:r w:rsidRPr="0023367D">
        <w:rPr>
          <w:rFonts w:eastAsia="Calibri"/>
          <w:vertAlign w:val="subscript"/>
        </w:rPr>
        <w:t xml:space="preserve">   </w:t>
      </w:r>
      <w:r w:rsidRPr="0023367D">
        <w:rPr>
          <w:rFonts w:eastAsia="Calibri"/>
        </w:rPr>
        <w:t>= (</w:t>
      </w:r>
      <w:proofErr w:type="spellStart"/>
      <w:r w:rsidRPr="0023367D">
        <w:rPr>
          <w:rFonts w:eastAsia="Calibri"/>
        </w:rPr>
        <w:t>BP</w:t>
      </w:r>
      <w:r w:rsidRPr="0023367D">
        <w:rPr>
          <w:rFonts w:eastAsia="Calibri"/>
          <w:vertAlign w:val="subscript"/>
        </w:rPr>
        <w:t>ijt</w:t>
      </w:r>
      <w:proofErr w:type="spellEnd"/>
      <w:r w:rsidRPr="0023367D">
        <w:rPr>
          <w:rFonts w:eastAsia="Calibri"/>
        </w:rPr>
        <w:t xml:space="preserve"> + </w:t>
      </w:r>
      <w:proofErr w:type="spellStart"/>
      <w:r w:rsidRPr="0023367D">
        <w:rPr>
          <w:rFonts w:eastAsia="Calibri"/>
        </w:rPr>
        <w:t>C</w:t>
      </w:r>
      <w:r w:rsidRPr="0023367D">
        <w:rPr>
          <w:rFonts w:eastAsia="Calibri"/>
          <w:vertAlign w:val="subscript"/>
        </w:rPr>
        <w:t>ijt</w:t>
      </w:r>
      <w:proofErr w:type="spellEnd"/>
      <w:r w:rsidRPr="0023367D">
        <w:rPr>
          <w:rFonts w:eastAsia="Calibri"/>
          <w:vertAlign w:val="subscript"/>
        </w:rPr>
        <w:t xml:space="preserve"> </w:t>
      </w:r>
      <w:r w:rsidRPr="0023367D">
        <w:rPr>
          <w:rFonts w:eastAsia="Calibri"/>
        </w:rPr>
        <w:t>– BP</w:t>
      </w:r>
      <w:r w:rsidRPr="0023367D">
        <w:rPr>
          <w:rFonts w:eastAsia="Calibri"/>
          <w:vertAlign w:val="subscript"/>
        </w:rPr>
        <w:t>ijt-1</w:t>
      </w:r>
      <w:r w:rsidRPr="0023367D">
        <w:rPr>
          <w:rFonts w:eastAsia="Calibri"/>
        </w:rPr>
        <w:t>) / BP</w:t>
      </w:r>
      <w:r w:rsidRPr="0023367D">
        <w:rPr>
          <w:rFonts w:eastAsia="Calibri"/>
          <w:vertAlign w:val="subscript"/>
        </w:rPr>
        <w:t>ijt-1</w:t>
      </w:r>
      <w:r w:rsidRPr="0023367D">
        <w:rPr>
          <w:rFonts w:eastAsia="Calibri"/>
          <w:vertAlign w:val="subscript"/>
        </w:rPr>
        <w:tab/>
      </w:r>
      <w:r w:rsidRPr="0023367D">
        <w:rPr>
          <w:rFonts w:eastAsia="Calibri"/>
          <w:vertAlign w:val="subscript"/>
        </w:rPr>
        <w:tab/>
      </w:r>
      <w:r w:rsidRPr="0023367D">
        <w:rPr>
          <w:rFonts w:eastAsia="Calibri"/>
          <w:vertAlign w:val="subscript"/>
        </w:rPr>
        <w:tab/>
      </w:r>
      <w:r w:rsidRPr="0023367D">
        <w:rPr>
          <w:rFonts w:eastAsia="Calibri"/>
          <w:vertAlign w:val="subscript"/>
        </w:rPr>
        <w:tab/>
      </w:r>
      <w:r w:rsidRPr="0023367D">
        <w:rPr>
          <w:rFonts w:eastAsia="Calibri"/>
          <w:vertAlign w:val="subscript"/>
        </w:rPr>
        <w:tab/>
      </w:r>
      <w:r w:rsidRPr="0023367D">
        <w:rPr>
          <w:rFonts w:eastAsia="Calibri"/>
        </w:rPr>
        <w:t>(1)</w:t>
      </w:r>
    </w:p>
    <w:p w14:paraId="3367A5A2" w14:textId="434794EA" w:rsidR="00335619" w:rsidRPr="0023367D" w:rsidRDefault="00335619" w:rsidP="000E6DEE">
      <w:pPr>
        <w:spacing w:line="480" w:lineRule="auto"/>
      </w:pPr>
      <w:r w:rsidRPr="0023367D">
        <w:t xml:space="preserve">where </w:t>
      </w:r>
      <w:proofErr w:type="spellStart"/>
      <w:r w:rsidRPr="0023367D">
        <w:t>BP</w:t>
      </w:r>
      <w:r w:rsidRPr="0023367D">
        <w:rPr>
          <w:vertAlign w:val="subscript"/>
        </w:rPr>
        <w:t>ijt</w:t>
      </w:r>
      <w:proofErr w:type="spellEnd"/>
      <w:r w:rsidRPr="0023367D">
        <w:t xml:space="preserve"> is the price of bond j issued by firm </w:t>
      </w:r>
      <w:proofErr w:type="spellStart"/>
      <w:r w:rsidRPr="0023367D">
        <w:t>i</w:t>
      </w:r>
      <w:proofErr w:type="spellEnd"/>
      <w:r w:rsidRPr="0023367D">
        <w:t xml:space="preserve"> at the end of month t</w:t>
      </w:r>
      <w:r w:rsidR="005952D0">
        <w:t xml:space="preserve">, calculated </w:t>
      </w:r>
      <w:r w:rsidRPr="0023367D">
        <w:t xml:space="preserve"> </w:t>
      </w:r>
      <w:r w:rsidR="005952D0" w:rsidRPr="0023367D">
        <w:t xml:space="preserve">as the sum of the </w:t>
      </w:r>
      <w:r w:rsidR="00873634">
        <w:t>evaluated</w:t>
      </w:r>
      <w:r w:rsidR="000E6DEE">
        <w:t xml:space="preserve"> </w:t>
      </w:r>
      <w:r w:rsidR="005952D0" w:rsidRPr="0023367D">
        <w:t xml:space="preserve">quoted price </w:t>
      </w:r>
      <w:r w:rsidR="005952D0">
        <w:t xml:space="preserve">(“clean price”) </w:t>
      </w:r>
      <w:r w:rsidR="005952D0" w:rsidRPr="0023367D">
        <w:t>plus the accrued interest at month end</w:t>
      </w:r>
      <w:r w:rsidR="005952D0">
        <w:t xml:space="preserve">. </w:t>
      </w:r>
      <w:proofErr w:type="spellStart"/>
      <w:r w:rsidRPr="0023367D">
        <w:t>C</w:t>
      </w:r>
      <w:r w:rsidRPr="0023367D">
        <w:rPr>
          <w:vertAlign w:val="subscript"/>
        </w:rPr>
        <w:t>ijt</w:t>
      </w:r>
      <w:proofErr w:type="spellEnd"/>
      <w:r w:rsidRPr="0023367D">
        <w:rPr>
          <w:vertAlign w:val="subscript"/>
        </w:rPr>
        <w:t xml:space="preserve"> </w:t>
      </w:r>
      <w:r w:rsidRPr="0023367D">
        <w:t>is the sum of all coupon payments during month t</w:t>
      </w:r>
      <w:r w:rsidR="0084558B">
        <w:t xml:space="preserve">. </w:t>
      </w:r>
      <w:r w:rsidR="006945E7" w:rsidRPr="0023367D">
        <w:t xml:space="preserve">These data were obtained from </w:t>
      </w:r>
      <w:r w:rsidRPr="0023367D">
        <w:t>Interactive Data Pricing and Reference Data (hereafter, Interactive Data)</w:t>
      </w:r>
      <w:r w:rsidR="0084558B">
        <w:t xml:space="preserve">. </w:t>
      </w:r>
      <w:r w:rsidRPr="0023367D">
        <w:t xml:space="preserve"> </w:t>
      </w:r>
    </w:p>
    <w:p w14:paraId="2A4A0BB3" w14:textId="1E5A0768" w:rsidR="00335619" w:rsidRPr="0023367D" w:rsidRDefault="00335619" w:rsidP="005952D0">
      <w:pPr>
        <w:spacing w:line="480" w:lineRule="auto"/>
        <w:ind w:firstLine="540"/>
      </w:pPr>
      <w:r w:rsidRPr="0023367D">
        <w:t>Using monthly bond returns, we calculate the annual buy-and-hold raw bond return over the twelve months beginning the fourth month after the end of the firm’s fiscal year t-1 and ending the third month after the end of the fiscal year t</w:t>
      </w:r>
      <w:r w:rsidR="0084558B">
        <w:t xml:space="preserve">. </w:t>
      </w:r>
      <w:r w:rsidR="005161B5">
        <w:t>Because of the inability to compute the</w:t>
      </w:r>
      <w:r w:rsidR="00876E03">
        <w:t>ir</w:t>
      </w:r>
      <w:r w:rsidR="005161B5">
        <w:t xml:space="preserve"> return, o</w:t>
      </w:r>
      <w:r w:rsidRPr="0023367D">
        <w:t xml:space="preserve">bservations missing </w:t>
      </w:r>
      <w:r w:rsidR="005952D0">
        <w:t xml:space="preserve">the bond price at </w:t>
      </w:r>
      <w:r w:rsidRPr="0023367D">
        <w:t xml:space="preserve">either the </w:t>
      </w:r>
      <w:r w:rsidR="005952D0">
        <w:t xml:space="preserve">beginning or the end </w:t>
      </w:r>
      <w:r w:rsidRPr="0023367D">
        <w:t xml:space="preserve">of the 12-month period are eliminated. </w:t>
      </w:r>
    </w:p>
    <w:p w14:paraId="75AF8F51" w14:textId="77777777" w:rsidR="00335619" w:rsidRPr="0023367D" w:rsidRDefault="00335619" w:rsidP="00335619">
      <w:pPr>
        <w:spacing w:line="480" w:lineRule="auto"/>
        <w:ind w:firstLine="540"/>
      </w:pPr>
      <w:r w:rsidRPr="0023367D">
        <w:t>To compute the excess bond return, we match each bond in our sample with the Treasury bond in the CRSP Monthly Treasury database that is closest in duration to that bond.</w:t>
      </w:r>
      <w:r w:rsidRPr="0023367D">
        <w:rPr>
          <w:rStyle w:val="FootnoteReference"/>
        </w:rPr>
        <w:footnoteReference w:id="8"/>
      </w:r>
      <w:r w:rsidRPr="0023367D">
        <w:t xml:space="preserve">  Excess annual bond returns are calculated by subtracting the buy-and-hold Treasury returns compounded monthly over the above 12-month period from that of the bond return for that period</w:t>
      </w:r>
      <w:r w:rsidR="0084558B">
        <w:t xml:space="preserve">. </w:t>
      </w:r>
      <w:r w:rsidRPr="0023367D">
        <w:t>Similarly, the excess yield-to-maturity of the bonds is calculated by subtracting the yield-to-maturity of similarly matched Treasury bonds.</w:t>
      </w:r>
    </w:p>
    <w:p w14:paraId="6B1A0697" w14:textId="77777777" w:rsidR="00335619" w:rsidRPr="0023367D" w:rsidRDefault="005952D0" w:rsidP="005952D0">
      <w:pPr>
        <w:spacing w:line="480" w:lineRule="auto"/>
        <w:ind w:firstLine="540"/>
      </w:pPr>
      <w:r>
        <w:t xml:space="preserve">Consistent with Francis and </w:t>
      </w:r>
      <w:proofErr w:type="spellStart"/>
      <w:r>
        <w:t>Schipper</w:t>
      </w:r>
      <w:proofErr w:type="spellEnd"/>
      <w:r>
        <w:t xml:space="preserve"> (1999), a</w:t>
      </w:r>
      <w:r w:rsidR="00335619" w:rsidRPr="0023367D">
        <w:t>nnual abnormal stock returns are computed as the annual stock return minus the annual equal-weighted market return</w:t>
      </w:r>
      <w:r w:rsidR="0084558B">
        <w:t>.</w:t>
      </w:r>
      <w:r>
        <w:rPr>
          <w:rStyle w:val="FootnoteReference"/>
        </w:rPr>
        <w:footnoteReference w:id="9"/>
      </w:r>
      <w:r w:rsidR="0084558B">
        <w:t xml:space="preserve"> </w:t>
      </w:r>
      <w:r w:rsidR="00335619" w:rsidRPr="0023367D">
        <w:t xml:space="preserve">Both return series are calculated as the buy-and-hold returns and retrieved from the CRSP monthly returns files. </w:t>
      </w:r>
    </w:p>
    <w:p w14:paraId="607BCBE9" w14:textId="77777777" w:rsidR="00335619" w:rsidRPr="0023367D" w:rsidRDefault="00E74D8C" w:rsidP="00335619">
      <w:pPr>
        <w:keepNext/>
        <w:spacing w:line="480" w:lineRule="auto"/>
        <w:outlineLvl w:val="0"/>
        <w:rPr>
          <w:b/>
          <w:bCs/>
        </w:rPr>
      </w:pPr>
      <w:r w:rsidRPr="0023367D">
        <w:rPr>
          <w:b/>
          <w:bCs/>
        </w:rPr>
        <w:t>4</w:t>
      </w:r>
      <w:r w:rsidR="00335619" w:rsidRPr="0023367D">
        <w:rPr>
          <w:b/>
          <w:bCs/>
        </w:rPr>
        <w:t>.2. Measuring value-relevance</w:t>
      </w:r>
    </w:p>
    <w:p w14:paraId="084A89A2" w14:textId="77777777" w:rsidR="00335619" w:rsidRPr="0023367D" w:rsidRDefault="00335619" w:rsidP="00502DE0">
      <w:pPr>
        <w:spacing w:line="480" w:lineRule="auto"/>
        <w:ind w:firstLine="540"/>
      </w:pPr>
      <w:r w:rsidRPr="0023367D">
        <w:t xml:space="preserve">To measure the information content of accounting numbers to </w:t>
      </w:r>
      <w:r w:rsidR="003D35F3">
        <w:t>security (bond or stock)</w:t>
      </w:r>
      <w:r w:rsidR="003D35F3" w:rsidRPr="0023367D">
        <w:t xml:space="preserve"> </w:t>
      </w:r>
      <w:r w:rsidRPr="0023367D">
        <w:t xml:space="preserve">holders, we use the degree of association between accounting information and </w:t>
      </w:r>
      <w:r w:rsidR="003D35F3">
        <w:t xml:space="preserve">the security </w:t>
      </w:r>
      <w:r w:rsidRPr="0023367D">
        <w:t>valuation and bond returns</w:t>
      </w:r>
      <w:r w:rsidR="0084558B">
        <w:t xml:space="preserve">. </w:t>
      </w:r>
      <w:r w:rsidRPr="0023367D">
        <w:t>This association is assessed by the adjusted R</w:t>
      </w:r>
      <w:r w:rsidRPr="0023367D">
        <w:rPr>
          <w:vertAlign w:val="superscript"/>
        </w:rPr>
        <w:t>2</w:t>
      </w:r>
      <w:r w:rsidRPr="0023367D">
        <w:t xml:space="preserve"> from a regression of values</w:t>
      </w:r>
      <w:r w:rsidR="009848ED">
        <w:t xml:space="preserve"> or </w:t>
      </w:r>
      <w:r w:rsidRPr="0023367D">
        <w:t>returns on accounting information.</w:t>
      </w:r>
    </w:p>
    <w:p w14:paraId="2E8EB31E" w14:textId="77777777" w:rsidR="00335619" w:rsidRPr="0023367D" w:rsidRDefault="00E74D8C" w:rsidP="00335619">
      <w:pPr>
        <w:spacing w:line="480" w:lineRule="auto"/>
      </w:pPr>
      <w:r w:rsidRPr="0023367D">
        <w:rPr>
          <w:b/>
        </w:rPr>
        <w:t>4</w:t>
      </w:r>
      <w:r w:rsidR="00335619" w:rsidRPr="0023367D">
        <w:rPr>
          <w:b/>
        </w:rPr>
        <w:t xml:space="preserve">.2.1. </w:t>
      </w:r>
      <w:r w:rsidR="00335619" w:rsidRPr="0023367D">
        <w:rPr>
          <w:b/>
        </w:rPr>
        <w:tab/>
        <w:t xml:space="preserve">Stock and bond valuation models. </w:t>
      </w:r>
      <w:r w:rsidR="00335619" w:rsidRPr="0023367D">
        <w:t xml:space="preserve">The association between </w:t>
      </w:r>
      <w:r w:rsidR="00335619" w:rsidRPr="0023367D">
        <w:rPr>
          <w:i/>
          <w:iCs/>
        </w:rPr>
        <w:t>stock</w:t>
      </w:r>
      <w:r w:rsidR="00335619" w:rsidRPr="0023367D">
        <w:t xml:space="preserve"> valuation and accounting information is estimated from the following regression:</w:t>
      </w:r>
    </w:p>
    <w:p w14:paraId="337A4045" w14:textId="77777777" w:rsidR="00335619" w:rsidRPr="0023367D" w:rsidRDefault="00335619" w:rsidP="00335619">
      <w:pPr>
        <w:spacing w:line="480" w:lineRule="auto"/>
        <w:ind w:firstLine="720"/>
        <w:jc w:val="center"/>
      </w:pPr>
      <w:proofErr w:type="spellStart"/>
      <w:r w:rsidRPr="0023367D">
        <w:t>MVPS</w:t>
      </w:r>
      <w:r w:rsidRPr="0023367D">
        <w:rPr>
          <w:vertAlign w:val="subscript"/>
        </w:rPr>
        <w:t>j</w:t>
      </w:r>
      <w:proofErr w:type="gramStart"/>
      <w:r w:rsidRPr="0023367D">
        <w:rPr>
          <w:vertAlign w:val="subscript"/>
        </w:rPr>
        <w:t>,t</w:t>
      </w:r>
      <w:proofErr w:type="spellEnd"/>
      <w:proofErr w:type="gramEnd"/>
      <w:r w:rsidRPr="0023367D">
        <w:t xml:space="preserve"> = β</w:t>
      </w:r>
      <w:r w:rsidRPr="0023367D">
        <w:rPr>
          <w:vertAlign w:val="subscript"/>
        </w:rPr>
        <w:t>0.t</w:t>
      </w:r>
      <w:r w:rsidRPr="0023367D">
        <w:t xml:space="preserve"> + β</w:t>
      </w:r>
      <w:r w:rsidRPr="0023367D">
        <w:rPr>
          <w:vertAlign w:val="subscript"/>
        </w:rPr>
        <w:t xml:space="preserve">1.t </w:t>
      </w:r>
      <w:proofErr w:type="spellStart"/>
      <w:r w:rsidRPr="0023367D">
        <w:t>EPS</w:t>
      </w:r>
      <w:r w:rsidRPr="0023367D">
        <w:rPr>
          <w:vertAlign w:val="subscript"/>
        </w:rPr>
        <w:t>j,t</w:t>
      </w:r>
      <w:proofErr w:type="spellEnd"/>
      <w:r w:rsidRPr="0023367D">
        <w:t>+ β</w:t>
      </w:r>
      <w:r w:rsidRPr="0023367D">
        <w:rPr>
          <w:vertAlign w:val="subscript"/>
        </w:rPr>
        <w:t xml:space="preserve">2.t </w:t>
      </w:r>
      <w:proofErr w:type="spellStart"/>
      <w:r w:rsidRPr="0023367D">
        <w:t>BVPS</w:t>
      </w:r>
      <w:r w:rsidRPr="0023367D">
        <w:rPr>
          <w:vertAlign w:val="subscript"/>
        </w:rPr>
        <w:t>j,t</w:t>
      </w:r>
      <w:proofErr w:type="spellEnd"/>
      <w:r w:rsidRPr="0023367D">
        <w:t xml:space="preserve"> + </w:t>
      </w:r>
      <w:proofErr w:type="spellStart"/>
      <w:r w:rsidRPr="0023367D">
        <w:t>ε</w:t>
      </w:r>
      <w:r w:rsidRPr="0023367D">
        <w:rPr>
          <w:vertAlign w:val="subscript"/>
        </w:rPr>
        <w:t>j,t</w:t>
      </w:r>
      <w:proofErr w:type="spellEnd"/>
      <w:r w:rsidRPr="0023367D">
        <w:tab/>
      </w:r>
      <w:r w:rsidRPr="0023367D">
        <w:tab/>
      </w:r>
      <w:r w:rsidRPr="0023367D">
        <w:tab/>
      </w:r>
      <w:r w:rsidRPr="0023367D">
        <w:tab/>
      </w:r>
      <w:r w:rsidRPr="0023367D">
        <w:tab/>
        <w:t xml:space="preserve"> (2)</w:t>
      </w:r>
    </w:p>
    <w:p w14:paraId="74005DA5" w14:textId="284D644F" w:rsidR="00335619" w:rsidRPr="0023367D" w:rsidRDefault="00335619" w:rsidP="00335619">
      <w:pPr>
        <w:autoSpaceDE w:val="0"/>
        <w:autoSpaceDN w:val="0"/>
        <w:adjustRightInd w:val="0"/>
        <w:spacing w:line="480" w:lineRule="auto"/>
      </w:pPr>
      <w:r w:rsidRPr="0023367D">
        <w:t xml:space="preserve">where </w:t>
      </w:r>
      <w:proofErr w:type="spellStart"/>
      <w:r w:rsidRPr="0023367D">
        <w:t>MVPS</w:t>
      </w:r>
      <w:r w:rsidRPr="0023367D">
        <w:rPr>
          <w:vertAlign w:val="subscript"/>
        </w:rPr>
        <w:t>j</w:t>
      </w:r>
      <w:proofErr w:type="spellEnd"/>
      <w:r w:rsidR="005161B5">
        <w:rPr>
          <w:vertAlign w:val="subscript"/>
        </w:rPr>
        <w:t>,</w:t>
      </w:r>
      <w:r w:rsidRPr="0023367D">
        <w:rPr>
          <w:vertAlign w:val="subscript"/>
        </w:rPr>
        <w:t xml:space="preserve"> t</w:t>
      </w:r>
      <w:r w:rsidRPr="0023367D">
        <w:t xml:space="preserve"> is the market value </w:t>
      </w:r>
      <w:r w:rsidR="009848ED">
        <w:t xml:space="preserve">per share </w:t>
      </w:r>
      <w:r w:rsidRPr="0023367D">
        <w:t>of firm j at the end of the third month following the end of fiscal year t</w:t>
      </w:r>
      <w:r w:rsidR="0084558B">
        <w:t xml:space="preserve">. </w:t>
      </w:r>
      <w:r w:rsidRPr="0023367D">
        <w:t>EPS is diluted earnings per share before extraordinary items and BVPS is the book value of the equity per share at the end of year t.</w:t>
      </w:r>
      <w:r w:rsidRPr="0023367D">
        <w:rPr>
          <w:rStyle w:val="FootnoteReference"/>
        </w:rPr>
        <w:footnoteReference w:id="10"/>
      </w:r>
      <w:r w:rsidRPr="0023367D">
        <w:t xml:space="preserve">  All observations in the stock valuation regressions (as well as the bond </w:t>
      </w:r>
      <w:r w:rsidR="00493CF1" w:rsidRPr="0023367D">
        <w:t>valuation</w:t>
      </w:r>
      <w:r w:rsidR="00FB0C2B" w:rsidRPr="0023367D">
        <w:t xml:space="preserve"> and </w:t>
      </w:r>
      <w:r w:rsidRPr="0023367D">
        <w:t xml:space="preserve">return regressions presented below) are </w:t>
      </w:r>
      <w:proofErr w:type="spellStart"/>
      <w:r w:rsidRPr="0023367D">
        <w:t>Winsorized</w:t>
      </w:r>
      <w:proofErr w:type="spellEnd"/>
      <w:r w:rsidRPr="0023367D">
        <w:t xml:space="preserve"> at the 1% and 99% levels.</w:t>
      </w:r>
      <w:r w:rsidRPr="0023367D">
        <w:rPr>
          <w:rStyle w:val="FootnoteReference"/>
        </w:rPr>
        <w:footnoteReference w:id="11"/>
      </w:r>
      <w:r w:rsidRPr="0023367D">
        <w:t xml:space="preserve"> </w:t>
      </w:r>
    </w:p>
    <w:p w14:paraId="4D158730" w14:textId="77777777" w:rsidR="00335619" w:rsidRPr="0023367D" w:rsidRDefault="00335619" w:rsidP="00335619">
      <w:pPr>
        <w:spacing w:line="480" w:lineRule="auto"/>
        <w:ind w:firstLine="540"/>
      </w:pPr>
      <w:r w:rsidRPr="0023367D">
        <w:rPr>
          <w:rFonts w:eastAsia="Calibri"/>
          <w:lang w:bidi="he-IL"/>
        </w:rPr>
        <w:t xml:space="preserve">The association between </w:t>
      </w:r>
      <w:r w:rsidRPr="0023367D">
        <w:rPr>
          <w:rFonts w:eastAsia="Calibri"/>
          <w:i/>
          <w:lang w:bidi="he-IL"/>
        </w:rPr>
        <w:t>bond</w:t>
      </w:r>
      <w:r w:rsidRPr="0023367D">
        <w:rPr>
          <w:rFonts w:eastAsia="Calibri"/>
          <w:lang w:bidi="he-IL"/>
        </w:rPr>
        <w:t xml:space="preserve"> valuation and accounting information is measured using both </w:t>
      </w:r>
      <w:r w:rsidRPr="0023367D">
        <w:t>market-based variables (e.g., Merton’s (1974) “distance to default”) and accounting-based variables that reflect the firm’s financial risk</w:t>
      </w:r>
      <w:r w:rsidR="0084558B">
        <w:t xml:space="preserve">. </w:t>
      </w:r>
      <w:r w:rsidRPr="0023367D">
        <w:t>Both have been shown to provide incremental information in explaining credit spreads (see, for example, Das et al. 2009)</w:t>
      </w:r>
      <w:r w:rsidR="0084558B">
        <w:t xml:space="preserve">. </w:t>
      </w:r>
      <w:r w:rsidRPr="0023367D">
        <w:t xml:space="preserve">The accounting variables in our model are those </w:t>
      </w:r>
      <w:r w:rsidR="003E3451" w:rsidRPr="0023367D">
        <w:t xml:space="preserve">employed </w:t>
      </w:r>
      <w:r w:rsidRPr="0023367D">
        <w:t xml:space="preserve">by earlier researchers (Beaver et al. 2005, Beaver et al. 2012 and </w:t>
      </w:r>
      <w:proofErr w:type="spellStart"/>
      <w:r w:rsidRPr="0023367D">
        <w:t>Correia</w:t>
      </w:r>
      <w:proofErr w:type="spellEnd"/>
      <w:r w:rsidRPr="0023367D">
        <w:t xml:space="preserve"> et al. 2012)</w:t>
      </w:r>
      <w:r w:rsidR="004C3CE7" w:rsidRPr="0023367D">
        <w:t>,</w:t>
      </w:r>
      <w:r w:rsidRPr="0023367D">
        <w:t xml:space="preserve"> augmented by a market-based variable,</w:t>
      </w:r>
      <w:r w:rsidR="0088365D" w:rsidRPr="0023367D">
        <w:t xml:space="preserve"> </w:t>
      </w:r>
      <w:r w:rsidRPr="0023367D">
        <w:t xml:space="preserve">PROB, the estimated probability of default, as follows: </w:t>
      </w:r>
    </w:p>
    <w:p w14:paraId="4DF02D34" w14:textId="77777777" w:rsidR="00335619" w:rsidRPr="0023367D" w:rsidRDefault="00335619" w:rsidP="00990148">
      <w:pPr>
        <w:ind w:left="1980" w:hanging="1350"/>
        <w:rPr>
          <w:color w:val="000000"/>
        </w:rPr>
      </w:pPr>
      <w:proofErr w:type="spellStart"/>
      <w:r w:rsidRPr="0023367D">
        <w:t>YSpread</w:t>
      </w:r>
      <w:proofErr w:type="spellEnd"/>
      <w:r w:rsidRPr="0023367D">
        <w:rPr>
          <w:vertAlign w:val="subscript"/>
        </w:rPr>
        <w:t xml:space="preserve"> </w:t>
      </w:r>
      <w:proofErr w:type="spellStart"/>
      <w:r w:rsidRPr="0023367D">
        <w:rPr>
          <w:vertAlign w:val="subscript"/>
        </w:rPr>
        <w:t>j</w:t>
      </w:r>
      <w:proofErr w:type="gramStart"/>
      <w:r w:rsidRPr="0023367D">
        <w:rPr>
          <w:vertAlign w:val="subscript"/>
        </w:rPr>
        <w:t>,t</w:t>
      </w:r>
      <w:proofErr w:type="spellEnd"/>
      <w:proofErr w:type="gramEnd"/>
      <w:r w:rsidRPr="0023367D">
        <w:rPr>
          <w:sz w:val="28"/>
          <w:szCs w:val="28"/>
        </w:rPr>
        <w:t xml:space="preserve"> = </w:t>
      </w:r>
      <w:r w:rsidRPr="0023367D">
        <w:rPr>
          <w:rFonts w:ascii="Blackadder ITC" w:hAnsi="Blackadder ITC" w:cs="Andalus"/>
          <w:sz w:val="28"/>
          <w:szCs w:val="28"/>
        </w:rPr>
        <w:t>f</w:t>
      </w:r>
      <w:r w:rsidRPr="0023367D">
        <w:t xml:space="preserve"> {</w:t>
      </w:r>
      <w:r w:rsidRPr="0023367D">
        <w:rPr>
          <w:color w:val="000000"/>
        </w:rPr>
        <w:t>ROA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(EBITDA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xml:space="preserve">/ </w:t>
      </w:r>
      <w:proofErr w:type="spellStart"/>
      <w:r w:rsidRPr="0023367D">
        <w:rPr>
          <w:color w:val="000000"/>
        </w:rPr>
        <w:t>Liab</w:t>
      </w:r>
      <w:proofErr w:type="spellEnd"/>
      <w:r w:rsidRPr="0023367D">
        <w:rPr>
          <w:color w:val="000000"/>
        </w:rPr>
        <w:t xml:space="preserve"> </w:t>
      </w:r>
      <w:proofErr w:type="spellStart"/>
      <w:r w:rsidRPr="0023367D">
        <w:rPr>
          <w:vertAlign w:val="subscript"/>
        </w:rPr>
        <w:t>j,t</w:t>
      </w:r>
      <w:proofErr w:type="spellEnd"/>
      <w:r w:rsidRPr="0023367D">
        <w:rPr>
          <w:color w:val="000000"/>
          <w:vertAlign w:val="subscript"/>
        </w:rPr>
        <w:t xml:space="preserve"> -1</w:t>
      </w:r>
      <w:r w:rsidRPr="0023367D">
        <w:rPr>
          <w:color w:val="000000"/>
        </w:rPr>
        <w:t>), (</w:t>
      </w:r>
      <w:proofErr w:type="spellStart"/>
      <w:r w:rsidRPr="0023367D">
        <w:rPr>
          <w:color w:val="000000"/>
        </w:rPr>
        <w:t>Liab</w:t>
      </w:r>
      <w:proofErr w:type="spellEnd"/>
      <w:r w:rsidRPr="0023367D">
        <w:rPr>
          <w:vertAlign w:val="subscript"/>
        </w:rPr>
        <w:t xml:space="preserve"> </w:t>
      </w:r>
      <w:proofErr w:type="spellStart"/>
      <w:r w:rsidRPr="0023367D">
        <w:rPr>
          <w:vertAlign w:val="subscript"/>
        </w:rPr>
        <w:t>j,t</w:t>
      </w:r>
      <w:proofErr w:type="spellEnd"/>
      <w:r w:rsidRPr="0023367D">
        <w:rPr>
          <w:color w:val="000000"/>
        </w:rPr>
        <w:t xml:space="preserve"> /Assets</w:t>
      </w:r>
      <w:r w:rsidRPr="0023367D">
        <w:rPr>
          <w:vertAlign w:val="subscript"/>
        </w:rPr>
        <w:t xml:space="preserve"> </w:t>
      </w:r>
      <w:proofErr w:type="spellStart"/>
      <w:r w:rsidRPr="0023367D">
        <w:rPr>
          <w:vertAlign w:val="subscript"/>
        </w:rPr>
        <w:t>j,t</w:t>
      </w:r>
      <w:proofErr w:type="spellEnd"/>
      <w:r w:rsidRPr="0023367D">
        <w:rPr>
          <w:color w:val="000000"/>
        </w:rPr>
        <w:t>), LOSS</w:t>
      </w:r>
      <w:r w:rsidRPr="0023367D">
        <w:rPr>
          <w:vertAlign w:val="subscript"/>
        </w:rPr>
        <w:t xml:space="preserve"> </w:t>
      </w:r>
      <w:proofErr w:type="spellStart"/>
      <w:r w:rsidRPr="0023367D">
        <w:rPr>
          <w:vertAlign w:val="subscript"/>
        </w:rPr>
        <w:t>j,t</w:t>
      </w:r>
      <w:proofErr w:type="spellEnd"/>
      <w:r w:rsidRPr="0023367D">
        <w:rPr>
          <w:color w:val="000000"/>
        </w:rPr>
        <w:t xml:space="preserve">, </w:t>
      </w:r>
    </w:p>
    <w:p w14:paraId="12030BE5" w14:textId="77777777" w:rsidR="00335619" w:rsidRPr="0023367D" w:rsidRDefault="00335619" w:rsidP="00990148">
      <w:pPr>
        <w:ind w:left="1980"/>
        <w:rPr>
          <w:color w:val="000000"/>
        </w:rPr>
      </w:pPr>
      <w:r w:rsidRPr="0023367D">
        <w:rPr>
          <w:color w:val="000000"/>
        </w:rPr>
        <w:t>LOSS</w:t>
      </w:r>
      <w:r w:rsidRPr="0023367D">
        <w:rPr>
          <w:vertAlign w:val="subscript"/>
        </w:rPr>
        <w:t xml:space="preserve"> </w:t>
      </w:r>
      <w:proofErr w:type="spellStart"/>
      <w:r w:rsidRPr="0023367D">
        <w:rPr>
          <w:vertAlign w:val="subscript"/>
        </w:rPr>
        <w:t>j</w:t>
      </w:r>
      <w:proofErr w:type="gramStart"/>
      <w:r w:rsidRPr="0023367D">
        <w:rPr>
          <w:vertAlign w:val="subscript"/>
        </w:rPr>
        <w:t>,t</w:t>
      </w:r>
      <w:proofErr w:type="spellEnd"/>
      <w:proofErr w:type="gramEnd"/>
      <w:r w:rsidRPr="0023367D">
        <w:rPr>
          <w:color w:val="000000"/>
        </w:rPr>
        <w:t xml:space="preserve"> *ROA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LOSS</w:t>
      </w:r>
      <w:r w:rsidRPr="0023367D">
        <w:rPr>
          <w:vertAlign w:val="subscript"/>
        </w:rPr>
        <w:t xml:space="preserve"> </w:t>
      </w:r>
      <w:proofErr w:type="spellStart"/>
      <w:r w:rsidRPr="0023367D">
        <w:rPr>
          <w:vertAlign w:val="subscript"/>
        </w:rPr>
        <w:t>j,t</w:t>
      </w:r>
      <w:proofErr w:type="spellEnd"/>
      <w:r w:rsidRPr="0023367D">
        <w:rPr>
          <w:color w:val="000000"/>
        </w:rPr>
        <w:t xml:space="preserve"> * (EBITDA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xml:space="preserve">/ </w:t>
      </w:r>
      <w:proofErr w:type="spellStart"/>
      <w:r w:rsidRPr="0023367D">
        <w:rPr>
          <w:color w:val="000000"/>
        </w:rPr>
        <w:t>Liab</w:t>
      </w:r>
      <w:proofErr w:type="spellEnd"/>
      <w:r w:rsidRPr="0023367D">
        <w:rPr>
          <w:color w:val="000000"/>
        </w:rPr>
        <w:t xml:space="preserve"> </w:t>
      </w:r>
      <w:proofErr w:type="spellStart"/>
      <w:r w:rsidRPr="0023367D">
        <w:rPr>
          <w:vertAlign w:val="subscript"/>
        </w:rPr>
        <w:t>j,t</w:t>
      </w:r>
      <w:proofErr w:type="spellEnd"/>
      <w:r w:rsidRPr="0023367D">
        <w:rPr>
          <w:color w:val="000000"/>
          <w:vertAlign w:val="subscript"/>
        </w:rPr>
        <w:t xml:space="preserve"> -1</w:t>
      </w:r>
      <w:r w:rsidRPr="0023367D">
        <w:rPr>
          <w:color w:val="000000"/>
        </w:rPr>
        <w:t xml:space="preserve">), </w:t>
      </w:r>
    </w:p>
    <w:p w14:paraId="19EC082A" w14:textId="77777777" w:rsidR="00335619" w:rsidRPr="0023367D" w:rsidRDefault="00335619" w:rsidP="00990148">
      <w:pPr>
        <w:ind w:left="1980"/>
      </w:pPr>
      <w:r w:rsidRPr="0023367D">
        <w:rPr>
          <w:color w:val="000000"/>
        </w:rPr>
        <w:t>LOSS</w:t>
      </w:r>
      <w:r w:rsidRPr="0023367D">
        <w:rPr>
          <w:vertAlign w:val="subscript"/>
        </w:rPr>
        <w:t xml:space="preserve"> </w:t>
      </w:r>
      <w:proofErr w:type="spellStart"/>
      <w:r w:rsidRPr="0023367D">
        <w:rPr>
          <w:vertAlign w:val="subscript"/>
        </w:rPr>
        <w:t>j</w:t>
      </w:r>
      <w:proofErr w:type="gramStart"/>
      <w:r w:rsidRPr="0023367D">
        <w:rPr>
          <w:vertAlign w:val="subscript"/>
        </w:rPr>
        <w:t>,t</w:t>
      </w:r>
      <w:proofErr w:type="spellEnd"/>
      <w:proofErr w:type="gramEnd"/>
      <w:r w:rsidRPr="0023367D">
        <w:rPr>
          <w:color w:val="000000"/>
        </w:rPr>
        <w:t xml:space="preserve"> *(</w:t>
      </w:r>
      <w:proofErr w:type="spellStart"/>
      <w:r w:rsidRPr="0023367D">
        <w:rPr>
          <w:color w:val="000000"/>
        </w:rPr>
        <w:t>Liab</w:t>
      </w:r>
      <w:proofErr w:type="spellEnd"/>
      <w:r w:rsidRPr="0023367D">
        <w:rPr>
          <w:vertAlign w:val="subscript"/>
        </w:rPr>
        <w:t xml:space="preserve"> </w:t>
      </w:r>
      <w:proofErr w:type="spellStart"/>
      <w:r w:rsidRPr="0023367D">
        <w:rPr>
          <w:vertAlign w:val="subscript"/>
        </w:rPr>
        <w:t>j,t</w:t>
      </w:r>
      <w:proofErr w:type="spellEnd"/>
      <w:r w:rsidRPr="0023367D">
        <w:rPr>
          <w:color w:val="000000"/>
        </w:rPr>
        <w:t xml:space="preserve"> /Assets</w:t>
      </w:r>
      <w:r w:rsidRPr="0023367D">
        <w:rPr>
          <w:vertAlign w:val="subscript"/>
        </w:rPr>
        <w:t xml:space="preserve"> </w:t>
      </w:r>
      <w:proofErr w:type="spellStart"/>
      <w:r w:rsidRPr="0023367D">
        <w:rPr>
          <w:vertAlign w:val="subscript"/>
        </w:rPr>
        <w:t>j,t</w:t>
      </w:r>
      <w:proofErr w:type="spellEnd"/>
      <w:r w:rsidRPr="0023367D">
        <w:rPr>
          <w:color w:val="000000"/>
        </w:rPr>
        <w:t>), PROB</w:t>
      </w:r>
      <w:r w:rsidRPr="0023367D">
        <w:rPr>
          <w:vertAlign w:val="subscript"/>
        </w:rPr>
        <w:t xml:space="preserve"> </w:t>
      </w:r>
      <w:proofErr w:type="spellStart"/>
      <w:r w:rsidRPr="0023367D">
        <w:rPr>
          <w:vertAlign w:val="subscript"/>
        </w:rPr>
        <w:t>j,t</w:t>
      </w:r>
      <w:proofErr w:type="spellEnd"/>
      <w:r w:rsidRPr="0023367D">
        <w:rPr>
          <w:color w:val="000000"/>
        </w:rPr>
        <w:t xml:space="preserve">}        </w:t>
      </w:r>
      <w:r w:rsidRPr="0023367D">
        <w:rPr>
          <w:color w:val="000000"/>
        </w:rPr>
        <w:tab/>
      </w:r>
      <w:r w:rsidRPr="0023367D">
        <w:rPr>
          <w:color w:val="000000"/>
        </w:rPr>
        <w:tab/>
      </w:r>
      <w:r w:rsidR="00990148">
        <w:rPr>
          <w:color w:val="000000"/>
        </w:rPr>
        <w:t xml:space="preserve">                    </w:t>
      </w:r>
      <w:r w:rsidRPr="0023367D">
        <w:rPr>
          <w:color w:val="000000"/>
        </w:rPr>
        <w:t xml:space="preserve"> (3)</w:t>
      </w:r>
    </w:p>
    <w:p w14:paraId="0F020109" w14:textId="77777777" w:rsidR="00335619" w:rsidRPr="0023367D" w:rsidRDefault="00335619" w:rsidP="000E6DEE">
      <w:pPr>
        <w:autoSpaceDE w:val="0"/>
        <w:autoSpaceDN w:val="0"/>
        <w:adjustRightInd w:val="0"/>
        <w:spacing w:before="240" w:line="480" w:lineRule="auto"/>
      </w:pPr>
      <w:proofErr w:type="spellStart"/>
      <w:r w:rsidRPr="0023367D">
        <w:t>YSpread</w:t>
      </w:r>
      <w:r w:rsidRPr="0023367D">
        <w:rPr>
          <w:vertAlign w:val="subscript"/>
        </w:rPr>
        <w:t>j</w:t>
      </w:r>
      <w:proofErr w:type="gramStart"/>
      <w:r w:rsidRPr="0023367D">
        <w:rPr>
          <w:vertAlign w:val="subscript"/>
        </w:rPr>
        <w:t>,t</w:t>
      </w:r>
      <w:proofErr w:type="spellEnd"/>
      <w:proofErr w:type="gramEnd"/>
      <w:r w:rsidRPr="0023367D">
        <w:t xml:space="preserve"> is the yield spread (or the “excess” yield) on firm j at the end of the third month following the end of fiscal year t</w:t>
      </w:r>
      <w:r w:rsidR="0084558B">
        <w:t xml:space="preserve">. </w:t>
      </w:r>
      <w:r w:rsidRPr="0023367D">
        <w:t xml:space="preserve">The yield spread is measured as the difference between the yield-to-maturity on the bond and yield-to-maturity of the matched Treasury note as described in section </w:t>
      </w:r>
      <w:r w:rsidR="00E74D8C" w:rsidRPr="0023367D">
        <w:t>4</w:t>
      </w:r>
      <w:r w:rsidRPr="0023367D">
        <w:t>.1</w:t>
      </w:r>
      <w:r w:rsidR="0084558B">
        <w:t xml:space="preserve">. </w:t>
      </w:r>
      <w:r w:rsidRPr="0023367D">
        <w:t>ROA</w:t>
      </w:r>
      <w:r w:rsidR="00EE30A2" w:rsidRPr="0023367D">
        <w:rPr>
          <w:vertAlign w:val="subscript"/>
        </w:rPr>
        <w:t xml:space="preserve"> </w:t>
      </w:r>
      <w:proofErr w:type="spellStart"/>
      <w:r w:rsidR="00EE30A2" w:rsidRPr="0023367D">
        <w:rPr>
          <w:vertAlign w:val="subscript"/>
        </w:rPr>
        <w:t>j,t</w:t>
      </w:r>
      <w:proofErr w:type="spellEnd"/>
      <w:r w:rsidR="00990148">
        <w:t>,</w:t>
      </w:r>
      <w:r w:rsidRPr="0023367D">
        <w:t xml:space="preserve"> the return on assets</w:t>
      </w:r>
      <w:r w:rsidR="00990148">
        <w:t>,</w:t>
      </w:r>
      <w:r w:rsidRPr="0023367D">
        <w:t xml:space="preserve"> is </w:t>
      </w:r>
      <w:r w:rsidR="00990148">
        <w:t xml:space="preserve">computed as </w:t>
      </w:r>
      <w:r w:rsidR="00EE30A2">
        <w:t xml:space="preserve">firm j’s </w:t>
      </w:r>
      <w:r w:rsidR="00502DE0">
        <w:t xml:space="preserve">net income </w:t>
      </w:r>
      <w:r w:rsidRPr="0023367D">
        <w:t xml:space="preserve">before interest </w:t>
      </w:r>
      <w:r w:rsidR="00EE30A2">
        <w:t xml:space="preserve">for fiscal year t </w:t>
      </w:r>
      <w:r w:rsidRPr="0023367D">
        <w:t xml:space="preserve">divided by total assets at the beginning of </w:t>
      </w:r>
      <w:r w:rsidR="00EE30A2">
        <w:t>that year.</w:t>
      </w:r>
      <w:r w:rsidR="0084558B">
        <w:t xml:space="preserve"> </w:t>
      </w:r>
      <w:r w:rsidRPr="0023367D">
        <w:rPr>
          <w:iCs/>
        </w:rPr>
        <w:t>EBITDA</w:t>
      </w:r>
      <w:r w:rsidRPr="0023367D">
        <w:t xml:space="preserve"> is net income before interest, taxes, depreciation and amortization</w:t>
      </w:r>
      <w:r w:rsidR="0084558B">
        <w:t xml:space="preserve">. </w:t>
      </w:r>
      <w:proofErr w:type="spellStart"/>
      <w:r w:rsidRPr="0023367D">
        <w:t>Liab</w:t>
      </w:r>
      <w:proofErr w:type="spellEnd"/>
      <w:r w:rsidRPr="0023367D">
        <w:t xml:space="preserve"> and Assets are respectively total liabilities and total assets at the end of </w:t>
      </w:r>
      <w:r w:rsidR="00990148">
        <w:t>fiscal</w:t>
      </w:r>
      <w:r w:rsidR="00990148" w:rsidRPr="0023367D">
        <w:t xml:space="preserve"> </w:t>
      </w:r>
      <w:r w:rsidRPr="0023367D">
        <w:t>year</w:t>
      </w:r>
      <w:r w:rsidR="00990148">
        <w:t xml:space="preserve"> t</w:t>
      </w:r>
      <w:r w:rsidR="0084558B">
        <w:t xml:space="preserve">. </w:t>
      </w:r>
      <w:r w:rsidRPr="0023367D">
        <w:t>LOSS is an indicator variable set equal to 1 when ROA is negative and 0 otherwise</w:t>
      </w:r>
      <w:r w:rsidR="0084558B">
        <w:t xml:space="preserve">. </w:t>
      </w:r>
      <w:r w:rsidR="00927188" w:rsidRPr="0023367D">
        <w:t>The i</w:t>
      </w:r>
      <w:r w:rsidRPr="0023367D">
        <w:t xml:space="preserve">nteractive slope variables allow for </w:t>
      </w:r>
      <w:r w:rsidRPr="0023367D">
        <w:rPr>
          <w:rFonts w:eastAsia="Calibri"/>
          <w:lang w:bidi="he-IL"/>
        </w:rPr>
        <w:t>separate slope coefficients for the accounting variables of loss firm-years (see Beaver et al. 2012)</w:t>
      </w:r>
      <w:r w:rsidR="0084558B">
        <w:rPr>
          <w:rFonts w:eastAsia="Calibri"/>
          <w:lang w:bidi="he-IL"/>
        </w:rPr>
        <w:t xml:space="preserve">. </w:t>
      </w:r>
      <w:r w:rsidRPr="0023367D">
        <w:rPr>
          <w:rFonts w:eastAsia="Calibri"/>
          <w:lang w:bidi="he-IL"/>
        </w:rPr>
        <w:t>PROB</w:t>
      </w:r>
      <w:r w:rsidRPr="0023367D">
        <w:t xml:space="preserve"> is estimated from the Black–Scholes–Merton option-pricing model.</w:t>
      </w:r>
      <w:r w:rsidRPr="0023367D">
        <w:rPr>
          <w:rStyle w:val="FootnoteReference"/>
        </w:rPr>
        <w:footnoteReference w:id="12"/>
      </w:r>
      <w:r w:rsidRPr="0023367D">
        <w:t xml:space="preserve"> </w:t>
      </w:r>
    </w:p>
    <w:p w14:paraId="5AEE7E93" w14:textId="77777777" w:rsidR="00335619" w:rsidRPr="0023367D" w:rsidRDefault="00335619" w:rsidP="00335619">
      <w:pPr>
        <w:spacing w:line="480" w:lineRule="auto"/>
      </w:pPr>
      <w:r w:rsidRPr="0023367D">
        <w:tab/>
        <w:t xml:space="preserve">To assess the robustness of the results to the valuation model, we repeat the tests using an alternative bond valuation model based on </w:t>
      </w:r>
      <w:proofErr w:type="spellStart"/>
      <w:r w:rsidRPr="0023367D">
        <w:t>Defond</w:t>
      </w:r>
      <w:proofErr w:type="spellEnd"/>
      <w:r w:rsidRPr="0023367D">
        <w:t xml:space="preserve"> and Zhang (2014), denoted as A1 and described in Appendix A.</w:t>
      </w:r>
      <w:r w:rsidRPr="0023367D">
        <w:rPr>
          <w:rStyle w:val="FootnoteReference"/>
        </w:rPr>
        <w:footnoteReference w:id="13"/>
      </w:r>
      <w:r w:rsidRPr="0023367D">
        <w:t xml:space="preserve"> </w:t>
      </w:r>
    </w:p>
    <w:p w14:paraId="0A7AB21C" w14:textId="77777777" w:rsidR="00335619" w:rsidRPr="0023367D" w:rsidRDefault="00E74D8C" w:rsidP="00335619">
      <w:pPr>
        <w:spacing w:line="480" w:lineRule="auto"/>
      </w:pPr>
      <w:r w:rsidRPr="0023367D">
        <w:rPr>
          <w:b/>
          <w:bCs/>
        </w:rPr>
        <w:t>4</w:t>
      </w:r>
      <w:r w:rsidR="00335619" w:rsidRPr="0023367D">
        <w:rPr>
          <w:b/>
          <w:bCs/>
        </w:rPr>
        <w:t xml:space="preserve">.2.2. Stock and bond return models. </w:t>
      </w:r>
      <w:r w:rsidR="00335619" w:rsidRPr="0023367D">
        <w:t>We estimate the relation between stock returns</w:t>
      </w:r>
      <w:r w:rsidR="00E013D7" w:rsidRPr="0023367D">
        <w:t xml:space="preserve"> and</w:t>
      </w:r>
      <w:r w:rsidR="00335619" w:rsidRPr="0023367D">
        <w:t xml:space="preserve"> earnings through the following regression, estimated annually:</w:t>
      </w:r>
    </w:p>
    <w:p w14:paraId="200F9472" w14:textId="77777777" w:rsidR="00335619" w:rsidRPr="0023367D" w:rsidRDefault="00335619" w:rsidP="00335619">
      <w:pPr>
        <w:spacing w:line="480" w:lineRule="auto"/>
        <w:ind w:left="720"/>
      </w:pPr>
      <w:proofErr w:type="spellStart"/>
      <w:r w:rsidRPr="0023367D">
        <w:t>R</w:t>
      </w:r>
      <w:r w:rsidRPr="0023367D">
        <w:rPr>
          <w:vertAlign w:val="subscript"/>
        </w:rPr>
        <w:t>j</w:t>
      </w:r>
      <w:proofErr w:type="gramStart"/>
      <w:r w:rsidRPr="0023367D">
        <w:rPr>
          <w:vertAlign w:val="subscript"/>
        </w:rPr>
        <w:t>,t</w:t>
      </w:r>
      <w:proofErr w:type="spellEnd"/>
      <w:proofErr w:type="gramEnd"/>
      <w:r w:rsidRPr="0023367D">
        <w:t xml:space="preserve"> = β</w:t>
      </w:r>
      <w:r w:rsidRPr="0023367D">
        <w:rPr>
          <w:vertAlign w:val="subscript"/>
        </w:rPr>
        <w:t>0.t</w:t>
      </w:r>
      <w:r w:rsidRPr="0023367D">
        <w:t xml:space="preserve"> + β</w:t>
      </w:r>
      <w:r w:rsidRPr="0023367D">
        <w:rPr>
          <w:vertAlign w:val="subscript"/>
        </w:rPr>
        <w:t xml:space="preserve">1.t </w:t>
      </w:r>
      <w:proofErr w:type="spellStart"/>
      <w:r w:rsidRPr="0023367D">
        <w:t>NI</w:t>
      </w:r>
      <w:r w:rsidRPr="0023367D">
        <w:rPr>
          <w:vertAlign w:val="subscript"/>
        </w:rPr>
        <w:t>j,t</w:t>
      </w:r>
      <w:proofErr w:type="spellEnd"/>
      <w:r w:rsidRPr="0023367D">
        <w:rPr>
          <w:vertAlign w:val="subscript"/>
        </w:rPr>
        <w:t xml:space="preserve"> </w:t>
      </w:r>
      <w:r w:rsidRPr="0023367D">
        <w:t>+ β</w:t>
      </w:r>
      <w:r w:rsidRPr="0023367D">
        <w:rPr>
          <w:vertAlign w:val="subscript"/>
        </w:rPr>
        <w:t xml:space="preserve">2.t </w:t>
      </w:r>
      <w:r w:rsidRPr="0023367D">
        <w:t>U(NI)</w:t>
      </w:r>
      <w:proofErr w:type="spellStart"/>
      <w:r w:rsidR="00FF7D77">
        <w:rPr>
          <w:vertAlign w:val="subscript"/>
        </w:rPr>
        <w:t>j,</w:t>
      </w:r>
      <w:r w:rsidR="00990148">
        <w:rPr>
          <w:vertAlign w:val="subscript"/>
        </w:rPr>
        <w:t>t</w:t>
      </w:r>
      <w:proofErr w:type="spellEnd"/>
      <w:r w:rsidR="00990148">
        <w:rPr>
          <w:vertAlign w:val="subscript"/>
        </w:rPr>
        <w:t xml:space="preserve"> </w:t>
      </w:r>
      <w:r w:rsidRPr="0023367D">
        <w:t xml:space="preserve">+ </w:t>
      </w:r>
      <w:proofErr w:type="spellStart"/>
      <w:r w:rsidRPr="0023367D">
        <w:t>ε</w:t>
      </w:r>
      <w:r w:rsidRPr="0023367D">
        <w:rPr>
          <w:vertAlign w:val="subscript"/>
        </w:rPr>
        <w:t>j,t</w:t>
      </w:r>
      <w:proofErr w:type="spellEnd"/>
      <w:r w:rsidRPr="0023367D">
        <w:rPr>
          <w:vertAlign w:val="subscript"/>
        </w:rPr>
        <w:t xml:space="preserve"> </w:t>
      </w:r>
      <w:r w:rsidRPr="0023367D">
        <w:tab/>
      </w:r>
      <w:r w:rsidRPr="0023367D">
        <w:tab/>
      </w:r>
      <w:r w:rsidRPr="0023367D">
        <w:tab/>
      </w:r>
      <w:r w:rsidRPr="0023367D">
        <w:tab/>
      </w:r>
      <w:r w:rsidRPr="0023367D">
        <w:tab/>
      </w:r>
      <w:r w:rsidRPr="0023367D">
        <w:tab/>
        <w:t>(4)</w:t>
      </w:r>
    </w:p>
    <w:p w14:paraId="10BE9CB4" w14:textId="77777777" w:rsidR="00335619" w:rsidRPr="0023367D" w:rsidRDefault="00335619" w:rsidP="00335619">
      <w:pPr>
        <w:spacing w:line="480" w:lineRule="auto"/>
      </w:pPr>
      <w:proofErr w:type="gramStart"/>
      <w:r w:rsidRPr="0023367D">
        <w:t>where</w:t>
      </w:r>
      <w:proofErr w:type="gramEnd"/>
      <w:r w:rsidRPr="0023367D">
        <w:t xml:space="preserve"> </w:t>
      </w:r>
      <w:proofErr w:type="spellStart"/>
      <w:r w:rsidRPr="0023367D">
        <w:t>R</w:t>
      </w:r>
      <w:r w:rsidRPr="0023367D">
        <w:rPr>
          <w:vertAlign w:val="subscript"/>
        </w:rPr>
        <w:t>j,t</w:t>
      </w:r>
      <w:proofErr w:type="spellEnd"/>
      <w:r w:rsidRPr="0023367D">
        <w:t xml:space="preserve"> is the buy-and-hold market-adjusted return of stock j over the 12 months ending three months following the end of fiscal year t</w:t>
      </w:r>
      <w:r w:rsidR="0084558B">
        <w:t xml:space="preserve">. </w:t>
      </w:r>
      <w:proofErr w:type="spellStart"/>
      <w:r w:rsidRPr="0023367D">
        <w:t>NI</w:t>
      </w:r>
      <w:r w:rsidRPr="0023367D">
        <w:rPr>
          <w:vertAlign w:val="subscript"/>
        </w:rPr>
        <w:t>j,t</w:t>
      </w:r>
      <w:proofErr w:type="spellEnd"/>
      <w:r w:rsidRPr="0023367D">
        <w:t xml:space="preserve"> is firm j’s income before extraordinary items in year t deflated by </w:t>
      </w:r>
      <w:r w:rsidR="00990148">
        <w:t xml:space="preserve">the </w:t>
      </w:r>
      <w:r w:rsidRPr="0023367D">
        <w:t xml:space="preserve">total market value of equity at the end of year t-1. </w:t>
      </w:r>
      <w:proofErr w:type="gramStart"/>
      <w:r w:rsidRPr="0023367D">
        <w:t>U(</w:t>
      </w:r>
      <w:proofErr w:type="gramEnd"/>
      <w:r w:rsidRPr="0023367D">
        <w:t>NI)</w:t>
      </w:r>
      <w:r w:rsidRPr="0023367D">
        <w:rPr>
          <w:vertAlign w:val="subscript"/>
        </w:rPr>
        <w:t>t</w:t>
      </w:r>
      <w:r w:rsidRPr="0023367D">
        <w:t xml:space="preserve"> is unexpected net income defined as the analysts’ earnings forecast error</w:t>
      </w:r>
      <w:r w:rsidR="00990148">
        <w:t xml:space="preserve"> for year t</w:t>
      </w:r>
      <w:r w:rsidR="0084558B">
        <w:t xml:space="preserve">. </w:t>
      </w:r>
      <w:r w:rsidRPr="0023367D">
        <w:t>This is computed as [</w:t>
      </w:r>
      <w:proofErr w:type="spellStart"/>
      <w:r w:rsidRPr="0023367D">
        <w:t>F</w:t>
      </w:r>
      <w:r w:rsidRPr="0023367D">
        <w:rPr>
          <w:vertAlign w:val="subscript"/>
        </w:rPr>
        <w:t>NIi,t</w:t>
      </w:r>
      <w:proofErr w:type="spellEnd"/>
      <w:r w:rsidRPr="0023367D">
        <w:t xml:space="preserve"> – </w:t>
      </w:r>
      <w:proofErr w:type="spellStart"/>
      <w:r w:rsidRPr="0023367D">
        <w:t>NI</w:t>
      </w:r>
      <w:r w:rsidRPr="0023367D">
        <w:rPr>
          <w:vertAlign w:val="subscript"/>
        </w:rPr>
        <w:t>j,t</w:t>
      </w:r>
      <w:proofErr w:type="spellEnd"/>
      <w:r w:rsidRPr="0023367D">
        <w:t xml:space="preserve">] where </w:t>
      </w:r>
      <w:proofErr w:type="spellStart"/>
      <w:r w:rsidRPr="0023367D">
        <w:t>F</w:t>
      </w:r>
      <w:r w:rsidRPr="0023367D">
        <w:rPr>
          <w:vertAlign w:val="subscript"/>
        </w:rPr>
        <w:t>NIi,t</w:t>
      </w:r>
      <w:proofErr w:type="spellEnd"/>
      <w:r w:rsidRPr="0023367D">
        <w:t xml:space="preserve"> is the analyst</w:t>
      </w:r>
      <w:r w:rsidR="00990148">
        <w:t>s’ average</w:t>
      </w:r>
      <w:r w:rsidRPr="0023367D">
        <w:t xml:space="preserve"> consensus forecast of net income for fiscal year t outstanding at the beginning of the fourth month of fiscal year t, deflated by the market value of the equity at the beginning of the year.</w:t>
      </w:r>
      <w:r w:rsidRPr="0023367D">
        <w:rPr>
          <w:rStyle w:val="FootnoteReference"/>
        </w:rPr>
        <w:footnoteReference w:id="14"/>
      </w:r>
    </w:p>
    <w:p w14:paraId="7B8E5D35" w14:textId="77777777" w:rsidR="00335619" w:rsidRPr="0023367D" w:rsidRDefault="00335619" w:rsidP="00335619">
      <w:pPr>
        <w:spacing w:line="480" w:lineRule="auto"/>
        <w:ind w:firstLine="540"/>
      </w:pPr>
      <w:r w:rsidRPr="0023367D">
        <w:t>The model we use to assess the association between bond returns and accounting information is based on regression (</w:t>
      </w:r>
      <w:r w:rsidR="00425159" w:rsidRPr="0023367D">
        <w:t>3</w:t>
      </w:r>
      <w:r w:rsidRPr="0023367D">
        <w:t xml:space="preserve">) with the dependent variable being </w:t>
      </w:r>
      <w:r w:rsidR="00990148">
        <w:t xml:space="preserve">the </w:t>
      </w:r>
      <w:r w:rsidRPr="0023367D">
        <w:t>buy-and-hold excess bond returns and the independent variables, except for LOSS, expressed as year-to-year changes (denoted by ∆)</w:t>
      </w:r>
      <w:r w:rsidR="00512395">
        <w:t xml:space="preserve"> as follows</w:t>
      </w:r>
      <w:r w:rsidRPr="0023367D">
        <w:t>:</w:t>
      </w:r>
    </w:p>
    <w:p w14:paraId="1F9AC6D2" w14:textId="77777777" w:rsidR="00335619" w:rsidRPr="0023367D" w:rsidRDefault="00335619" w:rsidP="00335619">
      <w:pPr>
        <w:ind w:left="360"/>
        <w:rPr>
          <w:color w:val="000000"/>
        </w:rPr>
      </w:pPr>
      <w:proofErr w:type="spellStart"/>
      <w:r w:rsidRPr="0023367D">
        <w:t>R</w:t>
      </w:r>
      <w:r w:rsidRPr="0023367D">
        <w:rPr>
          <w:vertAlign w:val="superscript"/>
        </w:rPr>
        <w:t>BH</w:t>
      </w:r>
      <w:r w:rsidRPr="0023367D">
        <w:rPr>
          <w:vertAlign w:val="subscript"/>
        </w:rPr>
        <w:t>j</w:t>
      </w:r>
      <w:proofErr w:type="gramStart"/>
      <w:r w:rsidRPr="0023367D">
        <w:rPr>
          <w:vertAlign w:val="subscript"/>
        </w:rPr>
        <w:t>,t</w:t>
      </w:r>
      <w:proofErr w:type="spellEnd"/>
      <w:proofErr w:type="gramEnd"/>
      <w:r w:rsidRPr="0023367D">
        <w:t xml:space="preserve"> = </w:t>
      </w:r>
      <w:r w:rsidRPr="0023367D">
        <w:rPr>
          <w:rFonts w:ascii="Blackadder ITC" w:hAnsi="Blackadder ITC" w:cs="Andalus"/>
          <w:sz w:val="28"/>
          <w:szCs w:val="28"/>
        </w:rPr>
        <w:t>f</w:t>
      </w:r>
      <w:r w:rsidRPr="0023367D">
        <w:t xml:space="preserve"> {∆</w:t>
      </w:r>
      <w:r w:rsidRPr="0023367D">
        <w:rPr>
          <w:color w:val="000000"/>
        </w:rPr>
        <w:t>ROA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xml:space="preserve">, </w:t>
      </w:r>
      <w:r w:rsidRPr="0023367D">
        <w:t>∆</w:t>
      </w:r>
      <w:r w:rsidRPr="0023367D">
        <w:rPr>
          <w:color w:val="000000"/>
        </w:rPr>
        <w:t xml:space="preserve"> (EBITDA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xml:space="preserve">/ </w:t>
      </w:r>
      <w:proofErr w:type="spellStart"/>
      <w:r w:rsidRPr="0023367D">
        <w:rPr>
          <w:color w:val="000000"/>
        </w:rPr>
        <w:t>Liab</w:t>
      </w:r>
      <w:proofErr w:type="spellEnd"/>
      <w:r w:rsidRPr="0023367D">
        <w:rPr>
          <w:color w:val="000000"/>
        </w:rPr>
        <w:t xml:space="preserve"> </w:t>
      </w:r>
      <w:proofErr w:type="spellStart"/>
      <w:r w:rsidRPr="0023367D">
        <w:rPr>
          <w:vertAlign w:val="subscript"/>
        </w:rPr>
        <w:t>j,t</w:t>
      </w:r>
      <w:proofErr w:type="spellEnd"/>
      <w:r w:rsidRPr="0023367D">
        <w:rPr>
          <w:color w:val="000000"/>
          <w:vertAlign w:val="subscript"/>
        </w:rPr>
        <w:t xml:space="preserve"> -1</w:t>
      </w:r>
      <w:r w:rsidRPr="0023367D">
        <w:rPr>
          <w:color w:val="000000"/>
        </w:rPr>
        <w:t xml:space="preserve">), </w:t>
      </w:r>
      <w:r w:rsidRPr="0023367D">
        <w:t>∆</w:t>
      </w:r>
      <w:r w:rsidRPr="0023367D">
        <w:rPr>
          <w:color w:val="000000"/>
        </w:rPr>
        <w:t xml:space="preserve"> (</w:t>
      </w:r>
      <w:proofErr w:type="spellStart"/>
      <w:r w:rsidRPr="0023367D">
        <w:rPr>
          <w:color w:val="000000"/>
        </w:rPr>
        <w:t>Liab</w:t>
      </w:r>
      <w:proofErr w:type="spellEnd"/>
      <w:r w:rsidRPr="0023367D">
        <w:rPr>
          <w:vertAlign w:val="subscript"/>
        </w:rPr>
        <w:t xml:space="preserve"> </w:t>
      </w:r>
      <w:proofErr w:type="spellStart"/>
      <w:r w:rsidRPr="0023367D">
        <w:rPr>
          <w:vertAlign w:val="subscript"/>
        </w:rPr>
        <w:t>j,t</w:t>
      </w:r>
      <w:proofErr w:type="spellEnd"/>
      <w:r w:rsidRPr="0023367D">
        <w:rPr>
          <w:color w:val="000000"/>
        </w:rPr>
        <w:t xml:space="preserve"> /Assets</w:t>
      </w:r>
      <w:r w:rsidRPr="0023367D">
        <w:rPr>
          <w:vertAlign w:val="subscript"/>
        </w:rPr>
        <w:t xml:space="preserve"> </w:t>
      </w:r>
      <w:proofErr w:type="spellStart"/>
      <w:r w:rsidRPr="0023367D">
        <w:rPr>
          <w:vertAlign w:val="subscript"/>
        </w:rPr>
        <w:t>j,t</w:t>
      </w:r>
      <w:proofErr w:type="spellEnd"/>
      <w:r w:rsidRPr="0023367D">
        <w:rPr>
          <w:color w:val="000000"/>
        </w:rPr>
        <w:t>), LOSS</w:t>
      </w:r>
      <w:r w:rsidRPr="0023367D">
        <w:rPr>
          <w:vertAlign w:val="subscript"/>
        </w:rPr>
        <w:t xml:space="preserve"> </w:t>
      </w:r>
      <w:proofErr w:type="spellStart"/>
      <w:r w:rsidRPr="0023367D">
        <w:rPr>
          <w:vertAlign w:val="subscript"/>
        </w:rPr>
        <w:t>j,t</w:t>
      </w:r>
      <w:proofErr w:type="spellEnd"/>
      <w:r w:rsidRPr="0023367D">
        <w:rPr>
          <w:color w:val="000000"/>
        </w:rPr>
        <w:t xml:space="preserve">, </w:t>
      </w:r>
    </w:p>
    <w:p w14:paraId="0FCA36D7" w14:textId="43C3C1AB" w:rsidR="00335619" w:rsidRPr="0023367D" w:rsidRDefault="00335619" w:rsidP="00335619">
      <w:pPr>
        <w:ind w:left="1440"/>
      </w:pPr>
      <w:r w:rsidRPr="0023367D">
        <w:rPr>
          <w:color w:val="000000"/>
        </w:rPr>
        <w:t>LOSS*</w:t>
      </w:r>
      <w:r w:rsidRPr="0023367D">
        <w:t>∆</w:t>
      </w:r>
      <w:proofErr w:type="spellStart"/>
      <w:r w:rsidRPr="0023367D">
        <w:rPr>
          <w:color w:val="000000"/>
        </w:rPr>
        <w:t>ROA</w:t>
      </w:r>
      <w:r w:rsidRPr="0023367D">
        <w:rPr>
          <w:vertAlign w:val="subscript"/>
        </w:rPr>
        <w:t>j</w:t>
      </w:r>
      <w:proofErr w:type="gramStart"/>
      <w:r w:rsidRPr="0023367D">
        <w:rPr>
          <w:vertAlign w:val="subscript"/>
        </w:rPr>
        <w:t>,t</w:t>
      </w:r>
      <w:proofErr w:type="spellEnd"/>
      <w:proofErr w:type="gramEnd"/>
      <w:r w:rsidRPr="0023367D">
        <w:rPr>
          <w:color w:val="000000"/>
        </w:rPr>
        <w:t>, LOSS*</w:t>
      </w:r>
      <w:r w:rsidRPr="0023367D">
        <w:t>∆</w:t>
      </w:r>
      <w:r w:rsidRPr="0023367D">
        <w:rPr>
          <w:color w:val="000000"/>
        </w:rPr>
        <w:t>(</w:t>
      </w:r>
      <w:proofErr w:type="spellStart"/>
      <w:r w:rsidRPr="0023367D">
        <w:rPr>
          <w:color w:val="000000"/>
        </w:rPr>
        <w:t>EBITDA</w:t>
      </w:r>
      <w:r w:rsidRPr="0023367D">
        <w:rPr>
          <w:vertAlign w:val="subscript"/>
        </w:rPr>
        <w:t>j,t</w:t>
      </w:r>
      <w:proofErr w:type="spellEnd"/>
      <w:r w:rsidRPr="0023367D">
        <w:rPr>
          <w:color w:val="000000"/>
          <w:vertAlign w:val="subscript"/>
        </w:rPr>
        <w:t xml:space="preserve"> </w:t>
      </w:r>
      <w:r w:rsidRPr="0023367D">
        <w:rPr>
          <w:color w:val="000000"/>
        </w:rPr>
        <w:t>/</w:t>
      </w:r>
      <w:proofErr w:type="spellStart"/>
      <w:r w:rsidRPr="0023367D">
        <w:rPr>
          <w:color w:val="000000"/>
        </w:rPr>
        <w:t>Liab</w:t>
      </w:r>
      <w:r w:rsidRPr="0023367D">
        <w:rPr>
          <w:vertAlign w:val="subscript"/>
        </w:rPr>
        <w:t>j,t</w:t>
      </w:r>
      <w:proofErr w:type="spellEnd"/>
      <w:r w:rsidRPr="0023367D">
        <w:rPr>
          <w:color w:val="000000"/>
          <w:vertAlign w:val="subscript"/>
        </w:rPr>
        <w:t xml:space="preserve"> -1</w:t>
      </w:r>
      <w:r w:rsidRPr="0023367D">
        <w:rPr>
          <w:color w:val="000000"/>
        </w:rPr>
        <w:t>), LOSS*</w:t>
      </w:r>
      <w:r w:rsidRPr="0023367D">
        <w:t>∆</w:t>
      </w:r>
      <w:r w:rsidRPr="0023367D">
        <w:rPr>
          <w:color w:val="000000"/>
        </w:rPr>
        <w:t>(</w:t>
      </w:r>
      <w:proofErr w:type="spellStart"/>
      <w:r w:rsidRPr="0023367D">
        <w:rPr>
          <w:color w:val="000000"/>
        </w:rPr>
        <w:t>Liab</w:t>
      </w:r>
      <w:proofErr w:type="spellEnd"/>
      <w:r w:rsidRPr="0023367D">
        <w:rPr>
          <w:vertAlign w:val="subscript"/>
        </w:rPr>
        <w:t xml:space="preserve"> </w:t>
      </w:r>
      <w:proofErr w:type="spellStart"/>
      <w:r w:rsidRPr="0023367D">
        <w:rPr>
          <w:vertAlign w:val="subscript"/>
        </w:rPr>
        <w:t>j,t</w:t>
      </w:r>
      <w:proofErr w:type="spellEnd"/>
      <w:r w:rsidRPr="0023367D">
        <w:rPr>
          <w:color w:val="000000"/>
        </w:rPr>
        <w:t xml:space="preserve"> /Assets</w:t>
      </w:r>
      <w:r w:rsidRPr="0023367D">
        <w:rPr>
          <w:vertAlign w:val="subscript"/>
        </w:rPr>
        <w:t xml:space="preserve"> </w:t>
      </w:r>
      <w:proofErr w:type="spellStart"/>
      <w:r w:rsidRPr="0023367D">
        <w:rPr>
          <w:vertAlign w:val="subscript"/>
        </w:rPr>
        <w:t>j,t</w:t>
      </w:r>
      <w:proofErr w:type="spellEnd"/>
      <w:r w:rsidRPr="0023367D">
        <w:rPr>
          <w:color w:val="000000"/>
        </w:rPr>
        <w:t xml:space="preserve">), </w:t>
      </w:r>
      <w:r w:rsidRPr="0023367D">
        <w:t>∆</w:t>
      </w:r>
      <w:proofErr w:type="spellStart"/>
      <w:r w:rsidRPr="0023367D">
        <w:rPr>
          <w:color w:val="000000"/>
        </w:rPr>
        <w:t>PROB</w:t>
      </w:r>
      <w:r w:rsidRPr="0023367D">
        <w:rPr>
          <w:vertAlign w:val="subscript"/>
        </w:rPr>
        <w:t>j,t</w:t>
      </w:r>
      <w:proofErr w:type="spellEnd"/>
      <w:r w:rsidRPr="0023367D">
        <w:rPr>
          <w:color w:val="000000"/>
        </w:rPr>
        <w:t>}</w:t>
      </w:r>
      <w:r w:rsidRPr="0023367D">
        <w:rPr>
          <w:color w:val="000000"/>
        </w:rPr>
        <w:tab/>
      </w:r>
      <w:r w:rsidRPr="0023367D">
        <w:rPr>
          <w:color w:val="000000"/>
        </w:rPr>
        <w:tab/>
      </w:r>
      <w:r w:rsidRPr="0023367D">
        <w:rPr>
          <w:color w:val="000000"/>
        </w:rPr>
        <w:tab/>
      </w:r>
      <w:r w:rsidRPr="0023367D">
        <w:rPr>
          <w:color w:val="000000"/>
        </w:rPr>
        <w:tab/>
        <w:t xml:space="preserve">              </w:t>
      </w:r>
      <w:r w:rsidRPr="0023367D">
        <w:rPr>
          <w:color w:val="000000"/>
        </w:rPr>
        <w:tab/>
      </w:r>
      <w:r w:rsidRPr="0023367D">
        <w:rPr>
          <w:color w:val="000000"/>
        </w:rPr>
        <w:tab/>
      </w:r>
      <w:r w:rsidRPr="0023367D">
        <w:rPr>
          <w:color w:val="000000"/>
        </w:rPr>
        <w:tab/>
        <w:t xml:space="preserve"> </w:t>
      </w:r>
      <w:r w:rsidRPr="0023367D">
        <w:rPr>
          <w:color w:val="000000"/>
        </w:rPr>
        <w:tab/>
      </w:r>
      <w:r w:rsidR="005937AF">
        <w:rPr>
          <w:color w:val="000000"/>
        </w:rPr>
        <w:t xml:space="preserve">   </w:t>
      </w:r>
      <w:r w:rsidRPr="0023367D">
        <w:rPr>
          <w:color w:val="000000"/>
        </w:rPr>
        <w:t>(5)</w:t>
      </w:r>
    </w:p>
    <w:p w14:paraId="5BA693B2" w14:textId="77777777" w:rsidR="00335619" w:rsidRPr="0023367D" w:rsidRDefault="00335619" w:rsidP="00335619"/>
    <w:p w14:paraId="207CF958" w14:textId="77777777" w:rsidR="00335619" w:rsidRPr="0023367D" w:rsidRDefault="00335619" w:rsidP="00335619">
      <w:pPr>
        <w:autoSpaceDE w:val="0"/>
        <w:autoSpaceDN w:val="0"/>
        <w:adjustRightInd w:val="0"/>
        <w:spacing w:line="480" w:lineRule="auto"/>
      </w:pPr>
      <w:proofErr w:type="spellStart"/>
      <w:r w:rsidRPr="0023367D">
        <w:t>R</w:t>
      </w:r>
      <w:r w:rsidRPr="0023367D">
        <w:rPr>
          <w:vertAlign w:val="superscript"/>
        </w:rPr>
        <w:t>BH</w:t>
      </w:r>
      <w:r w:rsidRPr="0023367D">
        <w:rPr>
          <w:vertAlign w:val="subscript"/>
        </w:rPr>
        <w:t>j,t</w:t>
      </w:r>
      <w:proofErr w:type="spellEnd"/>
      <w:r w:rsidRPr="0023367D">
        <w:rPr>
          <w:vertAlign w:val="subscript"/>
        </w:rPr>
        <w:t xml:space="preserve"> </w:t>
      </w:r>
      <w:r w:rsidRPr="0023367D">
        <w:t>is the buy-and-hold excess return for firm j over the 12 months ending three months following the end of fiscal year t</w:t>
      </w:r>
      <w:r w:rsidR="0084558B">
        <w:t xml:space="preserve">. </w:t>
      </w:r>
      <w:r w:rsidR="00512395">
        <w:t>The e</w:t>
      </w:r>
      <w:r w:rsidR="00512395" w:rsidRPr="0023367D">
        <w:t xml:space="preserve">xcess </w:t>
      </w:r>
      <w:r w:rsidRPr="0023367D">
        <w:t xml:space="preserve">return is defined as the difference between the bond return and the return on the duration-matched Treasury note as described in section </w:t>
      </w:r>
      <w:r w:rsidR="00FE7AE8" w:rsidRPr="0023367D">
        <w:t>4</w:t>
      </w:r>
      <w:r w:rsidRPr="0023367D">
        <w:t>.1</w:t>
      </w:r>
      <w:r w:rsidR="0084558B">
        <w:rPr>
          <w:b/>
        </w:rPr>
        <w:t xml:space="preserve">. </w:t>
      </w:r>
      <w:r w:rsidRPr="0023367D">
        <w:t xml:space="preserve">The other variables are as defined in </w:t>
      </w:r>
      <w:r w:rsidR="00695ABA" w:rsidRPr="0023367D">
        <w:t xml:space="preserve">regression </w:t>
      </w:r>
      <w:r w:rsidRPr="0023367D">
        <w:t>(3) above</w:t>
      </w:r>
      <w:r w:rsidR="0084558B">
        <w:t xml:space="preserve">. </w:t>
      </w:r>
    </w:p>
    <w:p w14:paraId="75766B19" w14:textId="77777777" w:rsidR="00E611F3" w:rsidRDefault="00335619" w:rsidP="00E611F3">
      <w:pPr>
        <w:autoSpaceDE w:val="0"/>
        <w:autoSpaceDN w:val="0"/>
        <w:adjustRightInd w:val="0"/>
        <w:spacing w:line="480" w:lineRule="auto"/>
        <w:ind w:firstLine="720"/>
      </w:pPr>
      <w:r w:rsidRPr="0023367D">
        <w:t xml:space="preserve">To assess the robustness of the results to the </w:t>
      </w:r>
      <w:r w:rsidR="00433CAC" w:rsidRPr="0023367D">
        <w:t xml:space="preserve">return </w:t>
      </w:r>
      <w:r w:rsidRPr="0023367D">
        <w:t xml:space="preserve">model, we repeat the tests using an alternative bond </w:t>
      </w:r>
      <w:r w:rsidR="00433CAC" w:rsidRPr="0023367D">
        <w:t xml:space="preserve">return </w:t>
      </w:r>
      <w:r w:rsidRPr="0023367D">
        <w:t xml:space="preserve">model based on </w:t>
      </w:r>
      <w:proofErr w:type="spellStart"/>
      <w:r w:rsidRPr="0023367D">
        <w:t>Defond</w:t>
      </w:r>
      <w:proofErr w:type="spellEnd"/>
      <w:r w:rsidRPr="0023367D">
        <w:t xml:space="preserve"> and Zhang (2014), denoted as A</w:t>
      </w:r>
      <w:r w:rsidR="00433CAC" w:rsidRPr="0023367D">
        <w:t>2</w:t>
      </w:r>
      <w:r w:rsidRPr="0023367D">
        <w:t xml:space="preserve"> and described in Appendix A.</w:t>
      </w:r>
    </w:p>
    <w:p w14:paraId="6897273B" w14:textId="77777777" w:rsidR="00E611F3" w:rsidRDefault="00E74D8C" w:rsidP="00DF6047">
      <w:pPr>
        <w:tabs>
          <w:tab w:val="left" w:pos="720"/>
          <w:tab w:val="left" w:pos="1440"/>
          <w:tab w:val="left" w:pos="2160"/>
          <w:tab w:val="left" w:pos="2880"/>
          <w:tab w:val="left" w:pos="3600"/>
          <w:tab w:val="left" w:pos="4320"/>
          <w:tab w:val="center" w:pos="5040"/>
        </w:tabs>
        <w:autoSpaceDE w:val="0"/>
        <w:autoSpaceDN w:val="0"/>
        <w:adjustRightInd w:val="0"/>
        <w:spacing w:before="120" w:line="480" w:lineRule="auto"/>
        <w:rPr>
          <w:b/>
        </w:rPr>
      </w:pPr>
      <w:r w:rsidRPr="0023367D">
        <w:rPr>
          <w:b/>
          <w:bCs/>
        </w:rPr>
        <w:t>5</w:t>
      </w:r>
      <w:r w:rsidR="0084558B">
        <w:rPr>
          <w:b/>
          <w:bCs/>
        </w:rPr>
        <w:t xml:space="preserve">. </w:t>
      </w:r>
      <w:r w:rsidR="00335619" w:rsidRPr="0023367D">
        <w:rPr>
          <w:b/>
          <w:bCs/>
        </w:rPr>
        <w:t xml:space="preserve">Data and </w:t>
      </w:r>
      <w:r w:rsidR="00335619" w:rsidRPr="0023367D">
        <w:rPr>
          <w:b/>
        </w:rPr>
        <w:t xml:space="preserve">Sample Selection </w:t>
      </w:r>
      <w:r w:rsidR="00335619" w:rsidRPr="0023367D">
        <w:rPr>
          <w:b/>
        </w:rPr>
        <w:tab/>
      </w:r>
      <w:r w:rsidR="00E611F3">
        <w:rPr>
          <w:b/>
        </w:rPr>
        <w:tab/>
      </w:r>
    </w:p>
    <w:p w14:paraId="09C8E831" w14:textId="47E983DA" w:rsidR="00335619" w:rsidRPr="0023367D" w:rsidRDefault="00335619" w:rsidP="00E611F3">
      <w:pPr>
        <w:tabs>
          <w:tab w:val="left" w:pos="720"/>
          <w:tab w:val="left" w:pos="1440"/>
          <w:tab w:val="left" w:pos="2160"/>
          <w:tab w:val="left" w:pos="2880"/>
          <w:tab w:val="left" w:pos="3600"/>
          <w:tab w:val="left" w:pos="4320"/>
          <w:tab w:val="center" w:pos="5040"/>
        </w:tabs>
        <w:autoSpaceDE w:val="0"/>
        <w:autoSpaceDN w:val="0"/>
        <w:adjustRightInd w:val="0"/>
        <w:spacing w:line="480" w:lineRule="auto"/>
        <w:ind w:firstLine="720"/>
      </w:pPr>
      <w:r w:rsidRPr="0039748A">
        <w:t xml:space="preserve">Accurate historical data on corporate bond prices are difficult to obtain (see footnote </w:t>
      </w:r>
      <w:r w:rsidR="00323871" w:rsidRPr="0039748A">
        <w:t>5</w:t>
      </w:r>
      <w:r w:rsidRPr="0039748A">
        <w:t>)</w:t>
      </w:r>
      <w:r w:rsidR="0084558B">
        <w:t xml:space="preserve">. </w:t>
      </w:r>
      <w:r w:rsidRPr="0023367D">
        <w:t xml:space="preserve">The bond coverage of exchange price data provided by the Fixed Investment Securities Database (FISD) is limited as is the bond coverage </w:t>
      </w:r>
      <w:r w:rsidR="005937AF">
        <w:t xml:space="preserve">provided </w:t>
      </w:r>
      <w:r w:rsidRPr="0023367D">
        <w:t xml:space="preserve">by Trade Reporting and Compliance Engine (TRACE) for periods before February 2005. These exchange prices primarily reflect odd-lot activities of individual investors, cover only </w:t>
      </w:r>
      <w:r w:rsidR="00272906" w:rsidRPr="0023367D">
        <w:t xml:space="preserve">a portion </w:t>
      </w:r>
      <w:r w:rsidRPr="0023367D">
        <w:t xml:space="preserve">of bond issues and reflect a small fraction of the total trading activity (see </w:t>
      </w:r>
      <w:proofErr w:type="spellStart"/>
      <w:r w:rsidRPr="0023367D">
        <w:t>Hanock</w:t>
      </w:r>
      <w:proofErr w:type="spellEnd"/>
      <w:r w:rsidRPr="0023367D">
        <w:t xml:space="preserve"> and </w:t>
      </w:r>
      <w:proofErr w:type="spellStart"/>
      <w:r w:rsidRPr="0023367D">
        <w:t>Kwast</w:t>
      </w:r>
      <w:proofErr w:type="spellEnd"/>
      <w:r w:rsidRPr="0023367D">
        <w:t xml:space="preserve"> 2001)</w:t>
      </w:r>
      <w:r w:rsidR="0084558B">
        <w:t xml:space="preserve">. </w:t>
      </w:r>
      <w:r w:rsidRPr="0023367D">
        <w:t>Further, neither of these sources provides long-term historical coverage</w:t>
      </w:r>
      <w:r w:rsidR="0084558B">
        <w:t xml:space="preserve">. </w:t>
      </w:r>
      <w:r w:rsidRPr="0023367D">
        <w:t>Institutional data, on the other hand, covers a larger number of bond issues</w:t>
      </w:r>
      <w:r w:rsidR="0084558B">
        <w:t xml:space="preserve">. </w:t>
      </w:r>
      <w:r w:rsidRPr="0023367D">
        <w:t>However, in many cases, bond prices relating to institutional activity are not equal to the prices obtained from actual transactions but rather are hypothetical, or “matrix-prices” (also referred to as “evaluated prices”), adjusted for prices of actively-traded securities with similar features (e.g.</w:t>
      </w:r>
      <w:r w:rsidR="00272906" w:rsidRPr="0023367D">
        <w:t>,</w:t>
      </w:r>
      <w:r w:rsidRPr="0023367D">
        <w:t xml:space="preserve"> another issue by the same company, an </w:t>
      </w:r>
      <w:r w:rsidR="00272906" w:rsidRPr="0023367D">
        <w:t xml:space="preserve">issue by another </w:t>
      </w:r>
      <w:r w:rsidRPr="0023367D">
        <w:t>company with the same maturity, or a U.S. Treasury issue)</w:t>
      </w:r>
      <w:r w:rsidR="0084558B">
        <w:t xml:space="preserve">. </w:t>
      </w:r>
      <w:r w:rsidRPr="0023367D">
        <w:t xml:space="preserve">Some commercial bond pricing services provide a mix of exchange and matrix prices. </w:t>
      </w:r>
    </w:p>
    <w:p w14:paraId="7B804689" w14:textId="676B7AB3" w:rsidR="00335619" w:rsidRPr="0023367D" w:rsidRDefault="00335619" w:rsidP="00335619">
      <w:pPr>
        <w:spacing w:line="480" w:lineRule="auto"/>
        <w:ind w:firstLine="540"/>
      </w:pPr>
      <w:r w:rsidRPr="0023367D">
        <w:t>We use historical monthly bond price data obtained from Interactive Data for the years 1975, the earliest year for which data are available, to 2007</w:t>
      </w:r>
      <w:r w:rsidR="00D958BD">
        <w:t>.</w:t>
      </w:r>
      <w:r w:rsidR="00D958BD" w:rsidRPr="0023367D">
        <w:rPr>
          <w:rStyle w:val="FootnoteReference"/>
        </w:rPr>
        <w:footnoteReference w:id="15"/>
      </w:r>
      <w:r w:rsidRPr="0023367D">
        <w:t xml:space="preserve"> </w:t>
      </w:r>
      <w:r w:rsidR="00D958BD">
        <w:t xml:space="preserve">Data for the years 2008 to 2013 is obtained </w:t>
      </w:r>
      <w:r w:rsidRPr="0023367D">
        <w:t>from TRACE</w:t>
      </w:r>
      <w:r w:rsidR="0084558B">
        <w:t xml:space="preserve">. </w:t>
      </w:r>
      <w:r w:rsidRPr="0023367D">
        <w:t xml:space="preserve">Financial institutions (SIC codes 6000-6999) are not included </w:t>
      </w:r>
      <w:r w:rsidR="005937AF">
        <w:t xml:space="preserve">in our sample </w:t>
      </w:r>
      <w:r w:rsidRPr="0023367D">
        <w:t>as many of the accounting variables and financial ratios used in our analyses do not apply to these firms</w:t>
      </w:r>
      <w:r w:rsidR="0084558B">
        <w:t xml:space="preserve">. </w:t>
      </w:r>
      <w:r w:rsidRPr="0023367D">
        <w:t xml:space="preserve">We also exclude </w:t>
      </w:r>
      <w:r w:rsidR="00752931" w:rsidRPr="0023367D">
        <w:t xml:space="preserve">non-zero coupon </w:t>
      </w:r>
      <w:r w:rsidRPr="0023367D">
        <w:t>bonds that do not have coupon information</w:t>
      </w:r>
      <w:r w:rsidR="0084558B">
        <w:t xml:space="preserve">. </w:t>
      </w:r>
      <w:r w:rsidRPr="0023367D">
        <w:t xml:space="preserve">To avoid giving undue weight to firms with multiple bond issues, such firms are represented in the sample only once for that year using the average excess return (and average excess yield) of its bonds in that year. </w:t>
      </w:r>
    </w:p>
    <w:p w14:paraId="031EF274" w14:textId="77777777" w:rsidR="00335619" w:rsidRPr="0023367D" w:rsidRDefault="00335619" w:rsidP="00335619">
      <w:pPr>
        <w:spacing w:line="480" w:lineRule="auto"/>
        <w:ind w:firstLine="540"/>
      </w:pPr>
      <w:r w:rsidRPr="0023367D">
        <w:t>Table 1 summarizes our sample selection procedure</w:t>
      </w:r>
      <w:r w:rsidR="0084558B">
        <w:t xml:space="preserve">. </w:t>
      </w:r>
      <w:r w:rsidRPr="0023367D">
        <w:t>The initial sample consists of 190,750 bond-year observations related to 29,751 bond issues made by 4,313 distinct firms from 1975 to 2013</w:t>
      </w:r>
      <w:r w:rsidR="0084558B">
        <w:t xml:space="preserve">. </w:t>
      </w:r>
      <w:r w:rsidRPr="0023367D">
        <w:t>Exclusions due to missing return or accounting data lead to a final sample of 64,633 bond-year observations</w:t>
      </w:r>
      <w:r w:rsidR="0084558B">
        <w:t xml:space="preserve">. </w:t>
      </w:r>
      <w:r w:rsidRPr="0023367D">
        <w:t>After representing multiple bond issues as a single observation, the final sample consists of 20,700 firm-year observations, related to 13,910 distinct bond series issued by 2,754 distinct firms.</w:t>
      </w:r>
    </w:p>
    <w:p w14:paraId="55480935" w14:textId="7EDAD082" w:rsidR="00335619" w:rsidRPr="0023367D" w:rsidRDefault="00335619" w:rsidP="00154ACF">
      <w:pPr>
        <w:spacing w:line="480" w:lineRule="auto"/>
        <w:ind w:firstLine="540"/>
      </w:pPr>
      <w:r w:rsidRPr="0023367D">
        <w:t>Tables 2 and 3 provide descriptive statistics on the firm sample</w:t>
      </w:r>
      <w:r w:rsidR="0084558B">
        <w:t xml:space="preserve">. </w:t>
      </w:r>
      <w:r w:rsidRPr="0023367D">
        <w:t xml:space="preserve">Panel </w:t>
      </w:r>
      <w:proofErr w:type="gramStart"/>
      <w:r w:rsidRPr="0023367D">
        <w:t>A</w:t>
      </w:r>
      <w:proofErr w:type="gramEnd"/>
      <w:r w:rsidRPr="0023367D">
        <w:t xml:space="preserve"> of Table 2 shows the distribution of observations by year</w:t>
      </w:r>
      <w:r w:rsidR="0084558B">
        <w:t xml:space="preserve">. </w:t>
      </w:r>
      <w:r w:rsidRPr="0023367D">
        <w:t>There is a fair representation both in the number of bonds and the number of firms in each sample year</w:t>
      </w:r>
      <w:r w:rsidR="0084558B">
        <w:t xml:space="preserve">. </w:t>
      </w:r>
      <w:r w:rsidRPr="0023367D">
        <w:t xml:space="preserve">The number of observations declines after 2007 as the data source </w:t>
      </w:r>
      <w:r w:rsidR="005937AF">
        <w:t xml:space="preserve">for this period </w:t>
      </w:r>
      <w:r w:rsidRPr="0023367D">
        <w:t>is limited to TRACE.</w:t>
      </w:r>
      <w:r w:rsidRPr="0023367D">
        <w:rPr>
          <w:rStyle w:val="FootnoteReference"/>
        </w:rPr>
        <w:footnoteReference w:id="16"/>
      </w:r>
      <w:r w:rsidRPr="0023367D">
        <w:t xml:space="preserve">  Panel B of Table 2 shows that the industry composition of our sample resembles the distribution in the population</w:t>
      </w:r>
      <w:r w:rsidR="0084558B">
        <w:t xml:space="preserve">. </w:t>
      </w:r>
      <w:r w:rsidRPr="0023367D">
        <w:t xml:space="preserve">However, as </w:t>
      </w:r>
      <w:r w:rsidR="00272906" w:rsidRPr="0023367D">
        <w:t xml:space="preserve">reported in </w:t>
      </w:r>
      <w:r w:rsidRPr="0023367D">
        <w:t xml:space="preserve">Panel C of </w:t>
      </w:r>
      <w:r w:rsidR="00272906" w:rsidRPr="0023367D">
        <w:t>the table</w:t>
      </w:r>
      <w:r w:rsidRPr="0023367D">
        <w:t>, the firms in our sample are larger</w:t>
      </w:r>
      <w:r w:rsidR="00272906" w:rsidRPr="0023367D">
        <w:t xml:space="preserve"> and more highly leveraged</w:t>
      </w:r>
      <w:r w:rsidRPr="0023367D">
        <w:t>, on average, than their industry peers</w:t>
      </w:r>
      <w:r w:rsidR="0084558B">
        <w:t xml:space="preserve">. </w:t>
      </w:r>
    </w:p>
    <w:p w14:paraId="47961185" w14:textId="77777777" w:rsidR="00335619" w:rsidRPr="0023367D" w:rsidRDefault="00BF5B12" w:rsidP="00D84407">
      <w:pPr>
        <w:spacing w:line="480" w:lineRule="auto"/>
        <w:ind w:firstLine="547"/>
        <w:rPr>
          <w:color w:val="1F497D"/>
        </w:rPr>
      </w:pPr>
      <w:r w:rsidRPr="0023367D">
        <w:t>D</w:t>
      </w:r>
      <w:r w:rsidR="00335619" w:rsidRPr="0023367D">
        <w:t xml:space="preserve">escriptive statistics on the characteristics </w:t>
      </w:r>
      <w:r w:rsidRPr="0023367D">
        <w:t>of the bonds in our sample are reported in Table 3, Panel A</w:t>
      </w:r>
      <w:r w:rsidR="0084558B">
        <w:t xml:space="preserve">. </w:t>
      </w:r>
      <w:r w:rsidR="00335619" w:rsidRPr="0023367D">
        <w:t>Some characteristics changed over time: the size of the issue and the frequency of senior bonds increased while the years-to-maturity declined</w:t>
      </w:r>
      <w:r w:rsidR="0084558B">
        <w:t xml:space="preserve">. </w:t>
      </w:r>
      <w:r w:rsidR="00335619" w:rsidRPr="0023367D">
        <w:t>Because these characteristics (some of which relate to bond liquidity) may affect the information content of accounting numbers, we control for their effect by repeating the tests for a subsample of bonds that have similar characteristics and are of relatively high liquidity</w:t>
      </w:r>
      <w:r w:rsidR="0084558B">
        <w:t xml:space="preserve">. </w:t>
      </w:r>
      <w:r w:rsidR="00335619" w:rsidRPr="0023367D">
        <w:t>To construct this “homogenous-liquid” subsample, we identified bonds with (1) seniority and a call option, (2) an issue size greater than $100 million (in 2013 dollars) and (3) a duration and years-to-maturity falling in the middle 80% of the respective distributions of these variables in the pooled sample of firm-years.</w:t>
      </w:r>
      <w:r w:rsidR="00335619" w:rsidRPr="0023367D">
        <w:rPr>
          <w:rStyle w:val="FootnoteReference"/>
        </w:rPr>
        <w:footnoteReference w:id="17"/>
      </w:r>
      <w:r w:rsidR="00335619" w:rsidRPr="0023367D">
        <w:t xml:space="preserve">  Within this reduced sample, we eliminated observations with “extreme” values.</w:t>
      </w:r>
      <w:r w:rsidR="00335619" w:rsidRPr="0023367D">
        <w:rPr>
          <w:rStyle w:val="FootnoteReference"/>
        </w:rPr>
        <w:footnoteReference w:id="18"/>
      </w:r>
      <w:r w:rsidR="00335619" w:rsidRPr="0023367D">
        <w:t xml:space="preserve">  Panel B of Table 3 provides descriptive statistics on the characteristics of this homogeneous-liquid subsample.</w:t>
      </w:r>
    </w:p>
    <w:p w14:paraId="011D3BF1" w14:textId="77777777" w:rsidR="00335619" w:rsidRPr="0023367D" w:rsidRDefault="00E74D8C" w:rsidP="00381641">
      <w:pPr>
        <w:spacing w:before="120" w:line="480" w:lineRule="auto"/>
        <w:rPr>
          <w:b/>
          <w:bCs/>
        </w:rPr>
      </w:pPr>
      <w:r w:rsidRPr="0023367D">
        <w:rPr>
          <w:b/>
          <w:bCs/>
        </w:rPr>
        <w:t>6</w:t>
      </w:r>
      <w:r w:rsidR="00335619" w:rsidRPr="0023367D">
        <w:rPr>
          <w:b/>
          <w:bCs/>
        </w:rPr>
        <w:t>. Results</w:t>
      </w:r>
    </w:p>
    <w:p w14:paraId="59913C5B" w14:textId="77777777" w:rsidR="00335619" w:rsidRPr="0023367D" w:rsidRDefault="00E74D8C" w:rsidP="00335619">
      <w:pPr>
        <w:spacing w:line="480" w:lineRule="auto"/>
        <w:rPr>
          <w:b/>
          <w:bCs/>
        </w:rPr>
      </w:pPr>
      <w:r w:rsidRPr="0023367D">
        <w:rPr>
          <w:b/>
          <w:bCs/>
        </w:rPr>
        <w:t>6</w:t>
      </w:r>
      <w:r w:rsidR="00335619" w:rsidRPr="0023367D">
        <w:rPr>
          <w:b/>
          <w:bCs/>
        </w:rPr>
        <w:t>.1.</w:t>
      </w:r>
      <w:r w:rsidR="00335619" w:rsidRPr="0023367D">
        <w:rPr>
          <w:b/>
          <w:bCs/>
          <w:iCs/>
        </w:rPr>
        <w:t xml:space="preserve"> Association between Accounting Information and Bond Valuation and Returns</w:t>
      </w:r>
      <w:r w:rsidR="00335619" w:rsidRPr="0023367D">
        <w:rPr>
          <w:b/>
          <w:bCs/>
        </w:rPr>
        <w:t xml:space="preserve"> </w:t>
      </w:r>
    </w:p>
    <w:p w14:paraId="33C5448E" w14:textId="77777777" w:rsidR="00335619" w:rsidRPr="0023367D" w:rsidRDefault="00335619" w:rsidP="00213D44">
      <w:pPr>
        <w:spacing w:line="480" w:lineRule="auto"/>
      </w:pPr>
      <w:r w:rsidRPr="0023367D">
        <w:rPr>
          <w:b/>
          <w:bCs/>
        </w:rPr>
        <w:tab/>
      </w:r>
      <w:r w:rsidRPr="0023367D">
        <w:t xml:space="preserve">The changes over time in the information content of accounting numbers with respect to bond valuation and returns </w:t>
      </w:r>
      <w:r w:rsidR="00985E95">
        <w:t xml:space="preserve">for the full sample and the subsample of homogeneous-liquid bonds </w:t>
      </w:r>
      <w:r w:rsidRPr="0023367D">
        <w:t>are presented in Table 4.</w:t>
      </w:r>
      <w:r w:rsidRPr="0023367D">
        <w:rPr>
          <w:rStyle w:val="FootnoteReference"/>
        </w:rPr>
        <w:footnoteReference w:id="19"/>
      </w:r>
      <w:r w:rsidRPr="0023367D">
        <w:t xml:space="preserve"> </w:t>
      </w:r>
      <w:r w:rsidR="00F57761">
        <w:t xml:space="preserve">The </w:t>
      </w:r>
      <w:r w:rsidRPr="0023367D">
        <w:t xml:space="preserve">results of the valuation </w:t>
      </w:r>
      <w:r w:rsidR="000E6DEE">
        <w:t xml:space="preserve">and return </w:t>
      </w:r>
      <w:r w:rsidRPr="0023367D">
        <w:t xml:space="preserve">models are depicted in Figure 1 </w:t>
      </w:r>
      <w:r w:rsidR="00213D44">
        <w:t xml:space="preserve">and Figure 2, respectively. </w:t>
      </w:r>
      <w:r w:rsidR="00344BC5">
        <w:t xml:space="preserve">Our statistical estimations and inferences, including </w:t>
      </w:r>
      <w:r w:rsidR="00213D44">
        <w:t>those related to the trend coefficients</w:t>
      </w:r>
      <w:r w:rsidR="00344BC5">
        <w:t xml:space="preserve">, are based on yearly observations. However, for presentation purposes, and to highlight any trend in the results, we tabulate and plot the results for each year t as the 5-year moving average of the five years t-2 to t+2. </w:t>
      </w:r>
    </w:p>
    <w:p w14:paraId="31E3C431" w14:textId="1BD7402A" w:rsidR="00335619" w:rsidRPr="0023367D" w:rsidRDefault="00335619" w:rsidP="009E47D0">
      <w:pPr>
        <w:spacing w:line="480" w:lineRule="auto"/>
      </w:pPr>
      <w:r w:rsidRPr="0023367D">
        <w:tab/>
        <w:t xml:space="preserve">Panel </w:t>
      </w:r>
      <w:proofErr w:type="gramStart"/>
      <w:r w:rsidRPr="0023367D">
        <w:t>A</w:t>
      </w:r>
      <w:proofErr w:type="gramEnd"/>
      <w:r w:rsidRPr="0023367D">
        <w:t xml:space="preserve"> of </w:t>
      </w:r>
      <w:r w:rsidR="00170CCC">
        <w:t>T</w:t>
      </w:r>
      <w:r w:rsidRPr="0023367D">
        <w:t xml:space="preserve">able 4 shows the </w:t>
      </w:r>
      <w:r w:rsidR="00344BC5">
        <w:t xml:space="preserve">moving averages of the </w:t>
      </w:r>
      <w:r w:rsidRPr="0023367D">
        <w:t>adjusted R</w:t>
      </w:r>
      <w:r w:rsidRPr="0023367D">
        <w:rPr>
          <w:vertAlign w:val="superscript"/>
        </w:rPr>
        <w:t>2</w:t>
      </w:r>
      <w:r w:rsidRPr="0023367D">
        <w:t xml:space="preserve"> values estimated annually from bond valuation model (3) and from the reduced form of that model</w:t>
      </w:r>
      <w:r w:rsidR="00344BC5">
        <w:t xml:space="preserve"> </w:t>
      </w:r>
      <w:r w:rsidR="00982E18">
        <w:t>which</w:t>
      </w:r>
      <w:r w:rsidR="00982E18" w:rsidRPr="0023367D">
        <w:t xml:space="preserve"> </w:t>
      </w:r>
      <w:r w:rsidRPr="0023367D">
        <w:t>consist</w:t>
      </w:r>
      <w:r w:rsidR="00344BC5">
        <w:t>s</w:t>
      </w:r>
      <w:r w:rsidRPr="0023367D">
        <w:t xml:space="preserve"> only of the accounting variables</w:t>
      </w:r>
      <w:r w:rsidR="009E47D0">
        <w:t xml:space="preserve"> in the model and therefore excludes the variable PROB, which relies on market-based variables. The adjusted R</w:t>
      </w:r>
      <w:r w:rsidR="009E35CD" w:rsidRPr="006E5CE9">
        <w:rPr>
          <w:vertAlign w:val="superscript"/>
        </w:rPr>
        <w:t>2</w:t>
      </w:r>
      <w:r w:rsidR="009E47D0">
        <w:t xml:space="preserve"> from the reduced model is </w:t>
      </w:r>
      <w:r w:rsidR="00BF5B12" w:rsidRPr="0023367D">
        <w:t>denoted R</w:t>
      </w:r>
      <w:r w:rsidR="00BF5B12" w:rsidRPr="0023367D">
        <w:rPr>
          <w:vertAlign w:val="superscript"/>
        </w:rPr>
        <w:t>2</w:t>
      </w:r>
      <w:r w:rsidR="00BF5B12" w:rsidRPr="0023367D">
        <w:rPr>
          <w:vertAlign w:val="subscript"/>
        </w:rPr>
        <w:t>ACCT</w:t>
      </w:r>
      <w:r w:rsidR="0084558B">
        <w:t xml:space="preserve">. </w:t>
      </w:r>
      <w:r w:rsidRPr="0023367D">
        <w:t xml:space="preserve">For comparison purposes, the final column of Table 4 shows the </w:t>
      </w:r>
      <w:r w:rsidR="00344BC5">
        <w:t xml:space="preserve">moving averages of the annual </w:t>
      </w:r>
      <w:r w:rsidRPr="0023367D">
        <w:t>adjusted R</w:t>
      </w:r>
      <w:r w:rsidRPr="0023367D">
        <w:rPr>
          <w:vertAlign w:val="superscript"/>
        </w:rPr>
        <w:t xml:space="preserve">2 </w:t>
      </w:r>
      <w:r w:rsidRPr="0023367D">
        <w:t>values from stock valuation model (2) for the same sample of firms used in the bond valuation models</w:t>
      </w:r>
      <w:r w:rsidR="0084558B">
        <w:t xml:space="preserve">. </w:t>
      </w:r>
    </w:p>
    <w:p w14:paraId="09EA6605" w14:textId="77777777" w:rsidR="00335619" w:rsidRPr="0023367D" w:rsidRDefault="00335619" w:rsidP="00335619">
      <w:pPr>
        <w:spacing w:line="480" w:lineRule="auto"/>
        <w:ind w:firstLine="720"/>
      </w:pPr>
      <w:r w:rsidRPr="0023367D">
        <w:t xml:space="preserve"> For the full sample, the adjusted R</w:t>
      </w:r>
      <w:r w:rsidRPr="0023367D">
        <w:rPr>
          <w:vertAlign w:val="superscript"/>
        </w:rPr>
        <w:t>2</w:t>
      </w:r>
      <w:r w:rsidRPr="0023367D">
        <w:t xml:space="preserve"> value for the bond valuation </w:t>
      </w:r>
      <w:r w:rsidR="00985E95">
        <w:t>is</w:t>
      </w:r>
      <w:r w:rsidR="00985E95" w:rsidRPr="0023367D">
        <w:t xml:space="preserve"> </w:t>
      </w:r>
      <w:r w:rsidRPr="0023367D">
        <w:t>slightly lower than that for the equity valuation, 41.3% and 45.8%, respectively. The association between accounting information and bond values is gauged by the collective explanatory power of the accounting-based variables in the bond valuation models, R</w:t>
      </w:r>
      <w:r w:rsidRPr="0023367D">
        <w:rPr>
          <w:vertAlign w:val="superscript"/>
        </w:rPr>
        <w:t>2</w:t>
      </w:r>
      <w:r w:rsidRPr="0023367D">
        <w:rPr>
          <w:vertAlign w:val="subscript"/>
        </w:rPr>
        <w:t>ACCT</w:t>
      </w:r>
      <w:r w:rsidRPr="0023367D">
        <w:t>, which is 24.0% for the full sample pooled over all firm-years</w:t>
      </w:r>
      <w:r w:rsidR="0084558B">
        <w:t xml:space="preserve">. </w:t>
      </w:r>
      <w:r w:rsidR="00513612">
        <w:t>For the homogeneous-liquid subsample, the results are similar. The adjusted R</w:t>
      </w:r>
      <w:r w:rsidR="00513612">
        <w:rPr>
          <w:vertAlign w:val="superscript"/>
        </w:rPr>
        <w:t>2</w:t>
      </w:r>
      <w:r w:rsidR="00513612">
        <w:t xml:space="preserve"> for the bond valuation is 35.6% over all of the years examined as compared to 41.3% for the stock valuation; R</w:t>
      </w:r>
      <w:r w:rsidR="00513612">
        <w:rPr>
          <w:vertAlign w:val="superscript"/>
        </w:rPr>
        <w:t>2</w:t>
      </w:r>
      <w:r w:rsidR="00513612">
        <w:rPr>
          <w:vertAlign w:val="subscript"/>
        </w:rPr>
        <w:t>ACCT</w:t>
      </w:r>
      <w:r w:rsidR="00513612">
        <w:t xml:space="preserve"> is 21.1%. </w:t>
      </w:r>
    </w:p>
    <w:p w14:paraId="0058759C" w14:textId="77777777" w:rsidR="00335619" w:rsidRPr="0023367D" w:rsidRDefault="00335619" w:rsidP="00213D44">
      <w:pPr>
        <w:spacing w:line="480" w:lineRule="auto"/>
      </w:pPr>
      <w:r w:rsidRPr="0023367D">
        <w:tab/>
        <w:t>As can be seen from Table 4 and Figure 1, there are fluctuations in this association</w:t>
      </w:r>
      <w:r w:rsidR="0084558B">
        <w:t xml:space="preserve">. </w:t>
      </w:r>
      <w:r w:rsidRPr="0023367D">
        <w:t>Further, there are clusters of years in which there are significant deviations from the general trends</w:t>
      </w:r>
      <w:r w:rsidR="0084558B">
        <w:t xml:space="preserve">. </w:t>
      </w:r>
      <w:r w:rsidRPr="0023367D">
        <w:t>For example, the</w:t>
      </w:r>
      <w:r w:rsidR="00985E95">
        <w:t>re</w:t>
      </w:r>
      <w:r w:rsidRPr="0023367D">
        <w:t xml:space="preserve"> </w:t>
      </w:r>
      <w:r w:rsidR="00985E95">
        <w:t xml:space="preserve">is a </w:t>
      </w:r>
      <w:r w:rsidRPr="0023367D">
        <w:t xml:space="preserve">dramatic decline in the association for equity valuation in the </w:t>
      </w:r>
      <w:r w:rsidR="00BC19EA" w:rsidRPr="0023367D">
        <w:t xml:space="preserve">late </w:t>
      </w:r>
      <w:r w:rsidRPr="0023367D">
        <w:t xml:space="preserve">1990s </w:t>
      </w:r>
      <w:r w:rsidR="00985E95">
        <w:t xml:space="preserve">followed by a </w:t>
      </w:r>
      <w:r w:rsidRPr="0023367D">
        <w:t>sharp increase in the subsequent period</w:t>
      </w:r>
      <w:r w:rsidR="0084558B">
        <w:t xml:space="preserve">. </w:t>
      </w:r>
      <w:r w:rsidRPr="0023367D">
        <w:t xml:space="preserve">While the analysis of these </w:t>
      </w:r>
      <w:proofErr w:type="spellStart"/>
      <w:r w:rsidRPr="0023367D">
        <w:t>subperiods</w:t>
      </w:r>
      <w:proofErr w:type="spellEnd"/>
      <w:r w:rsidRPr="0023367D">
        <w:t xml:space="preserve"> is of interest, our focus </w:t>
      </w:r>
      <w:r w:rsidR="004C3CE7" w:rsidRPr="0023367D">
        <w:t xml:space="preserve">is </w:t>
      </w:r>
      <w:r w:rsidRPr="0023367D">
        <w:t xml:space="preserve">on </w:t>
      </w:r>
      <w:r w:rsidR="009E47D0">
        <w:t>any</w:t>
      </w:r>
      <w:r w:rsidR="009E47D0" w:rsidRPr="0023367D">
        <w:t xml:space="preserve"> </w:t>
      </w:r>
      <w:r w:rsidRPr="0023367D">
        <w:t>long-term trend in these associations</w:t>
      </w:r>
      <w:r w:rsidR="0084558B">
        <w:t xml:space="preserve">. </w:t>
      </w:r>
      <w:r w:rsidR="009E47D0">
        <w:t xml:space="preserve">Such a trend </w:t>
      </w:r>
      <w:r w:rsidR="009E35CD">
        <w:t>is apparent</w:t>
      </w:r>
      <w:r w:rsidR="00350386">
        <w:t xml:space="preserve"> in </w:t>
      </w:r>
      <w:r w:rsidRPr="0023367D">
        <w:t>the association between accounting information and bond values</w:t>
      </w:r>
      <w:r w:rsidR="00350386">
        <w:t>,</w:t>
      </w:r>
      <w:r w:rsidR="009E35CD">
        <w:t xml:space="preserve"> which has become stronger over time</w:t>
      </w:r>
      <w:r w:rsidRPr="0023367D">
        <w:t xml:space="preserve"> while the association with stock prices </w:t>
      </w:r>
      <w:r w:rsidR="009E35CD">
        <w:t xml:space="preserve">displays a decline. </w:t>
      </w:r>
    </w:p>
    <w:p w14:paraId="5CA48017" w14:textId="77777777" w:rsidR="00335619" w:rsidRPr="0023367D" w:rsidRDefault="00335619" w:rsidP="005320C8">
      <w:pPr>
        <w:spacing w:line="480" w:lineRule="auto"/>
        <w:ind w:firstLine="720"/>
      </w:pPr>
      <w:r w:rsidRPr="0023367D">
        <w:t>The results from estimating a linear trend-line in the adjusted R</w:t>
      </w:r>
      <w:r w:rsidRPr="0023367D">
        <w:rPr>
          <w:vertAlign w:val="superscript"/>
        </w:rPr>
        <w:t>2</w:t>
      </w:r>
      <w:r w:rsidRPr="0023367D">
        <w:rPr>
          <w:vertAlign w:val="subscript"/>
        </w:rPr>
        <w:t>ACCT</w:t>
      </w:r>
      <w:r w:rsidRPr="0023367D">
        <w:t xml:space="preserve"> </w:t>
      </w:r>
      <w:r w:rsidR="009E35CD">
        <w:t xml:space="preserve">over the 39 </w:t>
      </w:r>
      <w:r w:rsidR="005320C8">
        <w:t xml:space="preserve">individual years </w:t>
      </w:r>
      <w:r w:rsidRPr="0023367D">
        <w:t xml:space="preserve">are </w:t>
      </w:r>
      <w:r w:rsidR="00A22694" w:rsidRPr="0023367D">
        <w:t>shown on</w:t>
      </w:r>
      <w:r w:rsidRPr="0023367D">
        <w:t xml:space="preserve"> the last row of Table 4, Panel A and at the bottom of Figure 1.</w:t>
      </w:r>
      <w:r w:rsidRPr="0023367D">
        <w:rPr>
          <w:rStyle w:val="FootnoteReference"/>
        </w:rPr>
        <w:footnoteReference w:id="20"/>
      </w:r>
      <w:r w:rsidRPr="0023367D">
        <w:t xml:space="preserve">  For both the full sample and the homogenous-liquid subsample, there is a significant average annual increase in the adjusted R</w:t>
      </w:r>
      <w:r w:rsidRPr="0023367D">
        <w:rPr>
          <w:vertAlign w:val="superscript"/>
        </w:rPr>
        <w:t>2</w:t>
      </w:r>
      <w:r w:rsidRPr="0023367D">
        <w:t xml:space="preserve"> and the adjusted R</w:t>
      </w:r>
      <w:r w:rsidRPr="0023367D">
        <w:rPr>
          <w:vertAlign w:val="superscript"/>
        </w:rPr>
        <w:t>2</w:t>
      </w:r>
      <w:r w:rsidRPr="0023367D">
        <w:rPr>
          <w:vertAlign w:val="subscript"/>
        </w:rPr>
        <w:t>ACCT</w:t>
      </w:r>
      <w:r w:rsidR="0084558B">
        <w:t xml:space="preserve">. </w:t>
      </w:r>
      <w:r w:rsidRPr="0023367D">
        <w:t xml:space="preserve">For the homogenous-liquid subsample, the </w:t>
      </w:r>
      <w:r w:rsidR="00213D44">
        <w:t xml:space="preserve">annual </w:t>
      </w:r>
      <w:r w:rsidRPr="0023367D">
        <w:t xml:space="preserve">increase </w:t>
      </w:r>
      <w:r w:rsidR="00A22694" w:rsidRPr="0023367D">
        <w:t>in this measure</w:t>
      </w:r>
      <w:r w:rsidRPr="0023367D">
        <w:t xml:space="preserve"> is 0.596% (t-value of 3.96) using bond valuation </w:t>
      </w:r>
      <w:r w:rsidR="00213D44">
        <w:t xml:space="preserve">  </w:t>
      </w:r>
      <w:r w:rsidRPr="0023367D">
        <w:t>model (3)</w:t>
      </w:r>
      <w:r w:rsidR="0084558B">
        <w:t xml:space="preserve">. </w:t>
      </w:r>
      <w:r w:rsidRPr="0023367D">
        <w:t>For the alternative bond valuation model A1, this increase (</w:t>
      </w:r>
      <w:proofErr w:type="spellStart"/>
      <w:r w:rsidRPr="0023367D">
        <w:t>untabulated</w:t>
      </w:r>
      <w:proofErr w:type="spellEnd"/>
      <w:r w:rsidRPr="0023367D">
        <w:t>) is higher at 0.915% (t-value of 6.58)</w:t>
      </w:r>
      <w:r w:rsidR="0084558B">
        <w:t xml:space="preserve">. </w:t>
      </w:r>
      <w:r w:rsidRPr="0023367D">
        <w:t>In contrast, the stock valuation model shows a significant annual decline of 0.518% (t-value of</w:t>
      </w:r>
      <w:r w:rsidR="00A22694" w:rsidRPr="0023367D">
        <w:t xml:space="preserve"> </w:t>
      </w:r>
      <w:r w:rsidRPr="0023367D">
        <w:t>-3.32) in the adjusted R</w:t>
      </w:r>
      <w:r w:rsidRPr="0023367D">
        <w:rPr>
          <w:vertAlign w:val="superscript"/>
        </w:rPr>
        <w:t>2</w:t>
      </w:r>
      <w:r w:rsidRPr="0023367D">
        <w:t xml:space="preserve"> for the full sample and 0.334% (t-value of </w:t>
      </w:r>
      <w:r w:rsidR="00A22694" w:rsidRPr="0023367D">
        <w:t>-</w:t>
      </w:r>
      <w:r w:rsidRPr="0023367D">
        <w:t>1.65) for the homogenous-liquid subsample</w:t>
      </w:r>
      <w:r w:rsidR="0084558B">
        <w:t xml:space="preserve">. </w:t>
      </w:r>
    </w:p>
    <w:p w14:paraId="2DD2E8D2" w14:textId="400631A8" w:rsidR="00335619" w:rsidRDefault="00335619" w:rsidP="007E293C">
      <w:pPr>
        <w:spacing w:line="480" w:lineRule="auto"/>
        <w:ind w:firstLine="540"/>
      </w:pPr>
      <w:r w:rsidRPr="0023367D">
        <w:t xml:space="preserve">The </w:t>
      </w:r>
      <w:r w:rsidR="00B24CF2">
        <w:t>findings on the association betwe</w:t>
      </w:r>
      <w:r w:rsidR="00170CCC">
        <w:t>e</w:t>
      </w:r>
      <w:r w:rsidR="00B24CF2">
        <w:t xml:space="preserve">n bond and stock returns and accounting information over time </w:t>
      </w:r>
      <w:r w:rsidRPr="0023367D">
        <w:t>are presented in Panel B of Table 4</w:t>
      </w:r>
      <w:r w:rsidR="009E4C12">
        <w:t xml:space="preserve"> and Figure 2</w:t>
      </w:r>
      <w:r w:rsidR="0084558B">
        <w:t xml:space="preserve">. </w:t>
      </w:r>
      <w:r w:rsidR="009E4C12">
        <w:t xml:space="preserve"> Similar to Panel </w:t>
      </w:r>
      <w:proofErr w:type="gramStart"/>
      <w:r w:rsidR="009E4C12">
        <w:t>A</w:t>
      </w:r>
      <w:proofErr w:type="gramEnd"/>
      <w:r w:rsidR="009E4C12">
        <w:t xml:space="preserve"> of </w:t>
      </w:r>
      <w:r w:rsidR="00CD1249">
        <w:t>Table 4 and Figure 1, the</w:t>
      </w:r>
      <w:r w:rsidR="009E4C12">
        <w:t xml:space="preserve"> </w:t>
      </w:r>
      <w:r w:rsidR="00CD1249">
        <w:t xml:space="preserve">adjusted </w:t>
      </w:r>
      <w:r w:rsidR="009E4C12">
        <w:t>R</w:t>
      </w:r>
      <w:r w:rsidR="009E4C12" w:rsidRPr="006E5CE9">
        <w:rPr>
          <w:vertAlign w:val="superscript"/>
        </w:rPr>
        <w:t>2</w:t>
      </w:r>
      <w:r w:rsidR="009E4C12">
        <w:t xml:space="preserve"> values tabulated in Panel B and plotted in </w:t>
      </w:r>
      <w:r w:rsidR="00CD1249">
        <w:t xml:space="preserve">Figure 2 </w:t>
      </w:r>
      <w:r w:rsidR="009E4C12">
        <w:t>are the</w:t>
      </w:r>
      <w:r w:rsidR="00CD1249">
        <w:t xml:space="preserve"> 5-year moving averages of the values of individual years. </w:t>
      </w:r>
      <w:r w:rsidRPr="0023367D">
        <w:t xml:space="preserve">They indicate an upward trend in the association between accounting information and bond returns, similar to bond valuation. </w:t>
      </w:r>
      <w:r w:rsidR="00CD1249" w:rsidRPr="0023367D">
        <w:t>The results from the corresponding trend-line regressions are provided on the last row</w:t>
      </w:r>
      <w:r w:rsidR="001C0D71">
        <w:t xml:space="preserve"> of the table and at the bottom </w:t>
      </w:r>
      <w:r w:rsidR="00982E18">
        <w:t xml:space="preserve">of </w:t>
      </w:r>
      <w:r w:rsidR="001C0D71">
        <w:t>Figure 2</w:t>
      </w:r>
      <w:r w:rsidR="00CD1249">
        <w:t>. They</w:t>
      </w:r>
      <w:r w:rsidRPr="0023367D">
        <w:t xml:space="preserve"> are less pronounced than those obtained from the bond valuation models</w:t>
      </w:r>
      <w:r w:rsidR="0084558B">
        <w:t xml:space="preserve">. </w:t>
      </w:r>
      <w:r w:rsidRPr="0023367D">
        <w:t>For the homogenous-liquid subsample, the trend in the adjusted R</w:t>
      </w:r>
      <w:r w:rsidRPr="0023367D">
        <w:rPr>
          <w:vertAlign w:val="superscript"/>
        </w:rPr>
        <w:t>2</w:t>
      </w:r>
      <w:r w:rsidRPr="0023367D">
        <w:rPr>
          <w:vertAlign w:val="subscript"/>
        </w:rPr>
        <w:t>ACCT</w:t>
      </w:r>
      <w:r w:rsidRPr="0023367D">
        <w:t xml:space="preserve"> of the bond return model shows an average annual increase of 0.247% but </w:t>
      </w:r>
      <w:r w:rsidR="00A22694" w:rsidRPr="0023367D">
        <w:t xml:space="preserve">is </w:t>
      </w:r>
      <w:r w:rsidRPr="0023367D">
        <w:t>only marginally significant (t-value of 1.70)</w:t>
      </w:r>
      <w:r w:rsidR="0084558B">
        <w:t xml:space="preserve">. </w:t>
      </w:r>
      <w:r w:rsidRPr="0023367D">
        <w:t xml:space="preserve">For the full sample, this </w:t>
      </w:r>
      <w:r w:rsidR="00A22694" w:rsidRPr="0023367D">
        <w:t xml:space="preserve">measure </w:t>
      </w:r>
      <w:r w:rsidRPr="0023367D">
        <w:t>is positive but not significant</w:t>
      </w:r>
      <w:r w:rsidR="0084558B">
        <w:t xml:space="preserve">. </w:t>
      </w:r>
      <w:r w:rsidRPr="0023367D">
        <w:t>The</w:t>
      </w:r>
      <w:r w:rsidR="00A95695">
        <w:t xml:space="preserve"> </w:t>
      </w:r>
      <w:r w:rsidRPr="0023367D">
        <w:t>adjusted R</w:t>
      </w:r>
      <w:r w:rsidRPr="0023367D">
        <w:rPr>
          <w:vertAlign w:val="superscript"/>
        </w:rPr>
        <w:t xml:space="preserve">2 </w:t>
      </w:r>
      <w:r w:rsidRPr="0023367D">
        <w:t xml:space="preserve">for the equity return model indicates an average annual decrease of 0.333% for the </w:t>
      </w:r>
      <w:r w:rsidR="00580409">
        <w:t>f</w:t>
      </w:r>
      <w:r w:rsidRPr="0023367D">
        <w:t>ull sample which is significant at the 5% level and a decrease of 0.169% for the homogenous-liquid subsample, though the latter is not statistically significant.</w:t>
      </w:r>
      <w:r w:rsidR="000769FC">
        <w:rPr>
          <w:rStyle w:val="FootnoteReference"/>
        </w:rPr>
        <w:footnoteReference w:id="21"/>
      </w:r>
      <w:r w:rsidRPr="0023367D">
        <w:t xml:space="preserve"> </w:t>
      </w:r>
    </w:p>
    <w:p w14:paraId="0F3A88D3" w14:textId="2BC546C1" w:rsidR="00B24CF2" w:rsidRDefault="009E4C12" w:rsidP="00FF6167">
      <w:pPr>
        <w:shd w:val="clear" w:color="auto" w:fill="FFFFFF"/>
        <w:spacing w:line="480" w:lineRule="auto"/>
        <w:ind w:firstLine="540"/>
      </w:pPr>
      <w:r>
        <w:t xml:space="preserve">Accounting numbers, due to their conservative tilt, are potentially more useful to bondholders in periods of recession and </w:t>
      </w:r>
      <w:r w:rsidR="00FF6167">
        <w:t>financial stress</w:t>
      </w:r>
      <w:r>
        <w:t xml:space="preserve">, Thus, </w:t>
      </w:r>
      <w:r w:rsidR="00B72583" w:rsidRPr="0060374C">
        <w:t>the strength of the relationship between accounting numbers and bond valuation</w:t>
      </w:r>
      <w:r>
        <w:t xml:space="preserve"> in any period</w:t>
      </w:r>
      <w:r w:rsidR="00B72583" w:rsidRPr="0060374C">
        <w:t xml:space="preserve"> is </w:t>
      </w:r>
      <w:r>
        <w:t xml:space="preserve">likely </w:t>
      </w:r>
      <w:r w:rsidR="00B72583" w:rsidRPr="0060374C">
        <w:t>affected by the default risk premium in that period. A higher (lower) default risk premium would tend to strengthen (weaken) the association between accounting numbers and bond valuation</w:t>
      </w:r>
      <w:r w:rsidR="00ED31A2">
        <w:t xml:space="preserve"> and returns</w:t>
      </w:r>
      <w:r w:rsidR="00B72583" w:rsidRPr="0060374C">
        <w:t xml:space="preserve">. </w:t>
      </w:r>
      <w:r w:rsidR="00B72583">
        <w:t>Accordingly, t</w:t>
      </w:r>
      <w:r w:rsidR="00B72583" w:rsidRPr="0060374C">
        <w:t>o the extent that the upward trend in the R</w:t>
      </w:r>
      <w:r w:rsidR="00B72583" w:rsidRPr="0060374C">
        <w:rPr>
          <w:vertAlign w:val="superscript"/>
        </w:rPr>
        <w:t>2</w:t>
      </w:r>
      <w:r w:rsidR="00B72583" w:rsidRPr="0060374C">
        <w:t xml:space="preserve"> values reported in </w:t>
      </w:r>
      <w:r w:rsidR="00982E18">
        <w:t>T</w:t>
      </w:r>
      <w:r w:rsidR="00982E18" w:rsidRPr="0060374C">
        <w:t xml:space="preserve">able </w:t>
      </w:r>
      <w:r w:rsidR="00B72583" w:rsidRPr="0060374C">
        <w:t>4 reflect a similar trend in the default risk premium, our interpretation of the results would be different</w:t>
      </w:r>
      <w:r w:rsidR="00B72583">
        <w:t xml:space="preserve">. </w:t>
      </w:r>
    </w:p>
    <w:p w14:paraId="539FB389" w14:textId="77777777" w:rsidR="00B72583" w:rsidRDefault="00B72583" w:rsidP="00E36A89">
      <w:pPr>
        <w:shd w:val="clear" w:color="auto" w:fill="FFFFFF"/>
        <w:spacing w:line="480" w:lineRule="auto"/>
        <w:ind w:firstLine="540"/>
      </w:pPr>
      <w:r>
        <w:t>To assess whether the default risk premium influences our results, w</w:t>
      </w:r>
      <w:r w:rsidRPr="0060374C">
        <w:t>e examine</w:t>
      </w:r>
      <w:r>
        <w:t>d</w:t>
      </w:r>
      <w:r w:rsidRPr="0060374C">
        <w:t xml:space="preserve"> </w:t>
      </w:r>
      <w:r>
        <w:t>its</w:t>
      </w:r>
      <w:r w:rsidRPr="0060374C">
        <w:t xml:space="preserve"> time-series behavior using</w:t>
      </w:r>
      <w:r>
        <w:t>, as a proxy,</w:t>
      </w:r>
      <w:r w:rsidRPr="0060374C">
        <w:t xml:space="preserve"> the difference between </w:t>
      </w:r>
      <w:r>
        <w:t xml:space="preserve">the yields of Moody’s </w:t>
      </w:r>
      <w:proofErr w:type="spellStart"/>
      <w:proofErr w:type="gramStart"/>
      <w:r w:rsidRPr="0060374C">
        <w:t>A</w:t>
      </w:r>
      <w:r>
        <w:t>aa</w:t>
      </w:r>
      <w:proofErr w:type="spellEnd"/>
      <w:proofErr w:type="gramEnd"/>
      <w:r>
        <w:t xml:space="preserve"> </w:t>
      </w:r>
      <w:r w:rsidRPr="0060374C">
        <w:t>and B</w:t>
      </w:r>
      <w:r>
        <w:t>aa</w:t>
      </w:r>
      <w:r w:rsidRPr="0060374C">
        <w:t xml:space="preserve"> bonds. </w:t>
      </w:r>
      <w:r>
        <w:t xml:space="preserve">There is no obvious </w:t>
      </w:r>
      <w:r w:rsidRPr="0060374C">
        <w:t xml:space="preserve">trend in this time-series over our sample </w:t>
      </w:r>
      <w:r w:rsidRPr="00F62549">
        <w:t>period. If anything, the very</w:t>
      </w:r>
      <w:r>
        <w:t xml:space="preserve"> </w:t>
      </w:r>
      <w:r w:rsidRPr="0060374C">
        <w:t xml:space="preserve">small downward </w:t>
      </w:r>
      <w:r>
        <w:t>movement</w:t>
      </w:r>
      <w:r w:rsidRPr="0060374C">
        <w:t xml:space="preserve"> in that premium (a slope coefficient of the trend line of </w:t>
      </w:r>
      <w:r>
        <w:t>0.0085%</w:t>
      </w:r>
      <w:r w:rsidRPr="0060374C">
        <w:t xml:space="preserve">; t </w:t>
      </w:r>
      <w:r w:rsidR="00B24CF2">
        <w:t xml:space="preserve">value of </w:t>
      </w:r>
      <w:r w:rsidRPr="0060374C">
        <w:t>-</w:t>
      </w:r>
      <w:r>
        <w:t>1.41</w:t>
      </w:r>
      <w:r w:rsidRPr="0060374C">
        <w:t xml:space="preserve">) is likely to work against finding an upward trend in the relevance of accounting numbers to bond holders.   </w:t>
      </w:r>
    </w:p>
    <w:p w14:paraId="30B7610B" w14:textId="77777777" w:rsidR="00335619" w:rsidRPr="0023367D" w:rsidRDefault="00E74D8C" w:rsidP="000769FC">
      <w:pPr>
        <w:ind w:left="450" w:hanging="450"/>
        <w:outlineLvl w:val="0"/>
        <w:rPr>
          <w:b/>
          <w:bCs/>
        </w:rPr>
      </w:pPr>
      <w:r w:rsidRPr="0023367D">
        <w:rPr>
          <w:b/>
          <w:bCs/>
        </w:rPr>
        <w:t>6</w:t>
      </w:r>
      <w:r w:rsidR="00335619" w:rsidRPr="0023367D">
        <w:rPr>
          <w:b/>
          <w:bCs/>
        </w:rPr>
        <w:t>.</w:t>
      </w:r>
      <w:r w:rsidR="000769FC">
        <w:rPr>
          <w:b/>
          <w:bCs/>
        </w:rPr>
        <w:t>2</w:t>
      </w:r>
      <w:r w:rsidR="00335619" w:rsidRPr="0023367D">
        <w:rPr>
          <w:b/>
          <w:bCs/>
        </w:rPr>
        <w:t>. Economic and Re</w:t>
      </w:r>
      <w:r w:rsidR="0080238E" w:rsidRPr="0023367D">
        <w:rPr>
          <w:b/>
          <w:bCs/>
        </w:rPr>
        <w:t xml:space="preserve">porting Explanations for </w:t>
      </w:r>
      <w:r w:rsidR="005D180E" w:rsidRPr="0023367D">
        <w:rPr>
          <w:b/>
          <w:bCs/>
        </w:rPr>
        <w:t xml:space="preserve">the </w:t>
      </w:r>
      <w:r w:rsidR="0080238E" w:rsidRPr="0023367D">
        <w:rPr>
          <w:b/>
          <w:bCs/>
        </w:rPr>
        <w:t>Change</w:t>
      </w:r>
      <w:r w:rsidR="00335619" w:rsidRPr="0023367D">
        <w:rPr>
          <w:b/>
          <w:bCs/>
        </w:rPr>
        <w:t xml:space="preserve"> in the Information Content of Accounting Numbers for Bond Holders </w:t>
      </w:r>
      <w:r w:rsidR="0080238E" w:rsidRPr="0023367D">
        <w:rPr>
          <w:b/>
          <w:bCs/>
        </w:rPr>
        <w:t xml:space="preserve"> </w:t>
      </w:r>
    </w:p>
    <w:p w14:paraId="0612A769" w14:textId="77777777" w:rsidR="00335619" w:rsidRPr="0023367D" w:rsidRDefault="00335619" w:rsidP="00335619">
      <w:pPr>
        <w:ind w:left="450" w:hanging="450"/>
        <w:rPr>
          <w:b/>
          <w:bCs/>
        </w:rPr>
      </w:pPr>
    </w:p>
    <w:p w14:paraId="14AD1467" w14:textId="64B5DCC8" w:rsidR="00335619" w:rsidRPr="0023367D" w:rsidRDefault="00335619" w:rsidP="006E5CE9">
      <w:pPr>
        <w:shd w:val="clear" w:color="auto" w:fill="FFFFFF"/>
        <w:spacing w:line="480" w:lineRule="auto"/>
        <w:ind w:firstLine="540"/>
        <w:rPr>
          <w:rFonts w:eastAsia="Calibri"/>
          <w:lang w:bidi="he-IL"/>
        </w:rPr>
      </w:pPr>
      <w:r w:rsidRPr="0023367D">
        <w:t xml:space="preserve">In section </w:t>
      </w:r>
      <w:r w:rsidR="003D7B92" w:rsidRPr="0023367D">
        <w:t>3</w:t>
      </w:r>
      <w:r w:rsidRPr="0023367D">
        <w:t>, we hypothesize</w:t>
      </w:r>
      <w:r w:rsidR="00C763E6">
        <w:t>d</w:t>
      </w:r>
      <w:r w:rsidRPr="0023367D" w:rsidDel="003B2897">
        <w:t xml:space="preserve"> </w:t>
      </w:r>
      <w:r w:rsidR="005D180E" w:rsidRPr="0023367D">
        <w:t xml:space="preserve">that </w:t>
      </w:r>
      <w:r w:rsidRPr="0023367D">
        <w:t xml:space="preserve">five factors affect changes in the </w:t>
      </w:r>
      <w:proofErr w:type="spellStart"/>
      <w:r w:rsidRPr="0023367D">
        <w:t>informativeness</w:t>
      </w:r>
      <w:proofErr w:type="spellEnd"/>
      <w:r w:rsidRPr="0023367D">
        <w:t xml:space="preserve"> of accounting numbers to bond holders: credit risk, reporting conservatism, fair value accounting, frequency of losses and </w:t>
      </w:r>
      <w:r w:rsidR="00AA5926">
        <w:t xml:space="preserve">the </w:t>
      </w:r>
      <w:r w:rsidRPr="0023367D">
        <w:t>intensity of investment in intangibles</w:t>
      </w:r>
      <w:r w:rsidR="0084558B">
        <w:t xml:space="preserve">. </w:t>
      </w:r>
      <w:r w:rsidR="00C763E6">
        <w:t xml:space="preserve">To </w:t>
      </w:r>
      <w:r w:rsidR="002F7440">
        <w:t xml:space="preserve">test </w:t>
      </w:r>
      <w:r w:rsidR="001F7447">
        <w:t>our hypotheses</w:t>
      </w:r>
      <w:r w:rsidR="002F7440">
        <w:t xml:space="preserve">, we </w:t>
      </w:r>
      <w:r w:rsidR="002645D2">
        <w:t>operationalize the</w:t>
      </w:r>
      <w:r w:rsidR="00497ADA">
        <w:t xml:space="preserve">se factors </w:t>
      </w:r>
      <w:r w:rsidRPr="0023367D">
        <w:t>as follows</w:t>
      </w:r>
      <w:r w:rsidR="0084558B">
        <w:t xml:space="preserve">. </w:t>
      </w:r>
      <w:r w:rsidRPr="0023367D">
        <w:t xml:space="preserve">Credit risk is assessed </w:t>
      </w:r>
      <w:r w:rsidR="00C763E6">
        <w:t xml:space="preserve">in </w:t>
      </w:r>
      <w:r w:rsidRPr="0023367D">
        <w:t xml:space="preserve">three ways: (1) an estimate of the default probability </w:t>
      </w:r>
      <w:r w:rsidR="00946566" w:rsidRPr="0023367D">
        <w:t>(</w:t>
      </w:r>
      <w:r w:rsidR="005D6182" w:rsidRPr="0023367D">
        <w:t>PROB</w:t>
      </w:r>
      <w:r w:rsidR="00946566" w:rsidRPr="0023367D">
        <w:t>)</w:t>
      </w:r>
      <w:r w:rsidR="005D6182" w:rsidRPr="0023367D">
        <w:t xml:space="preserve"> </w:t>
      </w:r>
      <w:r w:rsidRPr="0023367D">
        <w:t xml:space="preserve">of the sample firms based on the Black–Scholes–Merton option-pricing model (see section </w:t>
      </w:r>
      <w:r w:rsidR="00122631" w:rsidRPr="0023367D">
        <w:t>4</w:t>
      </w:r>
      <w:r w:rsidRPr="0023367D">
        <w:t>.2.1. for details),</w:t>
      </w:r>
      <w:r w:rsidRPr="0023367D">
        <w:rPr>
          <w:rStyle w:val="FootnoteReference"/>
        </w:rPr>
        <w:footnoteReference w:id="22"/>
      </w:r>
      <w:r w:rsidRPr="0023367D">
        <w:t xml:space="preserve"> (2) the frequency of negative cash flows from operations </w:t>
      </w:r>
      <w:r w:rsidR="00946566" w:rsidRPr="0023367D">
        <w:t>(</w:t>
      </w:r>
      <w:proofErr w:type="spellStart"/>
      <w:r w:rsidR="00946566" w:rsidRPr="0023367D">
        <w:t>NegCFO</w:t>
      </w:r>
      <w:proofErr w:type="spellEnd"/>
      <w:r w:rsidR="00946566" w:rsidRPr="0023367D">
        <w:t xml:space="preserve">) </w:t>
      </w:r>
      <w:r w:rsidRPr="0023367D">
        <w:t>which, unlike losses, is not likely to be affected by accounting conservatism</w:t>
      </w:r>
      <w:r w:rsidR="005D6182" w:rsidRPr="0023367D">
        <w:t>,</w:t>
      </w:r>
      <w:r w:rsidRPr="0023367D">
        <w:t xml:space="preserve"> and (3) the rate of change in the GDP, a macro indicator of the state of the economy</w:t>
      </w:r>
      <w:r w:rsidR="0084558B">
        <w:t xml:space="preserve">. </w:t>
      </w:r>
      <w:r w:rsidRPr="0023367D">
        <w:t>Bond rating</w:t>
      </w:r>
      <w:r w:rsidR="00946566" w:rsidRPr="0023367D">
        <w:t>s</w:t>
      </w:r>
      <w:r w:rsidRPr="0023367D">
        <w:t xml:space="preserve">, another measure of risk, </w:t>
      </w:r>
      <w:r w:rsidR="00946566" w:rsidRPr="0023367D">
        <w:t xml:space="preserve">are </w:t>
      </w:r>
      <w:r w:rsidRPr="0023367D">
        <w:t xml:space="preserve">not used in our main tests as </w:t>
      </w:r>
      <w:r w:rsidR="00946566" w:rsidRPr="0023367D">
        <w:t xml:space="preserve">they are </w:t>
      </w:r>
      <w:r w:rsidRPr="0023367D">
        <w:t xml:space="preserve">only available </w:t>
      </w:r>
      <w:r w:rsidR="00AA5926">
        <w:t>beginning in</w:t>
      </w:r>
      <w:r w:rsidR="00AA5926" w:rsidRPr="0023367D">
        <w:t xml:space="preserve"> </w:t>
      </w:r>
      <w:r w:rsidRPr="0023367D">
        <w:t>1985</w:t>
      </w:r>
      <w:r w:rsidR="0084558B">
        <w:t xml:space="preserve">. </w:t>
      </w:r>
      <w:r w:rsidRPr="0023367D">
        <w:t xml:space="preserve">To assess the degree of </w:t>
      </w:r>
      <w:r w:rsidR="00946566" w:rsidRPr="0023367D">
        <w:t xml:space="preserve">reporting </w:t>
      </w:r>
      <w:r w:rsidRPr="0023367D">
        <w:t>conservatism</w:t>
      </w:r>
      <w:r w:rsidR="00946566" w:rsidRPr="0023367D">
        <w:t xml:space="preserve"> (</w:t>
      </w:r>
      <w:r w:rsidR="005D6182" w:rsidRPr="0023367D">
        <w:t>CONSERV</w:t>
      </w:r>
      <w:r w:rsidR="00946566" w:rsidRPr="0023367D">
        <w:t>)</w:t>
      </w:r>
      <w:r w:rsidRPr="0023367D">
        <w:t xml:space="preserve">, we use a measure proposed by </w:t>
      </w:r>
      <w:r w:rsidRPr="0023367D">
        <w:rPr>
          <w:rFonts w:eastAsia="Calibri"/>
          <w:lang w:bidi="he-IL"/>
        </w:rPr>
        <w:t xml:space="preserve">Ball and </w:t>
      </w:r>
      <w:proofErr w:type="spellStart"/>
      <w:r w:rsidRPr="0023367D">
        <w:rPr>
          <w:rFonts w:eastAsia="Calibri"/>
          <w:lang w:bidi="he-IL"/>
        </w:rPr>
        <w:t>Shivakumar</w:t>
      </w:r>
      <w:proofErr w:type="spellEnd"/>
      <w:r w:rsidRPr="0023367D">
        <w:rPr>
          <w:rFonts w:eastAsia="Calibri"/>
          <w:lang w:bidi="he-IL"/>
        </w:rPr>
        <w:t xml:space="preserve"> (2005) which captures the relative persistence of profits versus losses. It is represented by the coefficient </w:t>
      </w:r>
      <w:r w:rsidRPr="0023367D">
        <w:rPr>
          <w:rFonts w:ascii="Symbol" w:eastAsia="Calibri" w:hAnsi="Symbol" w:cs="Symbol"/>
          <w:lang w:bidi="he-IL"/>
        </w:rPr>
        <w:t></w:t>
      </w:r>
      <w:r w:rsidRPr="0023367D">
        <w:rPr>
          <w:rFonts w:ascii="Calibri" w:eastAsia="Calibri" w:hAnsi="Calibri" w:cs="Arial"/>
          <w:vertAlign w:val="subscript"/>
          <w:lang w:val="fr-FR" w:bidi="he-IL"/>
        </w:rPr>
        <w:t>3</w:t>
      </w:r>
      <w:r w:rsidRPr="0023367D">
        <w:rPr>
          <w:rFonts w:eastAsia="Calibri"/>
          <w:lang w:bidi="he-IL"/>
        </w:rPr>
        <w:t xml:space="preserve"> estimated from the following piecewise linear regression:</w:t>
      </w:r>
    </w:p>
    <w:p w14:paraId="4EF4822B" w14:textId="77777777" w:rsidR="00335619" w:rsidRPr="0023367D" w:rsidRDefault="00335619" w:rsidP="00335619">
      <w:pPr>
        <w:autoSpaceDE w:val="0"/>
        <w:autoSpaceDN w:val="0"/>
        <w:adjustRightInd w:val="0"/>
        <w:spacing w:line="480" w:lineRule="auto"/>
        <w:ind w:firstLine="540"/>
        <w:rPr>
          <w:lang w:val="fr-FR" w:bidi="he-IL"/>
        </w:rPr>
      </w:pPr>
      <w:r w:rsidRPr="0023367D">
        <w:rPr>
          <w:rFonts w:ascii="Symbol" w:eastAsia="Calibri" w:hAnsi="Symbol" w:cs="Symbol"/>
          <w:lang w:bidi="he-IL"/>
        </w:rPr>
        <w:t></w:t>
      </w:r>
      <w:proofErr w:type="spellStart"/>
      <w:r w:rsidRPr="0023367D">
        <w:rPr>
          <w:rFonts w:eastAsia="Calibri"/>
          <w:lang w:val="fr-FR" w:bidi="he-IL"/>
        </w:rPr>
        <w:t>NI</w:t>
      </w:r>
      <w:r w:rsidRPr="0023367D">
        <w:rPr>
          <w:rFonts w:eastAsia="Calibri"/>
          <w:vertAlign w:val="subscript"/>
          <w:lang w:val="fr-FR" w:bidi="he-IL"/>
        </w:rPr>
        <w:t>i</w:t>
      </w:r>
      <w:proofErr w:type="gramStart"/>
      <w:r w:rsidRPr="0023367D">
        <w:rPr>
          <w:rFonts w:eastAsia="Calibri"/>
          <w:vertAlign w:val="subscript"/>
          <w:lang w:val="fr-FR" w:bidi="he-IL"/>
        </w:rPr>
        <w:t>,t</w:t>
      </w:r>
      <w:proofErr w:type="spellEnd"/>
      <w:proofErr w:type="gramEnd"/>
      <w:r w:rsidRPr="0023367D">
        <w:rPr>
          <w:rFonts w:ascii="Calibri" w:eastAsia="Calibri" w:hAnsi="Calibri" w:cs="Arial"/>
          <w:vertAlign w:val="subscript"/>
          <w:lang w:val="fr-FR" w:bidi="he-IL"/>
        </w:rPr>
        <w:t xml:space="preserve"> </w:t>
      </w:r>
      <w:r w:rsidRPr="0023367D">
        <w:rPr>
          <w:rFonts w:ascii="Calibri" w:eastAsia="Calibri" w:hAnsi="Calibri" w:cs="Arial"/>
          <w:lang w:val="fr-FR" w:bidi="he-IL"/>
        </w:rPr>
        <w:t xml:space="preserve">= </w:t>
      </w:r>
      <w:r w:rsidRPr="0023367D">
        <w:rPr>
          <w:rFonts w:ascii="Symbol" w:eastAsia="Calibri" w:hAnsi="Symbol" w:cs="Symbol"/>
          <w:lang w:bidi="he-IL"/>
        </w:rPr>
        <w:t></w:t>
      </w:r>
      <w:r w:rsidRPr="0023367D">
        <w:rPr>
          <w:rFonts w:eastAsia="Calibri"/>
          <w:vertAlign w:val="subscript"/>
          <w:lang w:val="fr-FR" w:bidi="he-IL"/>
        </w:rPr>
        <w:t>0</w:t>
      </w:r>
      <w:r w:rsidRPr="0023367D">
        <w:rPr>
          <w:rFonts w:ascii="Calibri" w:eastAsia="Calibri" w:hAnsi="Calibri" w:cs="Arial"/>
          <w:lang w:val="fr-FR" w:bidi="he-IL"/>
        </w:rPr>
        <w:t xml:space="preserve"> + </w:t>
      </w:r>
      <w:r w:rsidRPr="0023367D">
        <w:rPr>
          <w:rFonts w:ascii="Symbol" w:eastAsia="Calibri" w:hAnsi="Symbol" w:cs="Symbol"/>
          <w:lang w:bidi="he-IL"/>
        </w:rPr>
        <w:t></w:t>
      </w:r>
      <w:r w:rsidRPr="0023367D">
        <w:rPr>
          <w:rFonts w:eastAsia="Calibri"/>
          <w:vertAlign w:val="subscript"/>
          <w:lang w:val="fr-FR" w:bidi="he-IL"/>
        </w:rPr>
        <w:t>1</w:t>
      </w:r>
      <w:r w:rsidRPr="0023367D">
        <w:rPr>
          <w:rFonts w:eastAsia="Calibri"/>
          <w:lang w:val="fr-FR" w:bidi="he-IL"/>
        </w:rPr>
        <w:t>D</w:t>
      </w:r>
      <w:r w:rsidRPr="0023367D">
        <w:rPr>
          <w:rFonts w:ascii="Symbol" w:eastAsia="Calibri" w:hAnsi="Symbol" w:cs="Symbol"/>
          <w:lang w:bidi="he-IL"/>
        </w:rPr>
        <w:t></w:t>
      </w:r>
      <w:proofErr w:type="spellStart"/>
      <w:r w:rsidRPr="0023367D">
        <w:rPr>
          <w:rFonts w:eastAsia="Calibri"/>
          <w:lang w:val="fr-FR" w:bidi="he-IL"/>
        </w:rPr>
        <w:t>NI</w:t>
      </w:r>
      <w:r w:rsidRPr="0023367D">
        <w:rPr>
          <w:rFonts w:eastAsia="Calibri"/>
          <w:vertAlign w:val="subscript"/>
          <w:lang w:val="fr-FR" w:bidi="he-IL"/>
        </w:rPr>
        <w:t>i</w:t>
      </w:r>
      <w:proofErr w:type="spellEnd"/>
      <w:r w:rsidRPr="0023367D">
        <w:rPr>
          <w:rFonts w:eastAsia="Calibri"/>
          <w:vertAlign w:val="subscript"/>
          <w:lang w:val="fr-FR" w:bidi="he-IL"/>
        </w:rPr>
        <w:t>, t-1</w:t>
      </w:r>
      <w:r w:rsidRPr="0023367D">
        <w:rPr>
          <w:rFonts w:ascii="Calibri" w:eastAsia="Calibri" w:hAnsi="Calibri" w:cs="Arial"/>
          <w:lang w:val="fr-FR" w:bidi="he-IL"/>
        </w:rPr>
        <w:t xml:space="preserve"> + </w:t>
      </w:r>
      <w:r w:rsidRPr="0023367D">
        <w:rPr>
          <w:rFonts w:ascii="Symbol" w:eastAsia="Calibri" w:hAnsi="Symbol" w:cs="Symbol"/>
          <w:lang w:bidi="he-IL"/>
        </w:rPr>
        <w:t></w:t>
      </w:r>
      <w:r w:rsidRPr="0023367D">
        <w:rPr>
          <w:rFonts w:eastAsia="Calibri"/>
          <w:vertAlign w:val="subscript"/>
          <w:lang w:val="fr-FR" w:bidi="he-IL"/>
        </w:rPr>
        <w:t>2</w:t>
      </w:r>
      <w:r w:rsidRPr="0023367D">
        <w:rPr>
          <w:rFonts w:ascii="Symbol" w:eastAsia="Calibri" w:hAnsi="Symbol" w:cs="Symbol"/>
          <w:lang w:bidi="he-IL"/>
        </w:rPr>
        <w:t></w:t>
      </w:r>
      <w:proofErr w:type="spellStart"/>
      <w:r w:rsidRPr="0023367D">
        <w:rPr>
          <w:rFonts w:eastAsia="Calibri"/>
          <w:lang w:val="fr-FR" w:bidi="he-IL"/>
        </w:rPr>
        <w:t>NI</w:t>
      </w:r>
      <w:r w:rsidRPr="0023367D">
        <w:rPr>
          <w:rFonts w:eastAsia="Calibri"/>
          <w:vertAlign w:val="subscript"/>
          <w:lang w:val="fr-FR" w:bidi="he-IL"/>
        </w:rPr>
        <w:t>i</w:t>
      </w:r>
      <w:proofErr w:type="spellEnd"/>
      <w:r w:rsidRPr="0023367D">
        <w:rPr>
          <w:rFonts w:eastAsia="Calibri"/>
          <w:vertAlign w:val="subscript"/>
          <w:lang w:val="fr-FR" w:bidi="he-IL"/>
        </w:rPr>
        <w:t>, t-1</w:t>
      </w:r>
      <w:r w:rsidRPr="0023367D">
        <w:rPr>
          <w:rFonts w:ascii="Calibri" w:eastAsia="Calibri" w:hAnsi="Calibri" w:cs="Arial"/>
          <w:lang w:val="fr-FR" w:bidi="he-IL"/>
        </w:rPr>
        <w:t xml:space="preserve"> + </w:t>
      </w:r>
      <w:r w:rsidRPr="0023367D">
        <w:rPr>
          <w:rFonts w:ascii="Symbol" w:eastAsia="Calibri" w:hAnsi="Symbol" w:cs="Symbol"/>
          <w:lang w:bidi="he-IL"/>
        </w:rPr>
        <w:t></w:t>
      </w:r>
      <w:r w:rsidRPr="0023367D">
        <w:rPr>
          <w:rFonts w:eastAsia="Calibri"/>
          <w:vertAlign w:val="subscript"/>
          <w:lang w:val="fr-FR" w:bidi="he-IL"/>
        </w:rPr>
        <w:t>3</w:t>
      </w:r>
      <w:r w:rsidRPr="0023367D">
        <w:rPr>
          <w:rFonts w:eastAsia="Calibri"/>
          <w:lang w:val="fr-FR" w:bidi="he-IL"/>
        </w:rPr>
        <w:t>D</w:t>
      </w:r>
      <w:r w:rsidRPr="0023367D">
        <w:rPr>
          <w:rFonts w:ascii="Symbol" w:eastAsia="Calibri" w:hAnsi="Symbol" w:cs="Symbol"/>
          <w:lang w:bidi="he-IL"/>
        </w:rPr>
        <w:t></w:t>
      </w:r>
      <w:proofErr w:type="spellStart"/>
      <w:r w:rsidRPr="0023367D">
        <w:rPr>
          <w:rFonts w:eastAsia="Calibri"/>
          <w:lang w:val="fr-FR" w:bidi="he-IL"/>
        </w:rPr>
        <w:t>NI</w:t>
      </w:r>
      <w:r w:rsidRPr="0023367D">
        <w:rPr>
          <w:rFonts w:eastAsia="Calibri"/>
          <w:vertAlign w:val="subscript"/>
          <w:lang w:val="fr-FR" w:bidi="he-IL"/>
        </w:rPr>
        <w:t>i</w:t>
      </w:r>
      <w:proofErr w:type="spellEnd"/>
      <w:r w:rsidRPr="0023367D">
        <w:rPr>
          <w:rFonts w:eastAsia="Calibri"/>
          <w:vertAlign w:val="subscript"/>
          <w:lang w:val="fr-FR" w:bidi="he-IL"/>
        </w:rPr>
        <w:t>, t-1</w:t>
      </w:r>
      <w:r w:rsidRPr="0023367D">
        <w:rPr>
          <w:rFonts w:ascii="Calibri" w:eastAsia="Calibri" w:hAnsi="Calibri" w:cs="Arial"/>
          <w:lang w:val="fr-FR" w:bidi="he-IL"/>
        </w:rPr>
        <w:t>*</w:t>
      </w:r>
      <w:r w:rsidRPr="0023367D">
        <w:rPr>
          <w:rFonts w:ascii="Symbol" w:eastAsia="Calibri" w:hAnsi="Symbol" w:cs="Symbol"/>
          <w:lang w:bidi="he-IL"/>
        </w:rPr>
        <w:t></w:t>
      </w:r>
      <w:proofErr w:type="spellStart"/>
      <w:r w:rsidRPr="0023367D">
        <w:rPr>
          <w:rFonts w:eastAsia="Calibri"/>
          <w:lang w:val="fr-FR" w:bidi="he-IL"/>
        </w:rPr>
        <w:t>NI</w:t>
      </w:r>
      <w:r w:rsidRPr="0023367D">
        <w:rPr>
          <w:rFonts w:eastAsia="Calibri"/>
          <w:vertAlign w:val="subscript"/>
          <w:lang w:val="fr-FR" w:bidi="he-IL"/>
        </w:rPr>
        <w:t>i</w:t>
      </w:r>
      <w:proofErr w:type="spellEnd"/>
      <w:r w:rsidRPr="0023367D">
        <w:rPr>
          <w:rFonts w:eastAsia="Calibri"/>
          <w:vertAlign w:val="subscript"/>
          <w:lang w:val="fr-FR" w:bidi="he-IL"/>
        </w:rPr>
        <w:t>, t-1</w:t>
      </w:r>
      <w:r w:rsidRPr="0023367D">
        <w:rPr>
          <w:rFonts w:ascii="Calibri" w:eastAsia="Calibri" w:hAnsi="Calibri" w:cs="Arial"/>
          <w:lang w:val="fr-FR" w:bidi="he-IL"/>
        </w:rPr>
        <w:t xml:space="preserve"> + </w:t>
      </w:r>
      <w:r w:rsidRPr="0023367D">
        <w:rPr>
          <w:rFonts w:ascii="Symbol" w:eastAsia="Calibri" w:hAnsi="Symbol" w:cs="Symbol"/>
          <w:lang w:bidi="he-IL"/>
        </w:rPr>
        <w:t></w:t>
      </w:r>
      <w:r w:rsidRPr="0023367D">
        <w:rPr>
          <w:rFonts w:ascii="Calibri" w:eastAsia="Calibri" w:hAnsi="Calibri" w:cs="Arial"/>
          <w:vertAlign w:val="subscript"/>
          <w:lang w:val="fr-FR" w:bidi="he-IL"/>
        </w:rPr>
        <w:t xml:space="preserve"> </w:t>
      </w:r>
      <w:r w:rsidRPr="0023367D">
        <w:rPr>
          <w:rFonts w:eastAsia="Calibri"/>
          <w:vertAlign w:val="subscript"/>
          <w:lang w:val="fr-FR" w:bidi="he-IL"/>
        </w:rPr>
        <w:t>i, t</w:t>
      </w:r>
      <w:r w:rsidRPr="0023367D">
        <w:rPr>
          <w:rFonts w:ascii="Calibri" w:eastAsia="Calibri" w:hAnsi="Calibri" w:cs="Arial"/>
          <w:lang w:val="fr-FR" w:bidi="he-IL"/>
        </w:rPr>
        <w:t xml:space="preserve"> </w:t>
      </w:r>
      <w:r w:rsidRPr="0023367D">
        <w:rPr>
          <w:rFonts w:ascii="Calibri" w:eastAsia="Calibri" w:hAnsi="Calibri" w:cs="Arial"/>
          <w:lang w:val="fr-FR" w:bidi="he-IL"/>
        </w:rPr>
        <w:tab/>
      </w:r>
      <w:r w:rsidRPr="0023367D">
        <w:rPr>
          <w:rFonts w:ascii="Calibri" w:eastAsia="Calibri" w:hAnsi="Calibri" w:cs="Arial"/>
          <w:lang w:val="fr-FR" w:bidi="he-IL"/>
        </w:rPr>
        <w:tab/>
      </w:r>
      <w:r w:rsidRPr="0023367D">
        <w:rPr>
          <w:rFonts w:eastAsia="Calibri"/>
          <w:lang w:val="fr-FR" w:bidi="he-IL"/>
        </w:rPr>
        <w:tab/>
        <w:t>(6)</w:t>
      </w:r>
    </w:p>
    <w:p w14:paraId="153281CB" w14:textId="77777777" w:rsidR="00335619" w:rsidRPr="0023367D" w:rsidRDefault="00335619" w:rsidP="00630B02">
      <w:pPr>
        <w:autoSpaceDE w:val="0"/>
        <w:autoSpaceDN w:val="0"/>
        <w:adjustRightInd w:val="0"/>
        <w:spacing w:line="480" w:lineRule="auto"/>
        <w:rPr>
          <w:lang w:bidi="he-IL"/>
        </w:rPr>
      </w:pPr>
      <w:r w:rsidRPr="0023367D">
        <w:rPr>
          <w:rFonts w:eastAsia="Calibri"/>
          <w:lang w:bidi="he-IL"/>
        </w:rPr>
        <w:t xml:space="preserve">where </w:t>
      </w:r>
      <w:r w:rsidRPr="0023367D">
        <w:rPr>
          <w:rFonts w:ascii="Symbol" w:eastAsia="Calibri" w:hAnsi="Symbol" w:cs="Symbol"/>
          <w:lang w:bidi="he-IL"/>
        </w:rPr>
        <w:t></w:t>
      </w:r>
      <w:r w:rsidRPr="0023367D">
        <w:rPr>
          <w:rFonts w:eastAsia="Calibri"/>
          <w:lang w:bidi="he-IL"/>
        </w:rPr>
        <w:t>NI</w:t>
      </w:r>
      <w:r w:rsidRPr="0023367D">
        <w:rPr>
          <w:rFonts w:ascii="Calibri" w:eastAsia="Calibri" w:hAnsi="Calibri" w:cs="Arial"/>
          <w:lang w:bidi="he-IL"/>
        </w:rPr>
        <w:t xml:space="preserve"> </w:t>
      </w:r>
      <w:r w:rsidRPr="0023367D">
        <w:rPr>
          <w:rFonts w:eastAsia="Calibri"/>
          <w:lang w:bidi="he-IL"/>
        </w:rPr>
        <w:t xml:space="preserve">is the change in </w:t>
      </w:r>
      <w:r w:rsidR="00AA5926">
        <w:rPr>
          <w:rFonts w:eastAsia="Calibri"/>
          <w:lang w:bidi="he-IL"/>
        </w:rPr>
        <w:t xml:space="preserve">firm i’s </w:t>
      </w:r>
      <w:r w:rsidRPr="0023367D">
        <w:rPr>
          <w:rFonts w:eastAsia="Calibri"/>
          <w:lang w:bidi="he-IL"/>
        </w:rPr>
        <w:t xml:space="preserve">income excluding extraordinary items from fiscal year t-1 to t, scaled by the beginning </w:t>
      </w:r>
      <w:r w:rsidR="003B0CA1" w:rsidRPr="0023367D">
        <w:rPr>
          <w:rFonts w:eastAsia="Calibri"/>
          <w:lang w:bidi="he-IL"/>
        </w:rPr>
        <w:t xml:space="preserve">of the year </w:t>
      </w:r>
      <w:r w:rsidRPr="0023367D">
        <w:rPr>
          <w:rFonts w:eastAsia="Calibri"/>
          <w:lang w:bidi="he-IL"/>
        </w:rPr>
        <w:t>book value of total assets, and</w:t>
      </w:r>
      <w:r w:rsidRPr="0023367D">
        <w:rPr>
          <w:rFonts w:ascii="Calibri" w:eastAsia="Calibri" w:hAnsi="Calibri" w:cs="Arial"/>
          <w:lang w:bidi="he-IL"/>
        </w:rPr>
        <w:t xml:space="preserve"> </w:t>
      </w:r>
      <w:r w:rsidRPr="0023367D">
        <w:rPr>
          <w:rFonts w:eastAsia="Calibri"/>
          <w:lang w:bidi="he-IL"/>
        </w:rPr>
        <w:t>D</w:t>
      </w:r>
      <w:r w:rsidRPr="0023367D">
        <w:rPr>
          <w:rFonts w:ascii="Symbol" w:eastAsia="Calibri" w:hAnsi="Symbol" w:cs="Symbol"/>
          <w:lang w:bidi="he-IL"/>
        </w:rPr>
        <w:t></w:t>
      </w:r>
      <w:r w:rsidRPr="0023367D">
        <w:rPr>
          <w:rFonts w:eastAsia="Calibri"/>
          <w:lang w:bidi="he-IL"/>
        </w:rPr>
        <w:t xml:space="preserve">NI is a dummy variable set equal to one if </w:t>
      </w:r>
      <w:r w:rsidRPr="0023367D">
        <w:rPr>
          <w:rFonts w:ascii="Symbol" w:eastAsia="Calibri" w:hAnsi="Symbol" w:cs="Symbol"/>
          <w:lang w:bidi="he-IL"/>
        </w:rPr>
        <w:t></w:t>
      </w:r>
      <w:r w:rsidRPr="0023367D">
        <w:rPr>
          <w:rFonts w:eastAsia="Calibri"/>
          <w:lang w:bidi="he-IL"/>
        </w:rPr>
        <w:t>NI in the prior year is negative and zero otherwise.</w:t>
      </w:r>
      <w:r w:rsidRPr="0023367D">
        <w:rPr>
          <w:lang w:bidi="he-IL"/>
        </w:rPr>
        <w:t xml:space="preserve"> </w:t>
      </w:r>
      <w:r w:rsidRPr="0023367D">
        <w:rPr>
          <w:rFonts w:eastAsia="Calibri"/>
        </w:rPr>
        <w:t>This measure</w:t>
      </w:r>
      <w:r w:rsidRPr="0023367D">
        <w:t>, which</w:t>
      </w:r>
      <w:r w:rsidRPr="0023367D">
        <w:rPr>
          <w:rFonts w:eastAsia="Calibri"/>
        </w:rPr>
        <w:t xml:space="preserve"> has been employed by a number of studies (e.g., Ball and </w:t>
      </w:r>
      <w:proofErr w:type="spellStart"/>
      <w:r w:rsidRPr="0023367D">
        <w:rPr>
          <w:rFonts w:eastAsia="Calibri"/>
        </w:rPr>
        <w:t>Shivakumar</w:t>
      </w:r>
      <w:proofErr w:type="spellEnd"/>
      <w:r w:rsidRPr="0023367D">
        <w:rPr>
          <w:rFonts w:eastAsia="Calibri"/>
        </w:rPr>
        <w:t xml:space="preserve"> 2005; Katz 2009; </w:t>
      </w:r>
      <w:proofErr w:type="spellStart"/>
      <w:r w:rsidRPr="0023367D">
        <w:rPr>
          <w:rFonts w:eastAsia="Calibri"/>
        </w:rPr>
        <w:t>Givoly</w:t>
      </w:r>
      <w:proofErr w:type="spellEnd"/>
      <w:r w:rsidRPr="0023367D">
        <w:rPr>
          <w:rFonts w:eastAsia="Calibri"/>
        </w:rPr>
        <w:t xml:space="preserve"> et al. 2010)</w:t>
      </w:r>
      <w:r w:rsidRPr="0023367D">
        <w:t>, relies on the notion that d</w:t>
      </w:r>
      <w:r w:rsidRPr="0023367D">
        <w:rPr>
          <w:rFonts w:eastAsia="Calibri"/>
          <w:lang w:bidi="he-IL"/>
        </w:rPr>
        <w:t xml:space="preserve">eferring the recognition of gains until their related cash flows are realized causes gains to be a persistent positive component </w:t>
      </w:r>
      <w:r w:rsidR="00630B02" w:rsidRPr="0023367D">
        <w:rPr>
          <w:rFonts w:eastAsia="Calibri"/>
          <w:lang w:bidi="he-IL"/>
        </w:rPr>
        <w:t>of income.</w:t>
      </w:r>
      <w:r w:rsidRPr="0023367D">
        <w:rPr>
          <w:rFonts w:eastAsia="Calibri"/>
          <w:lang w:bidi="he-IL"/>
        </w:rPr>
        <w:t xml:space="preserve"> The hypothesis that economic losses are recognized in a more timely fashion than gains implies that </w:t>
      </w:r>
      <w:r w:rsidRPr="0023367D">
        <w:rPr>
          <w:rFonts w:ascii="Symbol" w:eastAsia="Calibri" w:hAnsi="Symbol" w:cs="Symbol"/>
          <w:lang w:bidi="he-IL"/>
        </w:rPr>
        <w:t></w:t>
      </w:r>
      <w:r w:rsidRPr="0023367D">
        <w:rPr>
          <w:vertAlign w:val="subscript"/>
          <w:lang w:val="fr-FR" w:bidi="he-IL"/>
        </w:rPr>
        <w:t>3</w:t>
      </w:r>
      <w:r w:rsidRPr="0023367D">
        <w:rPr>
          <w:rFonts w:eastAsia="Calibri"/>
          <w:lang w:bidi="he-IL"/>
        </w:rPr>
        <w:t xml:space="preserve"> </w:t>
      </w:r>
      <w:r w:rsidRPr="0023367D">
        <w:rPr>
          <w:lang w:bidi="he-IL"/>
        </w:rPr>
        <w:t xml:space="preserve">&lt; </w:t>
      </w:r>
      <w:r w:rsidRPr="0023367D">
        <w:rPr>
          <w:rFonts w:eastAsia="Calibri"/>
          <w:lang w:bidi="he-IL"/>
        </w:rPr>
        <w:t>0.</w:t>
      </w:r>
      <w:r w:rsidRPr="0023367D">
        <w:rPr>
          <w:rStyle w:val="FootnoteReference"/>
          <w:rFonts w:eastAsia="Calibri"/>
          <w:lang w:bidi="he-IL"/>
        </w:rPr>
        <w:footnoteReference w:id="23"/>
      </w:r>
      <w:r w:rsidRPr="0023367D">
        <w:rPr>
          <w:lang w:bidi="he-IL"/>
        </w:rPr>
        <w:t xml:space="preserve"> Regression (6) and the measure of conservatism, </w:t>
      </w:r>
      <w:r w:rsidRPr="0023367D">
        <w:rPr>
          <w:rFonts w:ascii="Symbol" w:eastAsia="Calibri" w:hAnsi="Symbol" w:cs="Symbol"/>
          <w:lang w:bidi="he-IL"/>
        </w:rPr>
        <w:t></w:t>
      </w:r>
      <w:r w:rsidRPr="0023367D">
        <w:rPr>
          <w:rFonts w:ascii="Calibri" w:eastAsia="Calibri" w:hAnsi="Calibri" w:cs="Arial"/>
          <w:vertAlign w:val="subscript"/>
          <w:lang w:val="fr-FR" w:bidi="he-IL"/>
        </w:rPr>
        <w:t>3</w:t>
      </w:r>
      <w:r w:rsidRPr="0023367D">
        <w:rPr>
          <w:lang w:bidi="he-IL"/>
        </w:rPr>
        <w:t xml:space="preserve">, are estimated for year t from each firm’s time-series </w:t>
      </w:r>
      <w:r w:rsidR="00AA5926">
        <w:rPr>
          <w:lang w:bidi="he-IL"/>
        </w:rPr>
        <w:t>over</w:t>
      </w:r>
      <w:r w:rsidR="00AA5926" w:rsidRPr="0023367D">
        <w:rPr>
          <w:lang w:bidi="he-IL"/>
        </w:rPr>
        <w:t xml:space="preserve"> </w:t>
      </w:r>
      <w:r w:rsidRPr="0023367D">
        <w:rPr>
          <w:lang w:bidi="he-IL"/>
        </w:rPr>
        <w:t>the 12-year period ending with year t</w:t>
      </w:r>
      <w:r w:rsidR="0084558B">
        <w:rPr>
          <w:lang w:bidi="he-IL"/>
        </w:rPr>
        <w:t xml:space="preserve">. </w:t>
      </w:r>
      <w:r w:rsidRPr="0023367D">
        <w:rPr>
          <w:lang w:bidi="he-IL"/>
        </w:rPr>
        <w:t xml:space="preserve">For the estimation, the regression variables are </w:t>
      </w:r>
      <w:proofErr w:type="spellStart"/>
      <w:proofErr w:type="gramStart"/>
      <w:r w:rsidRPr="0023367D">
        <w:t>Winsorized</w:t>
      </w:r>
      <w:proofErr w:type="spellEnd"/>
      <w:proofErr w:type="gramEnd"/>
      <w:r w:rsidRPr="0023367D">
        <w:t xml:space="preserve"> at the 1% and 99% levels</w:t>
      </w:r>
      <w:r w:rsidR="00AA5926">
        <w:t xml:space="preserve"> of their respective distributions</w:t>
      </w:r>
      <w:r w:rsidRPr="0023367D">
        <w:t>.</w:t>
      </w:r>
    </w:p>
    <w:p w14:paraId="4DA9F7E0" w14:textId="53542EAA" w:rsidR="00335619" w:rsidRPr="0023367D" w:rsidRDefault="00335619" w:rsidP="00335619">
      <w:pPr>
        <w:autoSpaceDE w:val="0"/>
        <w:autoSpaceDN w:val="0"/>
        <w:adjustRightInd w:val="0"/>
        <w:spacing w:line="480" w:lineRule="auto"/>
        <w:ind w:firstLine="720"/>
      </w:pPr>
      <w:r w:rsidRPr="0023367D">
        <w:t xml:space="preserve">To assess the impact of fair value accounting, we use the measure employed by </w:t>
      </w:r>
      <w:proofErr w:type="spellStart"/>
      <w:r w:rsidRPr="0023367D">
        <w:t>Demerjian</w:t>
      </w:r>
      <w:proofErr w:type="spellEnd"/>
      <w:r w:rsidRPr="0023367D">
        <w:t xml:space="preserve"> (2011) </w:t>
      </w:r>
      <w:r w:rsidR="005D180E" w:rsidRPr="0023367D">
        <w:t xml:space="preserve">which </w:t>
      </w:r>
      <w:r w:rsidRPr="0023367D">
        <w:t>captures the balance sheet effect of fair value adjustments. It is based on the fact that with few exceptions (most prominently, impairments), these adjustments tend not to be captured in income but rather appear in the equity section of the balance sheet in the form of “Accumulated Other Comprehensive Income” (</w:t>
      </w:r>
      <w:r w:rsidR="00946566" w:rsidRPr="0023367D">
        <w:t>A</w:t>
      </w:r>
      <w:r w:rsidRPr="0023367D">
        <w:t>OCI)</w:t>
      </w:r>
      <w:r w:rsidR="0084558B">
        <w:t xml:space="preserve">. </w:t>
      </w:r>
      <w:r w:rsidRPr="0023367D">
        <w:t xml:space="preserve">The sum of these adjustments in any given period can be close to zero because of offsetting </w:t>
      </w:r>
      <w:r w:rsidR="0065773F" w:rsidRPr="0023367D">
        <w:t xml:space="preserve">adjustments </w:t>
      </w:r>
      <w:r w:rsidRPr="0023367D">
        <w:t>and therefore cannot be used to gauge their collective importance</w:t>
      </w:r>
      <w:r w:rsidR="0084558B">
        <w:t xml:space="preserve">. </w:t>
      </w:r>
      <w:r w:rsidRPr="0023367D">
        <w:t>Instead, the measure captures the variability of the changes in the book value of equity, excluding changes due to stock issuances, stock repurchases and dividends</w:t>
      </w:r>
      <w:r w:rsidR="0084558B">
        <w:t xml:space="preserve">. </w:t>
      </w:r>
      <w:r w:rsidRPr="0023367D">
        <w:t xml:space="preserve">To control for operating variability, the measure is divided by the variability of “core” net income (net income from continuing operations, before special items and “other income”) to form what </w:t>
      </w:r>
      <w:proofErr w:type="spellStart"/>
      <w:r w:rsidRPr="0023367D">
        <w:t>Demerjian</w:t>
      </w:r>
      <w:proofErr w:type="spellEnd"/>
      <w:r w:rsidRPr="0023367D">
        <w:t xml:space="preserve"> (2011) terms the “volatility ratio” (</w:t>
      </w:r>
      <w:proofErr w:type="spellStart"/>
      <w:r w:rsidRPr="0023367D">
        <w:t>VR</w:t>
      </w:r>
      <w:r w:rsidR="00946566" w:rsidRPr="0023367D">
        <w:t>atio</w:t>
      </w:r>
      <w:proofErr w:type="spellEnd"/>
      <w:r w:rsidRPr="0023367D">
        <w:t>).</w:t>
      </w:r>
      <w:r w:rsidRPr="0023367D">
        <w:rPr>
          <w:rStyle w:val="FootnoteReference"/>
        </w:rPr>
        <w:footnoteReference w:id="24"/>
      </w:r>
      <w:r w:rsidRPr="0023367D">
        <w:t xml:space="preserve">  </w:t>
      </w:r>
      <w:r w:rsidR="00A60D1C">
        <w:t>This variable is</w:t>
      </w:r>
      <w:r w:rsidR="00A60D1C" w:rsidRPr="0023367D">
        <w:t xml:space="preserve"> </w:t>
      </w:r>
      <w:r w:rsidRPr="0023367D">
        <w:t xml:space="preserve">measured over a </w:t>
      </w:r>
      <w:r w:rsidR="00AA5926">
        <w:t>five</w:t>
      </w:r>
      <w:r w:rsidRPr="0023367D">
        <w:t xml:space="preserve">-year window. </w:t>
      </w:r>
    </w:p>
    <w:p w14:paraId="0C972FE2" w14:textId="5F8F100A" w:rsidR="00335619" w:rsidRPr="0023367D" w:rsidRDefault="00335619" w:rsidP="00335619">
      <w:pPr>
        <w:autoSpaceDE w:val="0"/>
        <w:autoSpaceDN w:val="0"/>
        <w:adjustRightInd w:val="0"/>
        <w:spacing w:line="480" w:lineRule="auto"/>
        <w:ind w:firstLine="720"/>
      </w:pPr>
      <w:r w:rsidRPr="0023367D">
        <w:t xml:space="preserve">The intensity of investment in intangible assets </w:t>
      </w:r>
      <w:r w:rsidR="00946566" w:rsidRPr="0023367D">
        <w:t xml:space="preserve">(Intangibles) </w:t>
      </w:r>
      <w:r w:rsidRPr="0023367D">
        <w:t xml:space="preserve">in each firm-year is gauged by the sum of intangible assets and an estimate of </w:t>
      </w:r>
      <w:r w:rsidR="005D180E" w:rsidRPr="0023367D">
        <w:t xml:space="preserve">the </w:t>
      </w:r>
      <w:r w:rsidRPr="0023367D">
        <w:t>unrecognized (i.e., off-the-books) R&amp;D asset, deflated by total assets</w:t>
      </w:r>
      <w:r w:rsidR="0084558B">
        <w:t xml:space="preserve">. </w:t>
      </w:r>
      <w:r w:rsidRPr="0023367D">
        <w:t>The unrecognized R&amp;D asset is estimated as the mean annual R&amp;D expenditure over the most recent five years multiplied by 2.5.</w:t>
      </w:r>
      <w:r w:rsidRPr="0023367D">
        <w:rPr>
          <w:rStyle w:val="FootnoteReference"/>
        </w:rPr>
        <w:footnoteReference w:id="25"/>
      </w:r>
    </w:p>
    <w:p w14:paraId="1F14ACF9" w14:textId="77777777" w:rsidR="00335619" w:rsidRPr="0023367D" w:rsidRDefault="00122631" w:rsidP="001C0D71">
      <w:pPr>
        <w:spacing w:line="480" w:lineRule="auto"/>
      </w:pPr>
      <w:r w:rsidRPr="0023367D">
        <w:rPr>
          <w:b/>
        </w:rPr>
        <w:t>6</w:t>
      </w:r>
      <w:r w:rsidR="00335619" w:rsidRPr="0023367D">
        <w:rPr>
          <w:b/>
        </w:rPr>
        <w:t>.</w:t>
      </w:r>
      <w:r w:rsidR="001C0D71">
        <w:rPr>
          <w:b/>
        </w:rPr>
        <w:t>3</w:t>
      </w:r>
      <w:r w:rsidR="00335619" w:rsidRPr="0023367D">
        <w:rPr>
          <w:b/>
        </w:rPr>
        <w:t xml:space="preserve">. </w:t>
      </w:r>
      <w:r w:rsidR="00DB4384">
        <w:rPr>
          <w:b/>
        </w:rPr>
        <w:t xml:space="preserve">Results from the </w:t>
      </w:r>
      <w:r w:rsidR="00335619" w:rsidRPr="0023367D">
        <w:rPr>
          <w:b/>
        </w:rPr>
        <w:t>Univariate Analys</w:t>
      </w:r>
      <w:r w:rsidR="00DB4384">
        <w:rPr>
          <w:b/>
        </w:rPr>
        <w:t>e</w:t>
      </w:r>
      <w:r w:rsidR="00335619" w:rsidRPr="0023367D">
        <w:rPr>
          <w:b/>
        </w:rPr>
        <w:t>s</w:t>
      </w:r>
    </w:p>
    <w:p w14:paraId="773C84F3" w14:textId="0E673923" w:rsidR="00335619" w:rsidRPr="0023367D" w:rsidRDefault="00335619" w:rsidP="001C0D71">
      <w:pPr>
        <w:spacing w:line="480" w:lineRule="auto"/>
        <w:ind w:firstLine="720"/>
      </w:pPr>
      <w:r w:rsidRPr="0023367D">
        <w:t xml:space="preserve">Table 5 provides two important statistics on each of the </w:t>
      </w:r>
      <w:r w:rsidR="001C0D71">
        <w:t>six</w:t>
      </w:r>
      <w:r w:rsidRPr="0023367D">
        <w:t xml:space="preserve"> factors </w:t>
      </w:r>
      <w:r w:rsidR="005D6182" w:rsidRPr="0023367D">
        <w:t xml:space="preserve">hypothesized to </w:t>
      </w:r>
      <w:r w:rsidRPr="0023367D">
        <w:t xml:space="preserve">affect </w:t>
      </w:r>
      <w:r w:rsidR="00946566" w:rsidRPr="0023367D">
        <w:t xml:space="preserve">the </w:t>
      </w:r>
      <w:r w:rsidRPr="0023367D">
        <w:t>change in the information content of accounting numbers to bond holders</w:t>
      </w:r>
      <w:r w:rsidR="0084558B">
        <w:t xml:space="preserve">. </w:t>
      </w:r>
      <w:r w:rsidRPr="0023367D">
        <w:t xml:space="preserve">The first statistic is the association between each variable and the </w:t>
      </w:r>
      <w:r w:rsidR="00AE6258" w:rsidRPr="0023367D">
        <w:t xml:space="preserve">information content to bond holders </w:t>
      </w:r>
      <w:r w:rsidRPr="0023367D">
        <w:t>as captured by Adj. R</w:t>
      </w:r>
      <w:r w:rsidRPr="0023367D">
        <w:rPr>
          <w:vertAlign w:val="superscript"/>
        </w:rPr>
        <w:t>2</w:t>
      </w:r>
      <w:r w:rsidRPr="0023367D">
        <w:rPr>
          <w:vertAlign w:val="subscript"/>
        </w:rPr>
        <w:t xml:space="preserve">ACCT </w:t>
      </w:r>
      <w:r w:rsidRPr="0023367D">
        <w:t>from the bond valuation and return models</w:t>
      </w:r>
      <w:r w:rsidR="0084558B">
        <w:t xml:space="preserve">. </w:t>
      </w:r>
      <w:r w:rsidRPr="0023367D">
        <w:t>This association is provided separately for observations with high and low values of the variable</w:t>
      </w:r>
      <w:r w:rsidR="0084558B">
        <w:t xml:space="preserve">. </w:t>
      </w:r>
      <w:r w:rsidRPr="0023367D">
        <w:t>The second statistic is the trend of the variable over the 39-year sample period</w:t>
      </w:r>
      <w:r w:rsidR="007E293C">
        <w:t xml:space="preserve">. This trend is depicted in the series of graphs in Figure </w:t>
      </w:r>
      <w:r w:rsidR="001C0D71">
        <w:t xml:space="preserve">3 </w:t>
      </w:r>
      <w:r w:rsidR="007E293C">
        <w:t>and</w:t>
      </w:r>
      <w:r w:rsidRPr="0023367D">
        <w:t xml:space="preserve"> measured by the slope coefficient of a linear trend-line</w:t>
      </w:r>
      <w:r w:rsidR="007E293C">
        <w:t xml:space="preserve">, reported in </w:t>
      </w:r>
      <w:r w:rsidR="006433B5">
        <w:t xml:space="preserve">Table </w:t>
      </w:r>
      <w:r w:rsidR="007E293C">
        <w:t>5</w:t>
      </w:r>
      <w:r w:rsidR="0084558B">
        <w:t xml:space="preserve">. </w:t>
      </w:r>
      <w:r w:rsidRPr="0023367D">
        <w:t xml:space="preserve">For descriptive purposes, we </w:t>
      </w:r>
      <w:r w:rsidR="006633AE">
        <w:t xml:space="preserve">also </w:t>
      </w:r>
      <w:r w:rsidRPr="0023367D">
        <w:t>provide these statistics</w:t>
      </w:r>
      <w:r w:rsidR="00AE6258" w:rsidRPr="0023367D">
        <w:t xml:space="preserve"> for the </w:t>
      </w:r>
      <w:r w:rsidRPr="0023367D">
        <w:t xml:space="preserve">bond rating, an alternative measure </w:t>
      </w:r>
      <w:r w:rsidR="009C31F9">
        <w:t>of</w:t>
      </w:r>
      <w:r w:rsidR="009C31F9" w:rsidRPr="0023367D">
        <w:t xml:space="preserve"> </w:t>
      </w:r>
      <w:r w:rsidRPr="0023367D">
        <w:t>credit risk.</w:t>
      </w:r>
    </w:p>
    <w:p w14:paraId="67C55CD4" w14:textId="29079D9A" w:rsidR="00335619" w:rsidRPr="0023367D" w:rsidRDefault="00335619" w:rsidP="00647D21">
      <w:pPr>
        <w:spacing w:line="480" w:lineRule="auto"/>
        <w:ind w:firstLine="720"/>
        <w:rPr>
          <w:szCs w:val="20"/>
        </w:rPr>
      </w:pPr>
      <w:r w:rsidRPr="0023367D">
        <w:t xml:space="preserve">As the table </w:t>
      </w:r>
      <w:r w:rsidR="00946566" w:rsidRPr="0023367D">
        <w:t>indicates</w:t>
      </w:r>
      <w:r w:rsidR="002A7AB2">
        <w:t>, and</w:t>
      </w:r>
      <w:r w:rsidR="00882F1D">
        <w:t xml:space="preserve"> </w:t>
      </w:r>
      <w:r w:rsidR="00DB4384">
        <w:t>c</w:t>
      </w:r>
      <w:r w:rsidRPr="0023367D">
        <w:t xml:space="preserve">onsistent with the findings of Easton et al. (2009) and </w:t>
      </w:r>
      <w:proofErr w:type="spellStart"/>
      <w:r w:rsidRPr="0023367D">
        <w:t>Defond</w:t>
      </w:r>
      <w:proofErr w:type="spellEnd"/>
      <w:r w:rsidRPr="0023367D">
        <w:t xml:space="preserve"> and Zhang (2014), </w:t>
      </w:r>
      <w:r w:rsidR="00DB4384">
        <w:t xml:space="preserve">the association between </w:t>
      </w:r>
      <w:r w:rsidRPr="0023367D">
        <w:t>bond yield spreads and returns</w:t>
      </w:r>
      <w:r w:rsidR="00DB4384">
        <w:t xml:space="preserve">, </w:t>
      </w:r>
      <w:r w:rsidR="00DB4384" w:rsidRPr="0023367D">
        <w:t>as captured by</w:t>
      </w:r>
      <w:r w:rsidR="00DB4384" w:rsidRPr="0023367D">
        <w:rPr>
          <w:sz w:val="36"/>
        </w:rPr>
        <w:t xml:space="preserve"> </w:t>
      </w:r>
      <w:r w:rsidR="00DB4384" w:rsidRPr="0023367D">
        <w:rPr>
          <w:szCs w:val="20"/>
        </w:rPr>
        <w:t>Adj. R</w:t>
      </w:r>
      <w:r w:rsidR="00DB4384" w:rsidRPr="0023367D">
        <w:rPr>
          <w:szCs w:val="20"/>
          <w:vertAlign w:val="superscript"/>
        </w:rPr>
        <w:t>2</w:t>
      </w:r>
      <w:r w:rsidR="00DB4384" w:rsidRPr="0023367D">
        <w:rPr>
          <w:szCs w:val="20"/>
          <w:vertAlign w:val="subscript"/>
        </w:rPr>
        <w:t>ACCT</w:t>
      </w:r>
      <w:r w:rsidR="00DB4384" w:rsidRPr="006E5CE9">
        <w:rPr>
          <w:szCs w:val="20"/>
        </w:rPr>
        <w:t>,</w:t>
      </w:r>
      <w:r w:rsidR="00DB4384">
        <w:t xml:space="preserve"> </w:t>
      </w:r>
      <w:r w:rsidRPr="0023367D">
        <w:t xml:space="preserve"> </w:t>
      </w:r>
      <w:r w:rsidR="002A7AB2">
        <w:t>is</w:t>
      </w:r>
      <w:r w:rsidR="002A7AB2" w:rsidRPr="0023367D">
        <w:t xml:space="preserve"> </w:t>
      </w:r>
      <w:r w:rsidRPr="0023367D">
        <w:t>more closely associated with accounting information in firm-years with adverse information or a high likelihood of default</w:t>
      </w:r>
      <w:r w:rsidR="0084558B">
        <w:t xml:space="preserve">. </w:t>
      </w:r>
      <w:r w:rsidR="007C7995">
        <w:t>Due to the large samples, all of the differences</w:t>
      </w:r>
      <w:r w:rsidR="00D8366C">
        <w:t xml:space="preserve"> reported in the table between the</w:t>
      </w:r>
      <w:r w:rsidR="007C7995">
        <w:t xml:space="preserve"> </w:t>
      </w:r>
      <w:r w:rsidR="002F7440">
        <w:t xml:space="preserve">Adj. </w:t>
      </w:r>
      <w:r w:rsidR="007C7995">
        <w:t>R</w:t>
      </w:r>
      <w:r w:rsidR="007C7995" w:rsidRPr="006E5CE9">
        <w:rPr>
          <w:vertAlign w:val="superscript"/>
        </w:rPr>
        <w:t>2</w:t>
      </w:r>
      <w:r w:rsidR="002F7440" w:rsidRPr="006E5CE9">
        <w:rPr>
          <w:vertAlign w:val="subscript"/>
        </w:rPr>
        <w:t>ACCT</w:t>
      </w:r>
      <w:r w:rsidR="007C7995">
        <w:t xml:space="preserve"> </w:t>
      </w:r>
      <w:r w:rsidR="00D8366C">
        <w:t xml:space="preserve">of these two </w:t>
      </w:r>
      <w:r w:rsidR="007C7995">
        <w:t xml:space="preserve">groups </w:t>
      </w:r>
      <w:r w:rsidR="00D8366C">
        <w:t>of firm-years</w:t>
      </w:r>
      <w:r w:rsidR="002A30E8">
        <w:t>, which are further discussed below,</w:t>
      </w:r>
      <w:r w:rsidR="00D8366C">
        <w:t xml:space="preserve"> </w:t>
      </w:r>
      <w:r w:rsidR="007C7995">
        <w:t xml:space="preserve">are statistically significant at least </w:t>
      </w:r>
      <w:r w:rsidR="006433B5">
        <w:t xml:space="preserve">at </w:t>
      </w:r>
      <w:r w:rsidR="007C7995">
        <w:t>the 1%</w:t>
      </w:r>
      <w:r w:rsidR="00B5500F">
        <w:t xml:space="preserve"> significance level</w:t>
      </w:r>
      <w:r w:rsidR="007C7995">
        <w:t>.</w:t>
      </w:r>
      <w:r w:rsidR="007C7995">
        <w:rPr>
          <w:rStyle w:val="FootnoteReference"/>
        </w:rPr>
        <w:footnoteReference w:id="26"/>
      </w:r>
      <w:r w:rsidR="007C7995">
        <w:t xml:space="preserve">  </w:t>
      </w:r>
      <w:r w:rsidRPr="0023367D">
        <w:t xml:space="preserve">For example, the </w:t>
      </w:r>
      <w:r w:rsidRPr="0023367D">
        <w:rPr>
          <w:szCs w:val="20"/>
        </w:rPr>
        <w:t>Adj. R</w:t>
      </w:r>
      <w:r w:rsidRPr="0023367D">
        <w:rPr>
          <w:szCs w:val="20"/>
          <w:vertAlign w:val="superscript"/>
        </w:rPr>
        <w:t>2</w:t>
      </w:r>
      <w:r w:rsidRPr="0023367D">
        <w:rPr>
          <w:szCs w:val="20"/>
          <w:vertAlign w:val="subscript"/>
        </w:rPr>
        <w:t xml:space="preserve">ACCT </w:t>
      </w:r>
      <w:r w:rsidRPr="0023367D">
        <w:rPr>
          <w:szCs w:val="20"/>
        </w:rPr>
        <w:t>values of the valuation</w:t>
      </w:r>
      <w:r w:rsidRPr="0023367D">
        <w:rPr>
          <w:szCs w:val="20"/>
          <w:vertAlign w:val="subscript"/>
        </w:rPr>
        <w:t xml:space="preserve"> </w:t>
      </w:r>
      <w:r w:rsidRPr="0023367D">
        <w:rPr>
          <w:szCs w:val="20"/>
        </w:rPr>
        <w:t xml:space="preserve">model for firm-years with </w:t>
      </w:r>
      <w:r w:rsidR="006633AE">
        <w:rPr>
          <w:szCs w:val="20"/>
        </w:rPr>
        <w:t>a high (</w:t>
      </w:r>
      <w:r w:rsidRPr="0023367D">
        <w:rPr>
          <w:szCs w:val="20"/>
        </w:rPr>
        <w:t xml:space="preserve">above </w:t>
      </w:r>
      <w:r w:rsidR="006633AE">
        <w:rPr>
          <w:szCs w:val="20"/>
        </w:rPr>
        <w:t xml:space="preserve">the </w:t>
      </w:r>
      <w:r w:rsidRPr="0023367D">
        <w:rPr>
          <w:szCs w:val="20"/>
        </w:rPr>
        <w:t>median</w:t>
      </w:r>
      <w:r w:rsidR="006633AE">
        <w:rPr>
          <w:szCs w:val="20"/>
        </w:rPr>
        <w:t>)</w:t>
      </w:r>
      <w:r w:rsidRPr="0023367D">
        <w:rPr>
          <w:szCs w:val="20"/>
        </w:rPr>
        <w:t xml:space="preserve"> probability of default, or with a loss, are 21.5% and 14.2%, respectively. This is much higher than for firm-years with a low probability of default and a profit, 4.6% and 10.2%, respectively</w:t>
      </w:r>
      <w:r w:rsidR="0084558B">
        <w:rPr>
          <w:szCs w:val="20"/>
        </w:rPr>
        <w:t xml:space="preserve">. </w:t>
      </w:r>
      <w:r w:rsidRPr="0023367D">
        <w:rPr>
          <w:szCs w:val="20"/>
        </w:rPr>
        <w:t>Similarly, the values of Adj. R</w:t>
      </w:r>
      <w:r w:rsidRPr="0023367D">
        <w:rPr>
          <w:szCs w:val="20"/>
          <w:vertAlign w:val="superscript"/>
        </w:rPr>
        <w:t>2</w:t>
      </w:r>
      <w:r w:rsidRPr="0023367D">
        <w:rPr>
          <w:szCs w:val="20"/>
          <w:vertAlign w:val="subscript"/>
        </w:rPr>
        <w:t xml:space="preserve">ACCT </w:t>
      </w:r>
      <w:r w:rsidRPr="0023367D">
        <w:rPr>
          <w:szCs w:val="20"/>
        </w:rPr>
        <w:t>are much higher for high yield bonds than for investment grade bonds, 19.3% vs. 3.8%.</w:t>
      </w:r>
    </w:p>
    <w:p w14:paraId="19872947" w14:textId="42A00D57" w:rsidR="001C0D71" w:rsidRDefault="00335619" w:rsidP="001C0D71">
      <w:pPr>
        <w:spacing w:line="480" w:lineRule="auto"/>
        <w:ind w:firstLine="720"/>
        <w:rPr>
          <w:szCs w:val="20"/>
        </w:rPr>
      </w:pPr>
      <w:r w:rsidRPr="0023367D">
        <w:rPr>
          <w:szCs w:val="20"/>
        </w:rPr>
        <w:t>The comparison between the Adj. R</w:t>
      </w:r>
      <w:r w:rsidRPr="0023367D">
        <w:rPr>
          <w:szCs w:val="20"/>
          <w:vertAlign w:val="superscript"/>
        </w:rPr>
        <w:t>2</w:t>
      </w:r>
      <w:r w:rsidRPr="0023367D">
        <w:rPr>
          <w:szCs w:val="20"/>
          <w:vertAlign w:val="subscript"/>
        </w:rPr>
        <w:t>ACCT</w:t>
      </w:r>
      <w:r w:rsidRPr="0023367D">
        <w:rPr>
          <w:szCs w:val="20"/>
        </w:rPr>
        <w:t xml:space="preserve"> values obtained for the High and Low subsamples of this univariate analysis also indicate that </w:t>
      </w:r>
      <w:r w:rsidR="009C3A00" w:rsidRPr="0023367D">
        <w:rPr>
          <w:szCs w:val="20"/>
        </w:rPr>
        <w:t xml:space="preserve">reporting </w:t>
      </w:r>
      <w:r w:rsidRPr="0023367D">
        <w:rPr>
          <w:szCs w:val="20"/>
        </w:rPr>
        <w:t>conservatism (CONSERV) is, as hypothesized, positively associated with the information content of accounting numbers. Fair value adjustments</w:t>
      </w:r>
      <w:r w:rsidR="00560E79" w:rsidRPr="0023367D">
        <w:rPr>
          <w:szCs w:val="20"/>
        </w:rPr>
        <w:t xml:space="preserve"> (</w:t>
      </w:r>
      <w:proofErr w:type="spellStart"/>
      <w:r w:rsidR="00560E79" w:rsidRPr="0023367D">
        <w:rPr>
          <w:szCs w:val="20"/>
        </w:rPr>
        <w:t>VRatio</w:t>
      </w:r>
      <w:proofErr w:type="spellEnd"/>
      <w:r w:rsidR="00560E79" w:rsidRPr="0023367D">
        <w:rPr>
          <w:szCs w:val="20"/>
        </w:rPr>
        <w:t>)</w:t>
      </w:r>
      <w:r w:rsidRPr="0023367D">
        <w:rPr>
          <w:szCs w:val="20"/>
        </w:rPr>
        <w:t xml:space="preserve">, for which we have no directional hypothesis, </w:t>
      </w:r>
      <w:r w:rsidR="00001085">
        <w:rPr>
          <w:szCs w:val="20"/>
        </w:rPr>
        <w:t xml:space="preserve">have </w:t>
      </w:r>
      <w:r w:rsidRPr="0023367D">
        <w:rPr>
          <w:szCs w:val="20"/>
        </w:rPr>
        <w:t xml:space="preserve">a positive and significant association with the information content of accounting numbers, </w:t>
      </w:r>
      <w:r w:rsidR="00801C7B">
        <w:rPr>
          <w:szCs w:val="20"/>
        </w:rPr>
        <w:t xml:space="preserve">while </w:t>
      </w:r>
      <w:r w:rsidRPr="0023367D">
        <w:rPr>
          <w:szCs w:val="20"/>
        </w:rPr>
        <w:t xml:space="preserve">investment in intangibles </w:t>
      </w:r>
      <w:r w:rsidR="00001085">
        <w:rPr>
          <w:szCs w:val="20"/>
        </w:rPr>
        <w:t>has</w:t>
      </w:r>
      <w:r w:rsidR="00001085" w:rsidRPr="0023367D">
        <w:rPr>
          <w:szCs w:val="20"/>
        </w:rPr>
        <w:t xml:space="preserve"> </w:t>
      </w:r>
      <w:r w:rsidR="001C0D71" w:rsidRPr="0023367D">
        <w:rPr>
          <w:szCs w:val="20"/>
        </w:rPr>
        <w:t>a negative association</w:t>
      </w:r>
      <w:r w:rsidR="001C0D71">
        <w:rPr>
          <w:szCs w:val="20"/>
        </w:rPr>
        <w:t xml:space="preserve">. </w:t>
      </w:r>
    </w:p>
    <w:p w14:paraId="714750B9" w14:textId="437F1869" w:rsidR="00497ADA" w:rsidRPr="0023367D" w:rsidRDefault="00497ADA" w:rsidP="00364CE6">
      <w:pPr>
        <w:spacing w:line="480" w:lineRule="auto"/>
      </w:pPr>
      <w:r>
        <w:rPr>
          <w:szCs w:val="20"/>
        </w:rPr>
        <w:tab/>
      </w:r>
      <w:r w:rsidR="00406A7B">
        <w:rPr>
          <w:szCs w:val="20"/>
        </w:rPr>
        <w:t xml:space="preserve">The second statistic provided </w:t>
      </w:r>
      <w:r w:rsidR="00001085">
        <w:rPr>
          <w:szCs w:val="20"/>
        </w:rPr>
        <w:t xml:space="preserve">in </w:t>
      </w:r>
      <w:r w:rsidR="00406A7B">
        <w:rPr>
          <w:szCs w:val="20"/>
        </w:rPr>
        <w:t>Table 5, the time trend in the factors expected to affect the information content</w:t>
      </w:r>
      <w:r w:rsidR="00001085">
        <w:rPr>
          <w:szCs w:val="20"/>
        </w:rPr>
        <w:t>,</w:t>
      </w:r>
      <w:r w:rsidR="00406A7B">
        <w:rPr>
          <w:szCs w:val="20"/>
        </w:rPr>
        <w:t xml:space="preserve"> is in the form of a linear trend line of each of the factors on time (T) estimated from the 39 annual observations. </w:t>
      </w:r>
      <w:r w:rsidR="00001085">
        <w:rPr>
          <w:szCs w:val="20"/>
        </w:rPr>
        <w:t>T</w:t>
      </w:r>
      <w:r w:rsidR="00406A7B">
        <w:rPr>
          <w:szCs w:val="20"/>
        </w:rPr>
        <w:t>he value and significance of T in these time-regressions</w:t>
      </w:r>
      <w:r w:rsidR="00001085">
        <w:rPr>
          <w:szCs w:val="20"/>
        </w:rPr>
        <w:t xml:space="preserve"> is reported</w:t>
      </w:r>
      <w:r w:rsidR="00406A7B">
        <w:rPr>
          <w:szCs w:val="20"/>
        </w:rPr>
        <w:t>. The time pattern in the individual variables over the examined 39-year period</w:t>
      </w:r>
      <w:r w:rsidR="00364CE6">
        <w:rPr>
          <w:szCs w:val="20"/>
        </w:rPr>
        <w:t>,</w:t>
      </w:r>
      <w:r w:rsidR="001C0D71">
        <w:rPr>
          <w:szCs w:val="20"/>
        </w:rPr>
        <w:t xml:space="preserve"> in the form of 5-year moving averages,</w:t>
      </w:r>
      <w:r w:rsidR="00406A7B">
        <w:rPr>
          <w:szCs w:val="20"/>
        </w:rPr>
        <w:t xml:space="preserve"> is shown in Figure 3. </w:t>
      </w:r>
      <w:r w:rsidR="009A5623">
        <w:rPr>
          <w:szCs w:val="20"/>
        </w:rPr>
        <w:t xml:space="preserve">As </w:t>
      </w:r>
      <w:r w:rsidR="004143B2">
        <w:rPr>
          <w:szCs w:val="20"/>
        </w:rPr>
        <w:t xml:space="preserve">the table and </w:t>
      </w:r>
      <w:r w:rsidR="00AF5C13">
        <w:rPr>
          <w:szCs w:val="20"/>
        </w:rPr>
        <w:t>the figure</w:t>
      </w:r>
      <w:r w:rsidR="009A5623">
        <w:rPr>
          <w:szCs w:val="20"/>
        </w:rPr>
        <w:t xml:space="preserve"> </w:t>
      </w:r>
      <w:r w:rsidR="00001085">
        <w:rPr>
          <w:szCs w:val="20"/>
        </w:rPr>
        <w:t>indicate</w:t>
      </w:r>
      <w:r w:rsidR="004143B2">
        <w:rPr>
          <w:szCs w:val="20"/>
        </w:rPr>
        <w:t xml:space="preserve">, </w:t>
      </w:r>
      <w:r w:rsidR="007E293C">
        <w:rPr>
          <w:szCs w:val="20"/>
        </w:rPr>
        <w:t xml:space="preserve">among the factors hypothesized to affect the information content of accounting numbers, </w:t>
      </w:r>
      <w:r w:rsidR="004143B2">
        <w:rPr>
          <w:szCs w:val="20"/>
        </w:rPr>
        <w:t xml:space="preserve">the variables </w:t>
      </w:r>
      <w:r w:rsidR="00AF5C13" w:rsidRPr="0023367D">
        <w:t xml:space="preserve">CONSERV, </w:t>
      </w:r>
      <w:r w:rsidR="00844B3E">
        <w:t>L</w:t>
      </w:r>
      <w:r w:rsidR="00364CE6">
        <w:t>OSS</w:t>
      </w:r>
      <w:r w:rsidR="00844B3E">
        <w:t xml:space="preserve">, </w:t>
      </w:r>
      <w:proofErr w:type="spellStart"/>
      <w:r w:rsidR="00AF5C13" w:rsidRPr="0023367D">
        <w:t>VRatio</w:t>
      </w:r>
      <w:proofErr w:type="spellEnd"/>
      <w:r w:rsidR="00AF5C13" w:rsidRPr="0023367D">
        <w:t xml:space="preserve">, </w:t>
      </w:r>
      <w:r w:rsidR="00AF5C13">
        <w:t xml:space="preserve">and </w:t>
      </w:r>
      <w:r w:rsidR="00AF5C13" w:rsidRPr="0023367D">
        <w:t xml:space="preserve">Intangibles </w:t>
      </w:r>
      <w:r w:rsidRPr="0023367D">
        <w:t>exhibit a</w:t>
      </w:r>
      <w:r w:rsidR="007E293C">
        <w:t xml:space="preserve"> significant</w:t>
      </w:r>
      <w:r w:rsidRPr="0023367D">
        <w:t xml:space="preserve"> upward </w:t>
      </w:r>
      <w:r w:rsidR="007E293C">
        <w:t>trend</w:t>
      </w:r>
      <w:r w:rsidR="00844B3E">
        <w:t>, which is also fairly monotonic for the latter two variables</w:t>
      </w:r>
      <w:r w:rsidR="00AF5C13">
        <w:t xml:space="preserve">. </w:t>
      </w:r>
    </w:p>
    <w:p w14:paraId="57F0B16E" w14:textId="77777777" w:rsidR="00335619" w:rsidRPr="0023367D" w:rsidRDefault="00122631" w:rsidP="00335619">
      <w:pPr>
        <w:keepNext/>
        <w:keepLines/>
        <w:spacing w:line="480" w:lineRule="auto"/>
        <w:rPr>
          <w:b/>
        </w:rPr>
      </w:pPr>
      <w:r w:rsidRPr="0023367D">
        <w:rPr>
          <w:b/>
        </w:rPr>
        <w:t>6</w:t>
      </w:r>
      <w:r w:rsidR="00335619" w:rsidRPr="0023367D">
        <w:rPr>
          <w:b/>
        </w:rPr>
        <w:t>.</w:t>
      </w:r>
      <w:r w:rsidR="00F62549">
        <w:rPr>
          <w:b/>
        </w:rPr>
        <w:t>4</w:t>
      </w:r>
      <w:r w:rsidR="00335619" w:rsidRPr="0023367D">
        <w:rPr>
          <w:b/>
        </w:rPr>
        <w:t>. Multivariate Analysis</w:t>
      </w:r>
    </w:p>
    <w:p w14:paraId="47D3BC47" w14:textId="77777777" w:rsidR="00335619" w:rsidRPr="0023367D" w:rsidRDefault="00335619" w:rsidP="00335619">
      <w:pPr>
        <w:keepNext/>
        <w:keepLines/>
        <w:spacing w:line="480" w:lineRule="auto"/>
        <w:ind w:firstLine="720"/>
      </w:pPr>
      <w:r w:rsidRPr="0023367D">
        <w:t xml:space="preserve">In assessing the contribution of the economic and reporting factors to the usefulness of accounting information for debt holders, we begin by estimating the following regression from the 39 annual observations:  </w:t>
      </w:r>
    </w:p>
    <w:p w14:paraId="20EAB82D" w14:textId="77777777" w:rsidR="00335619" w:rsidRPr="0023367D" w:rsidRDefault="00801C7B" w:rsidP="00444900">
      <w:pPr>
        <w:spacing w:line="480" w:lineRule="auto"/>
        <w:ind w:right="-450"/>
      </w:pPr>
      <w:r>
        <w:t xml:space="preserve">   </w:t>
      </w:r>
      <w:r w:rsidR="00335619" w:rsidRPr="0023367D">
        <w:t xml:space="preserve"> </w:t>
      </w:r>
      <w:proofErr w:type="spellStart"/>
      <w:r w:rsidR="00335619" w:rsidRPr="0023367D">
        <w:t>INFO_</w:t>
      </w:r>
      <w:proofErr w:type="gramStart"/>
      <w:r w:rsidR="00335619" w:rsidRPr="0023367D">
        <w:t>CONT</w:t>
      </w:r>
      <w:r w:rsidR="00335619" w:rsidRPr="0023367D">
        <w:rPr>
          <w:vertAlign w:val="subscript"/>
        </w:rPr>
        <w:t>t</w:t>
      </w:r>
      <w:proofErr w:type="spellEnd"/>
      <w:r w:rsidR="00335619" w:rsidRPr="0023367D">
        <w:rPr>
          <w:vertAlign w:val="subscript"/>
        </w:rPr>
        <w:t xml:space="preserve">  </w:t>
      </w:r>
      <w:r w:rsidR="00335619" w:rsidRPr="0023367D">
        <w:t>=</w:t>
      </w:r>
      <w:proofErr w:type="gramEnd"/>
      <w:r w:rsidR="00335619" w:rsidRPr="0023367D">
        <w:t xml:space="preserve"> f {</w:t>
      </w:r>
      <w:proofErr w:type="spellStart"/>
      <w:r w:rsidR="00335619" w:rsidRPr="0023367D">
        <w:t>PROB</w:t>
      </w:r>
      <w:r w:rsidR="00335619" w:rsidRPr="0023367D">
        <w:rPr>
          <w:vertAlign w:val="subscript"/>
        </w:rPr>
        <w:t>t</w:t>
      </w:r>
      <w:proofErr w:type="spellEnd"/>
      <w:r w:rsidR="00335619" w:rsidRPr="0023367D">
        <w:t xml:space="preserve">, </w:t>
      </w:r>
      <w:proofErr w:type="spellStart"/>
      <w:r w:rsidR="00335619" w:rsidRPr="0023367D">
        <w:t>NegCFO</w:t>
      </w:r>
      <w:r w:rsidR="00335619" w:rsidRPr="0023367D">
        <w:rPr>
          <w:vertAlign w:val="subscript"/>
        </w:rPr>
        <w:t>t</w:t>
      </w:r>
      <w:proofErr w:type="spellEnd"/>
      <w:r w:rsidR="00335619" w:rsidRPr="0023367D">
        <w:t xml:space="preserve">, </w:t>
      </w:r>
      <w:proofErr w:type="spellStart"/>
      <w:r w:rsidR="00335619" w:rsidRPr="0023367D">
        <w:t>CONSERV</w:t>
      </w:r>
      <w:r w:rsidR="00335619" w:rsidRPr="0023367D">
        <w:rPr>
          <w:vertAlign w:val="subscript"/>
        </w:rPr>
        <w:t>t</w:t>
      </w:r>
      <w:proofErr w:type="spellEnd"/>
      <w:r w:rsidR="00335619" w:rsidRPr="0023367D">
        <w:t xml:space="preserve">, </w:t>
      </w:r>
      <w:proofErr w:type="spellStart"/>
      <w:r w:rsidR="00335619" w:rsidRPr="0023367D">
        <w:t>VR</w:t>
      </w:r>
      <w:r w:rsidR="009C3A00" w:rsidRPr="0023367D">
        <w:t>atio</w:t>
      </w:r>
      <w:r w:rsidR="00AE2DE7">
        <w:rPr>
          <w:vertAlign w:val="subscript"/>
        </w:rPr>
        <w:t>t</w:t>
      </w:r>
      <w:proofErr w:type="spellEnd"/>
      <w:r w:rsidR="00AE2DE7">
        <w:t>,</w:t>
      </w:r>
      <w:r w:rsidR="00335619" w:rsidRPr="0023367D">
        <w:t xml:space="preserve"> </w:t>
      </w:r>
      <w:proofErr w:type="spellStart"/>
      <w:r w:rsidR="00335619" w:rsidRPr="0023367D">
        <w:t>LOSS</w:t>
      </w:r>
      <w:r w:rsidR="00335619" w:rsidRPr="0023367D">
        <w:rPr>
          <w:vertAlign w:val="subscript"/>
        </w:rPr>
        <w:t>t</w:t>
      </w:r>
      <w:proofErr w:type="spellEnd"/>
      <w:r w:rsidR="00335619" w:rsidRPr="0023367D">
        <w:t xml:space="preserve">, </w:t>
      </w:r>
      <w:proofErr w:type="spellStart"/>
      <w:r w:rsidR="00335619" w:rsidRPr="0023367D">
        <w:t>Intangibles</w:t>
      </w:r>
      <w:r w:rsidR="00335619" w:rsidRPr="0023367D">
        <w:rPr>
          <w:vertAlign w:val="subscript"/>
        </w:rPr>
        <w:t>t</w:t>
      </w:r>
      <w:proofErr w:type="spellEnd"/>
      <w:r w:rsidR="00335619" w:rsidRPr="0023367D">
        <w:t xml:space="preserve">, </w:t>
      </w:r>
      <w:proofErr w:type="spellStart"/>
      <w:r w:rsidR="00335619" w:rsidRPr="0023367D">
        <w:t>GDP</w:t>
      </w:r>
      <w:r w:rsidR="00335619" w:rsidRPr="0023367D">
        <w:rPr>
          <w:vertAlign w:val="subscript"/>
        </w:rPr>
        <w:t>t</w:t>
      </w:r>
      <w:proofErr w:type="spellEnd"/>
      <w:r w:rsidR="00335619" w:rsidRPr="0023367D">
        <w:t xml:space="preserve">} </w:t>
      </w:r>
      <w:r>
        <w:t xml:space="preserve"> </w:t>
      </w:r>
      <w:r w:rsidR="005D6182" w:rsidRPr="0023367D">
        <w:t xml:space="preserve"> </w:t>
      </w:r>
      <w:r w:rsidR="00335619" w:rsidRPr="0023367D">
        <w:t>(7)</w:t>
      </w:r>
    </w:p>
    <w:p w14:paraId="67A85BA7" w14:textId="58B74FC1" w:rsidR="00335619" w:rsidRPr="0023367D" w:rsidRDefault="00335619" w:rsidP="00444900">
      <w:pPr>
        <w:autoSpaceDE w:val="0"/>
        <w:autoSpaceDN w:val="0"/>
        <w:adjustRightInd w:val="0"/>
        <w:spacing w:line="480" w:lineRule="auto"/>
        <w:rPr>
          <w:lang w:bidi="he-IL"/>
        </w:rPr>
      </w:pPr>
      <w:r w:rsidRPr="0023367D">
        <w:rPr>
          <w:lang w:bidi="he-IL"/>
        </w:rPr>
        <w:t xml:space="preserve">where </w:t>
      </w:r>
      <w:proofErr w:type="spellStart"/>
      <w:r w:rsidRPr="0023367D">
        <w:rPr>
          <w:lang w:bidi="he-IL"/>
        </w:rPr>
        <w:t>INFO_CONT</w:t>
      </w:r>
      <w:r w:rsidRPr="0023367D">
        <w:rPr>
          <w:vertAlign w:val="subscript"/>
          <w:lang w:bidi="he-IL"/>
        </w:rPr>
        <w:t>t</w:t>
      </w:r>
      <w:proofErr w:type="spellEnd"/>
      <w:r w:rsidR="002F7440">
        <w:rPr>
          <w:lang w:bidi="he-IL"/>
        </w:rPr>
        <w:t xml:space="preserve"> the information content of accounting numbers to bond holders,</w:t>
      </w:r>
      <w:r w:rsidRPr="0023367D">
        <w:rPr>
          <w:lang w:bidi="he-IL"/>
        </w:rPr>
        <w:t xml:space="preserve"> is </w:t>
      </w:r>
      <w:r w:rsidR="002F7440">
        <w:rPr>
          <w:lang w:bidi="he-IL"/>
        </w:rPr>
        <w:t xml:space="preserve">captured by </w:t>
      </w:r>
      <w:r w:rsidRPr="0023367D">
        <w:rPr>
          <w:lang w:bidi="he-IL"/>
        </w:rPr>
        <w:t>the adjusted R</w:t>
      </w:r>
      <w:r w:rsidRPr="0023367D">
        <w:rPr>
          <w:vertAlign w:val="superscript"/>
          <w:lang w:bidi="he-IL"/>
        </w:rPr>
        <w:t>2</w:t>
      </w:r>
      <w:r w:rsidRPr="0023367D">
        <w:rPr>
          <w:vertAlign w:val="subscript"/>
          <w:lang w:bidi="he-IL"/>
        </w:rPr>
        <w:t>ACCT</w:t>
      </w:r>
      <w:r w:rsidRPr="0023367D">
        <w:rPr>
          <w:lang w:bidi="he-IL"/>
        </w:rPr>
        <w:t xml:space="preserve"> from the bond valuation or return models estimated across firms in year t</w:t>
      </w:r>
      <w:r w:rsidR="0084558B">
        <w:rPr>
          <w:lang w:bidi="he-IL"/>
        </w:rPr>
        <w:t xml:space="preserve">. </w:t>
      </w:r>
      <w:proofErr w:type="spellStart"/>
      <w:r w:rsidRPr="0023367D">
        <w:rPr>
          <w:lang w:bidi="he-IL"/>
        </w:rPr>
        <w:t>PROB</w:t>
      </w:r>
      <w:r w:rsidRPr="0023367D">
        <w:rPr>
          <w:vertAlign w:val="subscript"/>
        </w:rPr>
        <w:t>t</w:t>
      </w:r>
      <w:proofErr w:type="spellEnd"/>
      <w:r w:rsidRPr="0023367D">
        <w:rPr>
          <w:lang w:bidi="he-IL"/>
        </w:rPr>
        <w:t xml:space="preserve">, </w:t>
      </w:r>
      <w:proofErr w:type="spellStart"/>
      <w:r w:rsidRPr="0023367D">
        <w:t>CONSERV</w:t>
      </w:r>
      <w:r w:rsidRPr="0023367D">
        <w:rPr>
          <w:vertAlign w:val="subscript"/>
        </w:rPr>
        <w:t>t</w:t>
      </w:r>
      <w:proofErr w:type="spellEnd"/>
      <w:r w:rsidR="00272760" w:rsidRPr="0023367D">
        <w:t xml:space="preserve">, </w:t>
      </w:r>
      <w:proofErr w:type="spellStart"/>
      <w:r w:rsidR="00272760" w:rsidRPr="0023367D">
        <w:t>VR</w:t>
      </w:r>
      <w:r w:rsidR="00560E79" w:rsidRPr="0023367D">
        <w:t>atio</w:t>
      </w:r>
      <w:r w:rsidR="00272760" w:rsidRPr="0023367D">
        <w:rPr>
          <w:vertAlign w:val="subscript"/>
        </w:rPr>
        <w:t>t</w:t>
      </w:r>
      <w:proofErr w:type="spellEnd"/>
      <w:r w:rsidRPr="0023367D">
        <w:rPr>
          <w:lang w:bidi="he-IL"/>
        </w:rPr>
        <w:t xml:space="preserve"> and </w:t>
      </w:r>
      <w:proofErr w:type="spellStart"/>
      <w:r w:rsidRPr="0023367D">
        <w:rPr>
          <w:lang w:bidi="he-IL"/>
        </w:rPr>
        <w:t>Intangibles</w:t>
      </w:r>
      <w:r w:rsidRPr="0023367D">
        <w:rPr>
          <w:vertAlign w:val="subscript"/>
        </w:rPr>
        <w:t>t</w:t>
      </w:r>
      <w:proofErr w:type="spellEnd"/>
      <w:r w:rsidRPr="0023367D">
        <w:rPr>
          <w:lang w:bidi="he-IL"/>
        </w:rPr>
        <w:t xml:space="preserve"> are the mean </w:t>
      </w:r>
      <w:r w:rsidR="00560E79" w:rsidRPr="0023367D">
        <w:rPr>
          <w:lang w:bidi="he-IL"/>
        </w:rPr>
        <w:t xml:space="preserve">values </w:t>
      </w:r>
      <w:r w:rsidRPr="0023367D">
        <w:rPr>
          <w:lang w:bidi="he-IL"/>
        </w:rPr>
        <w:t xml:space="preserve">in year t across all of the sample </w:t>
      </w:r>
      <w:r w:rsidR="00272760" w:rsidRPr="0023367D">
        <w:rPr>
          <w:lang w:bidi="he-IL"/>
        </w:rPr>
        <w:t xml:space="preserve">firms </w:t>
      </w:r>
      <w:r w:rsidRPr="0023367D">
        <w:rPr>
          <w:lang w:bidi="he-IL"/>
        </w:rPr>
        <w:t>of the probability of default, conservatism</w:t>
      </w:r>
      <w:r w:rsidR="00272760" w:rsidRPr="0023367D">
        <w:rPr>
          <w:lang w:bidi="he-IL"/>
        </w:rPr>
        <w:t xml:space="preserve">, </w:t>
      </w:r>
      <w:r w:rsidR="00801C7B">
        <w:rPr>
          <w:lang w:bidi="he-IL"/>
        </w:rPr>
        <w:t xml:space="preserve">the </w:t>
      </w:r>
      <w:r w:rsidR="00272760" w:rsidRPr="0023367D">
        <w:rPr>
          <w:lang w:bidi="he-IL"/>
        </w:rPr>
        <w:t>volatility ratio</w:t>
      </w:r>
      <w:r w:rsidRPr="0023367D">
        <w:rPr>
          <w:lang w:bidi="he-IL"/>
        </w:rPr>
        <w:t xml:space="preserve"> and intangible intensity, respectively</w:t>
      </w:r>
      <w:r w:rsidR="0084558B">
        <w:rPr>
          <w:lang w:bidi="he-IL"/>
        </w:rPr>
        <w:t xml:space="preserve">. </w:t>
      </w:r>
      <w:proofErr w:type="spellStart"/>
      <w:r w:rsidRPr="0023367D">
        <w:rPr>
          <w:lang w:bidi="he-IL"/>
        </w:rPr>
        <w:t>NegCFO</w:t>
      </w:r>
      <w:r w:rsidRPr="0023367D">
        <w:rPr>
          <w:vertAlign w:val="subscript"/>
          <w:lang w:bidi="he-IL"/>
        </w:rPr>
        <w:t>t</w:t>
      </w:r>
      <w:proofErr w:type="spellEnd"/>
      <w:r w:rsidRPr="0023367D">
        <w:rPr>
          <w:lang w:bidi="he-IL"/>
        </w:rPr>
        <w:t xml:space="preserve"> and </w:t>
      </w:r>
      <w:proofErr w:type="spellStart"/>
      <w:r w:rsidRPr="0023367D">
        <w:t>LOSS</w:t>
      </w:r>
      <w:r w:rsidRPr="0023367D">
        <w:rPr>
          <w:vertAlign w:val="subscript"/>
        </w:rPr>
        <w:t>t</w:t>
      </w:r>
      <w:proofErr w:type="spellEnd"/>
      <w:r w:rsidRPr="0023367D">
        <w:rPr>
          <w:lang w:bidi="he-IL"/>
        </w:rPr>
        <w:t xml:space="preserve"> </w:t>
      </w:r>
      <w:r w:rsidRPr="0023367D">
        <w:t>are</w:t>
      </w:r>
      <w:r w:rsidR="00444900">
        <w:t xml:space="preserve">, respectively, the frequency of negative </w:t>
      </w:r>
      <w:r w:rsidR="00364CE6">
        <w:t xml:space="preserve">operating </w:t>
      </w:r>
      <w:r w:rsidR="00444900">
        <w:t>cash flow</w:t>
      </w:r>
      <w:r w:rsidR="00001085">
        <w:t>s</w:t>
      </w:r>
      <w:r w:rsidR="00444900">
        <w:t xml:space="preserve"> and the frequency of losses</w:t>
      </w:r>
      <w:r w:rsidR="0084558B">
        <w:t xml:space="preserve">. </w:t>
      </w:r>
      <w:r w:rsidRPr="0023367D">
        <w:rPr>
          <w:lang w:bidi="he-IL"/>
        </w:rPr>
        <w:t>GDP is the annual growth in the gross domestic product.</w:t>
      </w:r>
      <w:r w:rsidR="007040E0" w:rsidRPr="00B81D50">
        <w:rPr>
          <w:rStyle w:val="FootnoteReference"/>
          <w:lang w:bidi="he-IL"/>
        </w:rPr>
        <w:t xml:space="preserve"> </w:t>
      </w:r>
      <w:r w:rsidR="007040E0">
        <w:rPr>
          <w:rStyle w:val="FootnoteReference"/>
          <w:lang w:bidi="he-IL"/>
        </w:rPr>
        <w:footnoteReference w:id="27"/>
      </w:r>
      <w:r w:rsidRPr="0023367D">
        <w:rPr>
          <w:lang w:bidi="he-IL"/>
        </w:rPr>
        <w:t xml:space="preserve"> </w:t>
      </w:r>
    </w:p>
    <w:p w14:paraId="40D1168B" w14:textId="57AD733A" w:rsidR="00F30EBF" w:rsidRDefault="00335619" w:rsidP="002F1175">
      <w:pPr>
        <w:autoSpaceDE w:val="0"/>
        <w:autoSpaceDN w:val="0"/>
        <w:adjustRightInd w:val="0"/>
        <w:spacing w:line="480" w:lineRule="auto"/>
        <w:ind w:firstLine="720"/>
        <w:rPr>
          <w:lang w:bidi="he-IL"/>
        </w:rPr>
      </w:pPr>
      <w:r w:rsidRPr="0023367D">
        <w:rPr>
          <w:lang w:bidi="he-IL"/>
        </w:rPr>
        <w:t>The results for the two alternative valuation models (3) and (A1) are presented in columns 1 and 2 of Table 6</w:t>
      </w:r>
      <w:r w:rsidR="0084558B">
        <w:rPr>
          <w:lang w:bidi="he-IL"/>
        </w:rPr>
        <w:t xml:space="preserve">. </w:t>
      </w:r>
      <w:r w:rsidR="00F30EBF">
        <w:rPr>
          <w:lang w:bidi="he-IL"/>
        </w:rPr>
        <w:t>The results for the return models are generally consistent with those obtained for the valuation models</w:t>
      </w:r>
      <w:r w:rsidR="00001085">
        <w:rPr>
          <w:lang w:bidi="he-IL"/>
        </w:rPr>
        <w:t xml:space="preserve"> in terms of the signs of the coefficients</w:t>
      </w:r>
      <w:r w:rsidR="00F30EBF">
        <w:rPr>
          <w:lang w:bidi="he-IL"/>
        </w:rPr>
        <w:t xml:space="preserve">. </w:t>
      </w:r>
      <w:r w:rsidR="000B4810">
        <w:rPr>
          <w:lang w:bidi="he-IL"/>
        </w:rPr>
        <w:t>W</w:t>
      </w:r>
      <w:r w:rsidR="00001085">
        <w:rPr>
          <w:lang w:bidi="he-IL"/>
        </w:rPr>
        <w:t xml:space="preserve">e do not tabulate them because </w:t>
      </w:r>
      <w:r w:rsidR="00F30EBF">
        <w:rPr>
          <w:lang w:bidi="he-IL"/>
        </w:rPr>
        <w:t>the coefficients are mostly insignificant</w:t>
      </w:r>
      <w:r w:rsidR="00001085">
        <w:rPr>
          <w:lang w:bidi="he-IL"/>
        </w:rPr>
        <w:t xml:space="preserve"> except for those discussed below.</w:t>
      </w:r>
      <w:r w:rsidR="00F30EBF">
        <w:rPr>
          <w:rStyle w:val="FootnoteReference"/>
          <w:lang w:bidi="he-IL"/>
        </w:rPr>
        <w:footnoteReference w:id="28"/>
      </w:r>
    </w:p>
    <w:p w14:paraId="305ABC85" w14:textId="342A6ED5" w:rsidR="00335619" w:rsidRPr="0023367D" w:rsidRDefault="00335619" w:rsidP="00364CE6">
      <w:pPr>
        <w:autoSpaceDE w:val="0"/>
        <w:autoSpaceDN w:val="0"/>
        <w:adjustRightInd w:val="0"/>
        <w:spacing w:line="480" w:lineRule="auto"/>
        <w:ind w:firstLine="720"/>
        <w:rPr>
          <w:lang w:bidi="he-IL"/>
        </w:rPr>
      </w:pPr>
      <w:r w:rsidRPr="0023367D">
        <w:rPr>
          <w:lang w:bidi="he-IL"/>
        </w:rPr>
        <w:t xml:space="preserve">The results are </w:t>
      </w:r>
      <w:r w:rsidR="007040E0">
        <w:rPr>
          <w:lang w:bidi="he-IL"/>
        </w:rPr>
        <w:t xml:space="preserve">in line </w:t>
      </w:r>
      <w:r w:rsidRPr="0023367D">
        <w:rPr>
          <w:lang w:bidi="he-IL"/>
        </w:rPr>
        <w:t>with the hypothesized sign of most of the variables</w:t>
      </w:r>
      <w:r w:rsidR="0084558B">
        <w:rPr>
          <w:lang w:bidi="he-IL"/>
        </w:rPr>
        <w:t xml:space="preserve">. </w:t>
      </w:r>
      <w:r w:rsidRPr="0023367D">
        <w:rPr>
          <w:lang w:bidi="he-IL"/>
        </w:rPr>
        <w:t xml:space="preserve">In particular, PROB, </w:t>
      </w:r>
      <w:proofErr w:type="spellStart"/>
      <w:r w:rsidRPr="0023367D">
        <w:rPr>
          <w:lang w:bidi="he-IL"/>
        </w:rPr>
        <w:t>NegCFO</w:t>
      </w:r>
      <w:proofErr w:type="spellEnd"/>
      <w:r w:rsidRPr="0023367D">
        <w:rPr>
          <w:lang w:bidi="he-IL"/>
        </w:rPr>
        <w:t>, L</w:t>
      </w:r>
      <w:r w:rsidR="00364CE6">
        <w:rPr>
          <w:lang w:bidi="he-IL"/>
        </w:rPr>
        <w:t>OSS</w:t>
      </w:r>
      <w:r w:rsidR="00922556">
        <w:rPr>
          <w:lang w:bidi="he-IL"/>
        </w:rPr>
        <w:t xml:space="preserve">, and </w:t>
      </w:r>
      <w:r w:rsidR="00B662B6">
        <w:rPr>
          <w:lang w:bidi="he-IL"/>
        </w:rPr>
        <w:t>GD</w:t>
      </w:r>
      <w:r w:rsidR="00922556">
        <w:rPr>
          <w:lang w:bidi="he-IL"/>
        </w:rPr>
        <w:t>P</w:t>
      </w:r>
      <w:r w:rsidRPr="0023367D">
        <w:rPr>
          <w:lang w:bidi="he-IL"/>
        </w:rPr>
        <w:t>, all of which connote credit risk, have coefficients whose signs are consistent with the notion that accounting information is more useful in periods with greater financial distress.</w:t>
      </w:r>
      <w:r w:rsidR="00364CE6">
        <w:rPr>
          <w:rStyle w:val="FootnoteReference"/>
          <w:lang w:bidi="he-IL"/>
        </w:rPr>
        <w:footnoteReference w:id="29"/>
      </w:r>
      <w:r w:rsidRPr="0023367D">
        <w:rPr>
          <w:lang w:bidi="he-IL"/>
        </w:rPr>
        <w:t xml:space="preserve"> </w:t>
      </w:r>
      <w:r w:rsidR="00922556">
        <w:rPr>
          <w:lang w:bidi="he-IL"/>
        </w:rPr>
        <w:t>The degree of significance of the coefficients varies however between the two valuation models</w:t>
      </w:r>
      <w:r w:rsidR="001F6900">
        <w:rPr>
          <w:lang w:bidi="he-IL"/>
        </w:rPr>
        <w:t>.</w:t>
      </w:r>
    </w:p>
    <w:p w14:paraId="23FF14FB" w14:textId="798A8B9C" w:rsidR="00335619" w:rsidRDefault="00335619" w:rsidP="00B662B6">
      <w:pPr>
        <w:autoSpaceDE w:val="0"/>
        <w:autoSpaceDN w:val="0"/>
        <w:adjustRightInd w:val="0"/>
        <w:spacing w:line="480" w:lineRule="auto"/>
        <w:ind w:firstLine="720"/>
        <w:rPr>
          <w:lang w:bidi="he-IL"/>
        </w:rPr>
      </w:pPr>
      <w:proofErr w:type="spellStart"/>
      <w:r w:rsidRPr="0023367D">
        <w:t>CONSERV</w:t>
      </w:r>
      <w:r w:rsidRPr="0023367D">
        <w:rPr>
          <w:vertAlign w:val="subscript"/>
        </w:rPr>
        <w:t>t</w:t>
      </w:r>
      <w:proofErr w:type="spellEnd"/>
      <w:r w:rsidRPr="0023367D">
        <w:t xml:space="preserve"> </w:t>
      </w:r>
      <w:r w:rsidRPr="0023367D">
        <w:rPr>
          <w:lang w:bidi="he-IL"/>
        </w:rPr>
        <w:t xml:space="preserve">has a hypothesized positive sign, </w:t>
      </w:r>
      <w:r w:rsidR="00922556">
        <w:rPr>
          <w:lang w:bidi="he-IL"/>
        </w:rPr>
        <w:t xml:space="preserve">and its coefficient is significant </w:t>
      </w:r>
      <w:r w:rsidR="001F6900">
        <w:rPr>
          <w:lang w:bidi="he-IL"/>
        </w:rPr>
        <w:t xml:space="preserve">(at about the 6% significance level) </w:t>
      </w:r>
      <w:r w:rsidR="00922556">
        <w:rPr>
          <w:lang w:bidi="he-IL"/>
        </w:rPr>
        <w:t xml:space="preserve">for both valuation models, </w:t>
      </w:r>
      <w:r w:rsidRPr="0023367D">
        <w:rPr>
          <w:lang w:bidi="he-IL"/>
        </w:rPr>
        <w:t>consistent with conservative accounting enhancing the usefulness of accounting information to creditors</w:t>
      </w:r>
      <w:r w:rsidR="0084558B">
        <w:rPr>
          <w:lang w:bidi="he-IL"/>
        </w:rPr>
        <w:t xml:space="preserve">. </w:t>
      </w:r>
      <w:proofErr w:type="spellStart"/>
      <w:r w:rsidRPr="0023367D">
        <w:t>VR</w:t>
      </w:r>
      <w:r w:rsidR="00EC5C69" w:rsidRPr="0023367D">
        <w:t>atio</w:t>
      </w:r>
      <w:r w:rsidRPr="0023367D">
        <w:rPr>
          <w:vertAlign w:val="subscript"/>
        </w:rPr>
        <w:t>t</w:t>
      </w:r>
      <w:proofErr w:type="spellEnd"/>
      <w:r w:rsidR="00EC5C69" w:rsidRPr="0023367D">
        <w:t>,</w:t>
      </w:r>
      <w:r w:rsidRPr="0023367D">
        <w:rPr>
          <w:lang w:bidi="he-IL"/>
        </w:rPr>
        <w:t xml:space="preserve"> reflecting fair value adjustments for which we have no directional hypotheses, is found to be positively and significantly associated with the usefulness of accounting information</w:t>
      </w:r>
      <w:r w:rsidR="002F1175">
        <w:rPr>
          <w:lang w:bidi="he-IL"/>
        </w:rPr>
        <w:t xml:space="preserve"> under both valuation models as well as under return model (3)</w:t>
      </w:r>
      <w:r w:rsidR="00001085">
        <w:rPr>
          <w:lang w:bidi="he-IL"/>
        </w:rPr>
        <w:t xml:space="preserve"> (</w:t>
      </w:r>
      <w:proofErr w:type="spellStart"/>
      <w:r w:rsidR="002F1175">
        <w:rPr>
          <w:lang w:bidi="he-IL"/>
        </w:rPr>
        <w:t>untabulated</w:t>
      </w:r>
      <w:proofErr w:type="spellEnd"/>
      <w:r w:rsidR="002F1175">
        <w:rPr>
          <w:lang w:bidi="he-IL"/>
        </w:rPr>
        <w:t>)</w:t>
      </w:r>
      <w:r w:rsidR="0084558B">
        <w:rPr>
          <w:lang w:bidi="he-IL"/>
        </w:rPr>
        <w:t xml:space="preserve">. </w:t>
      </w:r>
      <w:r w:rsidR="002F1175">
        <w:rPr>
          <w:lang w:bidi="he-IL"/>
        </w:rPr>
        <w:t xml:space="preserve"> </w:t>
      </w:r>
      <w:r w:rsidR="00D8366C">
        <w:rPr>
          <w:lang w:bidi="he-IL"/>
        </w:rPr>
        <w:t xml:space="preserve">This finding suggests that </w:t>
      </w:r>
      <w:r w:rsidR="001F6900">
        <w:rPr>
          <w:lang w:bidi="he-IL"/>
        </w:rPr>
        <w:t xml:space="preserve">the </w:t>
      </w:r>
      <w:r w:rsidR="00F30EBF">
        <w:rPr>
          <w:lang w:bidi="he-IL"/>
        </w:rPr>
        <w:t xml:space="preserve">potential reduction in the </w:t>
      </w:r>
      <w:r w:rsidR="007040E0">
        <w:rPr>
          <w:lang w:bidi="he-IL"/>
        </w:rPr>
        <w:t>information content</w:t>
      </w:r>
      <w:r w:rsidR="00F30EBF">
        <w:rPr>
          <w:lang w:bidi="he-IL"/>
        </w:rPr>
        <w:t xml:space="preserve"> of accounting numbers </w:t>
      </w:r>
      <w:r w:rsidR="007040E0">
        <w:rPr>
          <w:lang w:bidi="he-IL"/>
        </w:rPr>
        <w:t xml:space="preserve">based on fair values </w:t>
      </w:r>
      <w:r w:rsidR="00F30EBF">
        <w:rPr>
          <w:lang w:bidi="he-IL"/>
        </w:rPr>
        <w:t xml:space="preserve">due to </w:t>
      </w:r>
      <w:r w:rsidR="00001085">
        <w:rPr>
          <w:lang w:bidi="he-IL"/>
        </w:rPr>
        <w:t xml:space="preserve">the </w:t>
      </w:r>
      <w:r w:rsidR="00F30EBF">
        <w:rPr>
          <w:lang w:bidi="he-IL"/>
        </w:rPr>
        <w:t xml:space="preserve">poor matching of revenue </w:t>
      </w:r>
      <w:r w:rsidR="00001085">
        <w:rPr>
          <w:lang w:bidi="he-IL"/>
        </w:rPr>
        <w:t xml:space="preserve">and </w:t>
      </w:r>
      <w:r w:rsidR="00F30EBF">
        <w:rPr>
          <w:lang w:bidi="he-IL"/>
        </w:rPr>
        <w:t>expense</w:t>
      </w:r>
      <w:r w:rsidR="00001085">
        <w:rPr>
          <w:lang w:bidi="he-IL"/>
        </w:rPr>
        <w:t>s</w:t>
      </w:r>
      <w:r w:rsidR="00F30EBF">
        <w:rPr>
          <w:lang w:bidi="he-IL"/>
        </w:rPr>
        <w:t xml:space="preserve"> is more than offset by the </w:t>
      </w:r>
      <w:r w:rsidR="00D8366C">
        <w:rPr>
          <w:lang w:bidi="he-IL"/>
        </w:rPr>
        <w:t xml:space="preserve">increased usefulness of </w:t>
      </w:r>
      <w:r w:rsidR="00001085">
        <w:rPr>
          <w:lang w:bidi="he-IL"/>
        </w:rPr>
        <w:t xml:space="preserve">the </w:t>
      </w:r>
      <w:r w:rsidR="00D8366C">
        <w:rPr>
          <w:lang w:bidi="he-IL"/>
        </w:rPr>
        <w:t>fair</w:t>
      </w:r>
      <w:r w:rsidR="00001085">
        <w:rPr>
          <w:lang w:bidi="he-IL"/>
        </w:rPr>
        <w:t xml:space="preserve"> </w:t>
      </w:r>
      <w:r w:rsidR="00D8366C">
        <w:rPr>
          <w:lang w:bidi="he-IL"/>
        </w:rPr>
        <w:t>value valuation</w:t>
      </w:r>
      <w:r w:rsidR="00F30EBF">
        <w:rPr>
          <w:lang w:bidi="he-IL"/>
        </w:rPr>
        <w:t xml:space="preserve">s of assets and liabilities. The variable </w:t>
      </w:r>
      <w:r w:rsidRPr="0023367D">
        <w:rPr>
          <w:lang w:bidi="he-IL"/>
        </w:rPr>
        <w:t xml:space="preserve">Intangibles is, as hypothesized, negatively and significantly </w:t>
      </w:r>
      <w:r w:rsidR="00F30EBF">
        <w:rPr>
          <w:lang w:bidi="he-IL"/>
        </w:rPr>
        <w:t xml:space="preserve">associated with </w:t>
      </w:r>
      <w:r w:rsidR="00310C55">
        <w:rPr>
          <w:lang w:bidi="he-IL"/>
        </w:rPr>
        <w:t xml:space="preserve">the </w:t>
      </w:r>
      <w:r w:rsidR="00F30EBF">
        <w:rPr>
          <w:lang w:bidi="he-IL"/>
        </w:rPr>
        <w:t>information content</w:t>
      </w:r>
      <w:r w:rsidR="007B1B40">
        <w:rPr>
          <w:lang w:bidi="he-IL"/>
        </w:rPr>
        <w:t xml:space="preserve"> reflecting the difficulty in properly measuring the values of intangible assets in the financial statements</w:t>
      </w:r>
      <w:r w:rsidR="00310C55">
        <w:rPr>
          <w:lang w:bidi="he-IL"/>
        </w:rPr>
        <w:t>.</w:t>
      </w:r>
      <w:r w:rsidRPr="0023367D">
        <w:rPr>
          <w:lang w:bidi="he-IL"/>
        </w:rPr>
        <w:t xml:space="preserve"> </w:t>
      </w:r>
      <w:r w:rsidR="007B1B40">
        <w:rPr>
          <w:lang w:bidi="he-IL"/>
        </w:rPr>
        <w:t xml:space="preserve">As expected, GDP is negatively and significantly associated with </w:t>
      </w:r>
      <w:r w:rsidR="00310C55">
        <w:rPr>
          <w:lang w:bidi="he-IL"/>
        </w:rPr>
        <w:t xml:space="preserve">the </w:t>
      </w:r>
      <w:r w:rsidR="007B1B40">
        <w:rPr>
          <w:lang w:bidi="he-IL"/>
        </w:rPr>
        <w:t xml:space="preserve">information content, consistent with the notion that accounting numbers become more useful for bond holder in worse economic times. </w:t>
      </w:r>
    </w:p>
    <w:p w14:paraId="0BD4B2C9" w14:textId="6ECA9B14" w:rsidR="00C4675C" w:rsidRPr="00C4675C" w:rsidRDefault="00C4675C" w:rsidP="00364CE6">
      <w:pPr>
        <w:spacing w:line="480" w:lineRule="auto"/>
        <w:ind w:firstLine="720"/>
      </w:pPr>
      <w:r w:rsidRPr="00C4675C">
        <w:t>Regression (7) explains the intertemporal variation in the information content of accounting numbers to bond holders by economic and reporting factors. W</w:t>
      </w:r>
      <w:r w:rsidR="0005154B">
        <w:t xml:space="preserve">e try to assess </w:t>
      </w:r>
      <w:r w:rsidRPr="00C4675C">
        <w:t>the relative contribution of each of these groups of factors to the explanatory power of th</w:t>
      </w:r>
      <w:r w:rsidR="0005154B">
        <w:t>is</w:t>
      </w:r>
      <w:r w:rsidRPr="00C4675C">
        <w:t xml:space="preserve"> regression</w:t>
      </w:r>
      <w:r w:rsidR="0005154B">
        <w:t>.</w:t>
      </w:r>
      <w:r w:rsidRPr="00C4675C">
        <w:t xml:space="preserve"> In line with our discussion in section 3, we define PROB, </w:t>
      </w:r>
      <w:proofErr w:type="spellStart"/>
      <w:r w:rsidRPr="00C4675C">
        <w:t>NegCFO</w:t>
      </w:r>
      <w:proofErr w:type="spellEnd"/>
      <w:r w:rsidRPr="00C4675C">
        <w:t>, and GDP</w:t>
      </w:r>
      <w:r w:rsidR="004C6BBD">
        <w:t xml:space="preserve"> as economic factors,</w:t>
      </w:r>
      <w:r w:rsidRPr="00C4675C">
        <w:t xml:space="preserve"> CONSERV and </w:t>
      </w:r>
      <w:proofErr w:type="spellStart"/>
      <w:r w:rsidRPr="00C4675C">
        <w:t>VRatio</w:t>
      </w:r>
      <w:proofErr w:type="spellEnd"/>
      <w:r w:rsidR="004C6BBD">
        <w:t xml:space="preserve"> as reporting factors</w:t>
      </w:r>
      <w:r w:rsidRPr="00C4675C">
        <w:t>, and Intangibles and L</w:t>
      </w:r>
      <w:r w:rsidR="00364CE6">
        <w:t>OSS</w:t>
      </w:r>
      <w:r w:rsidR="00310C55">
        <w:t xml:space="preserve"> as hybrid factors, representing a blend of economic and accounting factors</w:t>
      </w:r>
      <w:r w:rsidRPr="00C4675C">
        <w:t>.  We</w:t>
      </w:r>
      <w:r w:rsidR="0005154B">
        <w:t xml:space="preserve"> measure</w:t>
      </w:r>
      <w:r w:rsidRPr="00C4675C">
        <w:t xml:space="preserve"> the relative contribution </w:t>
      </w:r>
      <w:r w:rsidR="00310C55">
        <w:t xml:space="preserve">of each group of factors </w:t>
      </w:r>
      <w:r w:rsidRPr="00C4675C">
        <w:t xml:space="preserve">using Shapley values (Shapley 1953), </w:t>
      </w:r>
      <w:r w:rsidR="00310C55">
        <w:t>expressing this</w:t>
      </w:r>
      <w:r w:rsidRPr="00C4675C">
        <w:t xml:space="preserve"> as </w:t>
      </w:r>
      <w:r w:rsidR="00310C55">
        <w:t xml:space="preserve">the </w:t>
      </w:r>
      <w:r w:rsidR="0005154B">
        <w:t xml:space="preserve">fraction </w:t>
      </w:r>
      <w:r w:rsidRPr="00C4675C">
        <w:t xml:space="preserve">of the explanatory power of regression (7) </w:t>
      </w:r>
      <w:r w:rsidR="0005154B">
        <w:t xml:space="preserve">(i.e., </w:t>
      </w:r>
      <w:proofErr w:type="spellStart"/>
      <w:proofErr w:type="gramStart"/>
      <w:r w:rsidR="0005154B">
        <w:t>its</w:t>
      </w:r>
      <w:proofErr w:type="spellEnd"/>
      <w:proofErr w:type="gramEnd"/>
      <w:r w:rsidR="0005154B">
        <w:t xml:space="preserve"> R</w:t>
      </w:r>
      <w:r w:rsidR="0005154B" w:rsidRPr="006E5CE9">
        <w:rPr>
          <w:vertAlign w:val="superscript"/>
        </w:rPr>
        <w:t>2</w:t>
      </w:r>
      <w:r w:rsidR="0005154B">
        <w:t xml:space="preserve">) </w:t>
      </w:r>
      <w:r w:rsidRPr="00C4675C">
        <w:t xml:space="preserve">contributed by the different groups of variables.  </w:t>
      </w:r>
    </w:p>
    <w:p w14:paraId="79DB7513" w14:textId="2BC87F39" w:rsidR="00C4675C" w:rsidRDefault="00C4675C" w:rsidP="0005154B">
      <w:pPr>
        <w:autoSpaceDE w:val="0"/>
        <w:autoSpaceDN w:val="0"/>
        <w:adjustRightInd w:val="0"/>
        <w:spacing w:line="480" w:lineRule="auto"/>
        <w:ind w:firstLine="720"/>
        <w:rPr>
          <w:lang w:bidi="he-IL"/>
        </w:rPr>
      </w:pPr>
      <w:r w:rsidRPr="00C4675C">
        <w:t>The results, provided in the last two rows in table 6, show that the contribution of reporting and hybrid factors to the explanatory power of regression (7) is about equal to that of the economic factors (44.6% vs. 55.4%</w:t>
      </w:r>
      <w:r w:rsidR="00310C55">
        <w:t>)</w:t>
      </w:r>
      <w:r w:rsidRPr="00C4675C">
        <w:t xml:space="preserve"> when information content is gauged using valuation model 3, and 58.6% vs. 41.4% when information content is measured </w:t>
      </w:r>
      <w:r w:rsidR="0005154B">
        <w:t xml:space="preserve">using </w:t>
      </w:r>
      <w:r w:rsidRPr="00C4675C">
        <w:t>valuation model A1.  This finding highlights the fact that accounting rules and their implementation are as important as the economic environment in affecting the relevance of accounting numbers to bond holders.</w:t>
      </w:r>
    </w:p>
    <w:p w14:paraId="7327529C" w14:textId="77777777" w:rsidR="00335619" w:rsidRPr="0023367D" w:rsidRDefault="00335619" w:rsidP="002F1175">
      <w:pPr>
        <w:autoSpaceDE w:val="0"/>
        <w:autoSpaceDN w:val="0"/>
        <w:adjustRightInd w:val="0"/>
        <w:spacing w:line="480" w:lineRule="auto"/>
        <w:ind w:firstLine="720"/>
        <w:rPr>
          <w:lang w:bidi="he-IL"/>
        </w:rPr>
      </w:pPr>
      <w:r w:rsidRPr="0023367D">
        <w:rPr>
          <w:lang w:bidi="he-IL"/>
        </w:rPr>
        <w:t xml:space="preserve">The </w:t>
      </w:r>
      <w:r w:rsidRPr="0023367D">
        <w:rPr>
          <w:b/>
          <w:lang w:bidi="he-IL"/>
        </w:rPr>
        <w:t>s</w:t>
      </w:r>
      <w:r w:rsidRPr="0023367D">
        <w:rPr>
          <w:lang w:bidi="he-IL"/>
        </w:rPr>
        <w:t xml:space="preserve">mall number of observations (39 years) </w:t>
      </w:r>
      <w:r w:rsidR="002F1175">
        <w:rPr>
          <w:lang w:bidi="he-IL"/>
        </w:rPr>
        <w:t>limits</w:t>
      </w:r>
      <w:r w:rsidRPr="0023367D">
        <w:rPr>
          <w:lang w:bidi="he-IL"/>
        </w:rPr>
        <w:t xml:space="preserve"> our ability to make robust inferences</w:t>
      </w:r>
      <w:r w:rsidR="0084558B">
        <w:rPr>
          <w:lang w:bidi="he-IL"/>
        </w:rPr>
        <w:t xml:space="preserve">. </w:t>
      </w:r>
      <w:r w:rsidRPr="0023367D">
        <w:rPr>
          <w:lang w:bidi="he-IL"/>
        </w:rPr>
        <w:t xml:space="preserve">Further, some of the presumed determinants of </w:t>
      </w:r>
      <w:r w:rsidR="00031C7E" w:rsidRPr="0023367D">
        <w:rPr>
          <w:lang w:bidi="he-IL"/>
        </w:rPr>
        <w:t xml:space="preserve">the </w:t>
      </w:r>
      <w:r w:rsidRPr="0023367D">
        <w:rPr>
          <w:lang w:bidi="he-IL"/>
        </w:rPr>
        <w:t>relevance</w:t>
      </w:r>
      <w:r w:rsidR="00031C7E" w:rsidRPr="0023367D">
        <w:rPr>
          <w:lang w:bidi="he-IL"/>
        </w:rPr>
        <w:t xml:space="preserve"> of accounting numbers </w:t>
      </w:r>
      <w:r w:rsidRPr="0023367D">
        <w:rPr>
          <w:lang w:bidi="he-IL"/>
        </w:rPr>
        <w:t>in the regression are strongly correlated, making it difficult to separate the effect of each of the independent variables.</w:t>
      </w:r>
      <w:r w:rsidRPr="0023367D">
        <w:rPr>
          <w:rStyle w:val="FootnoteReference"/>
          <w:lang w:bidi="he-IL"/>
        </w:rPr>
        <w:footnoteReference w:id="30"/>
      </w:r>
      <w:r w:rsidRPr="0023367D">
        <w:rPr>
          <w:lang w:bidi="he-IL"/>
        </w:rPr>
        <w:t xml:space="preserve">  To alleviate these estimation problems, we exploit the large sample of 20,700 firm-years (see Table 1) to estimate a regression similar to (7)</w:t>
      </w:r>
      <w:r w:rsidR="00031C7E" w:rsidRPr="0023367D">
        <w:rPr>
          <w:lang w:bidi="he-IL"/>
        </w:rPr>
        <w:t>.</w:t>
      </w:r>
      <w:r w:rsidRPr="0023367D">
        <w:rPr>
          <w:lang w:bidi="he-IL"/>
        </w:rPr>
        <w:t xml:space="preserve"> </w:t>
      </w:r>
      <w:r w:rsidR="00031C7E" w:rsidRPr="0023367D">
        <w:rPr>
          <w:lang w:bidi="he-IL"/>
        </w:rPr>
        <w:t xml:space="preserve">This </w:t>
      </w:r>
      <w:r w:rsidRPr="0023367D">
        <w:rPr>
          <w:lang w:bidi="he-IL"/>
        </w:rPr>
        <w:t xml:space="preserve">estimation requires expressing the dependent and independent variables in regression (7) on the firm-year level. </w:t>
      </w:r>
    </w:p>
    <w:p w14:paraId="46991C7D" w14:textId="7D3D076E" w:rsidR="00335619" w:rsidRPr="0023367D" w:rsidRDefault="00335619" w:rsidP="002B345D">
      <w:pPr>
        <w:spacing w:line="480" w:lineRule="auto"/>
        <w:ind w:firstLine="720"/>
        <w:rPr>
          <w:lang w:bidi="he-IL"/>
        </w:rPr>
      </w:pPr>
      <w:r w:rsidRPr="0023367D">
        <w:rPr>
          <w:lang w:bidi="he-IL"/>
        </w:rPr>
        <w:t>Recall that the dependent variable in regression (7) is the explanatory power of the bond return and valuation models with respect to the cross-sectional variations in, respectively, bond returns and yield spreads in that year</w:t>
      </w:r>
      <w:r w:rsidR="0084558B">
        <w:rPr>
          <w:lang w:bidi="he-IL"/>
        </w:rPr>
        <w:t xml:space="preserve">. </w:t>
      </w:r>
      <w:r w:rsidRPr="0023367D">
        <w:rPr>
          <w:lang w:bidi="he-IL"/>
        </w:rPr>
        <w:t xml:space="preserve">The dependent variable that we employ for the firm-year version of this regression has the same flavor: </w:t>
      </w:r>
      <w:r w:rsidR="005C6C95" w:rsidRPr="0023367D">
        <w:rPr>
          <w:lang w:bidi="he-IL"/>
        </w:rPr>
        <w:t>i</w:t>
      </w:r>
      <w:r w:rsidRPr="0023367D">
        <w:rPr>
          <w:lang w:bidi="he-IL"/>
        </w:rPr>
        <w:t xml:space="preserve">t reflects the information content of accounting numbers to bond holders. </w:t>
      </w:r>
      <w:r w:rsidR="002F1175">
        <w:rPr>
          <w:lang w:bidi="he-IL"/>
        </w:rPr>
        <w:t xml:space="preserve">This dependent variable for an individual firm-year is captured in two ways: </w:t>
      </w:r>
      <w:r w:rsidR="00C24E32">
        <w:rPr>
          <w:lang w:bidi="he-IL"/>
        </w:rPr>
        <w:t>by t</w:t>
      </w:r>
      <w:r w:rsidR="002F1175">
        <w:rPr>
          <w:lang w:bidi="he-IL"/>
        </w:rPr>
        <w:t xml:space="preserve">he extent to which perfect knowledge of </w:t>
      </w:r>
      <w:r w:rsidR="00C24E32">
        <w:rPr>
          <w:lang w:bidi="he-IL"/>
        </w:rPr>
        <w:t xml:space="preserve">future </w:t>
      </w:r>
      <w:r w:rsidR="002F1175">
        <w:rPr>
          <w:lang w:bidi="he-IL"/>
        </w:rPr>
        <w:t xml:space="preserve">accounting numbers would increase the accuracy </w:t>
      </w:r>
      <w:r w:rsidR="00C24E32">
        <w:rPr>
          <w:lang w:bidi="he-IL"/>
        </w:rPr>
        <w:t>of predicting bond yields</w:t>
      </w:r>
      <w:r w:rsidR="00310C55">
        <w:rPr>
          <w:lang w:bidi="he-IL"/>
        </w:rPr>
        <w:t xml:space="preserve"> </w:t>
      </w:r>
      <w:r w:rsidR="00C24E32">
        <w:rPr>
          <w:lang w:bidi="he-IL"/>
        </w:rPr>
        <w:t>and</w:t>
      </w:r>
      <w:r w:rsidR="00310C55">
        <w:rPr>
          <w:lang w:bidi="he-IL"/>
        </w:rPr>
        <w:t>,</w:t>
      </w:r>
      <w:r w:rsidR="00C24E32">
        <w:rPr>
          <w:lang w:bidi="he-IL"/>
        </w:rPr>
        <w:t xml:space="preserve"> relatedly, by the</w:t>
      </w:r>
      <w:r w:rsidR="0005154B">
        <w:rPr>
          <w:lang w:bidi="he-IL"/>
        </w:rPr>
        <w:t xml:space="preserve"> return </w:t>
      </w:r>
      <w:r w:rsidR="00FF3D83">
        <w:rPr>
          <w:lang w:bidi="he-IL"/>
        </w:rPr>
        <w:t>to</w:t>
      </w:r>
      <w:r w:rsidR="0005154B">
        <w:rPr>
          <w:lang w:bidi="he-IL"/>
        </w:rPr>
        <w:t xml:space="preserve"> an investment strategy whereby long (short) </w:t>
      </w:r>
      <w:r w:rsidR="0005154B" w:rsidRPr="0046472A">
        <w:rPr>
          <w:lang w:bidi="he-IL"/>
        </w:rPr>
        <w:t xml:space="preserve">positions are held based on </w:t>
      </w:r>
      <w:r w:rsidR="00310C55" w:rsidRPr="0046472A">
        <w:rPr>
          <w:lang w:bidi="he-IL"/>
        </w:rPr>
        <w:t xml:space="preserve">the </w:t>
      </w:r>
      <w:r w:rsidR="00FF3D83" w:rsidRPr="0046472A">
        <w:rPr>
          <w:lang w:bidi="he-IL"/>
        </w:rPr>
        <w:t xml:space="preserve">sign of </w:t>
      </w:r>
      <w:r w:rsidR="00310C55" w:rsidRPr="0046472A">
        <w:rPr>
          <w:lang w:bidi="he-IL"/>
        </w:rPr>
        <w:t xml:space="preserve">the </w:t>
      </w:r>
      <w:r w:rsidR="0005154B" w:rsidRPr="0046472A">
        <w:rPr>
          <w:lang w:bidi="he-IL"/>
        </w:rPr>
        <w:t>expected return derived from such perfect knowledge</w:t>
      </w:r>
      <w:r w:rsidR="00C24E32" w:rsidRPr="0046472A">
        <w:rPr>
          <w:lang w:bidi="he-IL"/>
        </w:rPr>
        <w:t xml:space="preserve">. This </w:t>
      </w:r>
      <w:r w:rsidR="00FF3D83" w:rsidRPr="0046472A">
        <w:rPr>
          <w:lang w:bidi="he-IL"/>
        </w:rPr>
        <w:t xml:space="preserve">‘investment strategy’ approach </w:t>
      </w:r>
      <w:r w:rsidRPr="0046472A">
        <w:rPr>
          <w:lang w:bidi="he-IL"/>
        </w:rPr>
        <w:t xml:space="preserve">was used by </w:t>
      </w:r>
      <w:r w:rsidRPr="0046472A">
        <w:t xml:space="preserve">Alford et al. (1993), Francis and </w:t>
      </w:r>
      <w:proofErr w:type="spellStart"/>
      <w:r w:rsidRPr="0046472A">
        <w:t>Schipper</w:t>
      </w:r>
      <w:proofErr w:type="spellEnd"/>
      <w:r w:rsidRPr="0046472A">
        <w:t xml:space="preserve"> (1999) and Hanlon et al (2005)</w:t>
      </w:r>
      <w:r w:rsidR="00FF3D83" w:rsidRPr="0046472A">
        <w:t xml:space="preserve"> to assess the information content of accounting numbers to equity holders</w:t>
      </w:r>
      <w:r w:rsidR="00C24E32" w:rsidRPr="0046472A">
        <w:t>.</w:t>
      </w:r>
      <w:r w:rsidR="00C24E32">
        <w:t xml:space="preserve"> The variables describing the improved accuracy and the potential return that can be gained from a perfect knowledge of accounting numbers for firm j in year t</w:t>
      </w:r>
      <w:r w:rsidR="00644BEA">
        <w:t xml:space="preserve"> are</w:t>
      </w:r>
      <w:r w:rsidR="00C24E32">
        <w:t xml:space="preserve"> denoted as </w:t>
      </w:r>
      <w:r w:rsidRPr="0023367D">
        <w:rPr>
          <w:lang w:bidi="he-IL"/>
        </w:rPr>
        <w:t>INFO</w:t>
      </w:r>
      <w:r w:rsidR="00817C5E">
        <w:rPr>
          <w:lang w:bidi="he-IL"/>
        </w:rPr>
        <w:t xml:space="preserve"> (A</w:t>
      </w:r>
      <w:proofErr w:type="gramStart"/>
      <w:r w:rsidR="00817C5E">
        <w:rPr>
          <w:lang w:bidi="he-IL"/>
        </w:rPr>
        <w:t>)</w:t>
      </w:r>
      <w:proofErr w:type="spellStart"/>
      <w:r w:rsidR="00644BEA" w:rsidRPr="006E5CE9">
        <w:rPr>
          <w:vertAlign w:val="subscript"/>
          <w:lang w:bidi="he-IL"/>
        </w:rPr>
        <w:t>j,t</w:t>
      </w:r>
      <w:proofErr w:type="spellEnd"/>
      <w:proofErr w:type="gramEnd"/>
      <w:r w:rsidR="00644BEA">
        <w:rPr>
          <w:lang w:bidi="he-IL"/>
        </w:rPr>
        <w:t xml:space="preserve"> and I</w:t>
      </w:r>
      <w:r w:rsidR="00644BEA" w:rsidRPr="0023367D">
        <w:rPr>
          <w:lang w:bidi="he-IL"/>
        </w:rPr>
        <w:t>NFO</w:t>
      </w:r>
      <w:r w:rsidR="00817C5E">
        <w:rPr>
          <w:lang w:bidi="he-IL"/>
        </w:rPr>
        <w:t xml:space="preserve"> (B)</w:t>
      </w:r>
      <w:proofErr w:type="spellStart"/>
      <w:r w:rsidR="00644BEA" w:rsidRPr="00DC4CD5">
        <w:rPr>
          <w:vertAlign w:val="subscript"/>
          <w:lang w:bidi="he-IL"/>
        </w:rPr>
        <w:t>j,t</w:t>
      </w:r>
      <w:proofErr w:type="spellEnd"/>
      <w:r w:rsidR="00644BEA">
        <w:rPr>
          <w:lang w:bidi="he-IL"/>
        </w:rPr>
        <w:t xml:space="preserve">, respectively. Their construction is detailed </w:t>
      </w:r>
      <w:r w:rsidRPr="0023367D">
        <w:rPr>
          <w:lang w:bidi="he-IL"/>
        </w:rPr>
        <w:t>in Appendix C</w:t>
      </w:r>
      <w:r w:rsidR="0084558B">
        <w:rPr>
          <w:lang w:bidi="he-IL"/>
        </w:rPr>
        <w:t xml:space="preserve">. </w:t>
      </w:r>
    </w:p>
    <w:p w14:paraId="7AE6BDF3" w14:textId="7101AB1B" w:rsidR="00335619" w:rsidRPr="0023367D" w:rsidRDefault="00335619" w:rsidP="00335619">
      <w:pPr>
        <w:autoSpaceDE w:val="0"/>
        <w:autoSpaceDN w:val="0"/>
        <w:adjustRightInd w:val="0"/>
        <w:spacing w:line="480" w:lineRule="auto"/>
        <w:ind w:firstLine="720"/>
        <w:rPr>
          <w:lang w:bidi="he-IL"/>
        </w:rPr>
      </w:pPr>
      <w:r w:rsidRPr="0023367D">
        <w:rPr>
          <w:lang w:bidi="he-IL"/>
        </w:rPr>
        <w:t xml:space="preserve">The independent variables in the </w:t>
      </w:r>
      <w:r w:rsidR="00B21681">
        <w:rPr>
          <w:lang w:bidi="he-IL"/>
        </w:rPr>
        <w:t xml:space="preserve">following </w:t>
      </w:r>
      <w:r w:rsidRPr="0023367D">
        <w:rPr>
          <w:lang w:bidi="he-IL"/>
        </w:rPr>
        <w:t>firm-year regression</w:t>
      </w:r>
      <w:r w:rsidR="0012109C">
        <w:rPr>
          <w:lang w:bidi="he-IL"/>
        </w:rPr>
        <w:t xml:space="preserve"> </w:t>
      </w:r>
      <w:r w:rsidRPr="0023367D">
        <w:rPr>
          <w:lang w:bidi="he-IL"/>
        </w:rPr>
        <w:t>represent the same factors likely to affect the explanatory power of the bond return model in regression (7) except that they are now defined for individual firm-years rather than for a year</w:t>
      </w:r>
      <w:r w:rsidR="00D03AF3">
        <w:rPr>
          <w:lang w:bidi="he-IL"/>
        </w:rPr>
        <w:t xml:space="preserve"> </w:t>
      </w:r>
      <w:r w:rsidR="0012109C">
        <w:rPr>
          <w:lang w:bidi="he-IL"/>
        </w:rPr>
        <w:t>as explained below:</w:t>
      </w:r>
      <w:r w:rsidRPr="0023367D">
        <w:rPr>
          <w:lang w:bidi="he-IL"/>
        </w:rPr>
        <w:t xml:space="preserve"> </w:t>
      </w:r>
    </w:p>
    <w:p w14:paraId="01120B9E" w14:textId="1E5FB414" w:rsidR="00335619" w:rsidRPr="0023367D" w:rsidRDefault="00335619" w:rsidP="00817C5E">
      <w:pPr>
        <w:autoSpaceDE w:val="0"/>
        <w:autoSpaceDN w:val="0"/>
        <w:adjustRightInd w:val="0"/>
        <w:spacing w:line="480" w:lineRule="auto"/>
        <w:ind w:right="-630"/>
        <w:rPr>
          <w:sz w:val="23"/>
          <w:szCs w:val="23"/>
        </w:rPr>
      </w:pPr>
      <w:r w:rsidRPr="0023367D">
        <w:rPr>
          <w:sz w:val="23"/>
          <w:szCs w:val="23"/>
          <w:lang w:bidi="he-IL"/>
        </w:rPr>
        <w:t>INFO</w:t>
      </w:r>
      <w:r w:rsidR="00817C5E">
        <w:rPr>
          <w:sz w:val="23"/>
          <w:szCs w:val="23"/>
          <w:lang w:bidi="he-IL"/>
        </w:rPr>
        <w:t xml:space="preserve"> (</w:t>
      </w:r>
      <w:r w:rsidR="00D03AF3" w:rsidRPr="00D03AF3">
        <w:rPr>
          <w:b/>
          <w:sz w:val="23"/>
          <w:szCs w:val="23"/>
          <w:lang w:bidi="he-IL"/>
        </w:rPr>
        <w:sym w:font="Wingdings" w:char="F09E"/>
      </w:r>
      <w:r w:rsidR="00817C5E">
        <w:rPr>
          <w:sz w:val="23"/>
          <w:szCs w:val="23"/>
          <w:lang w:bidi="he-IL"/>
        </w:rPr>
        <w:t>)</w:t>
      </w:r>
      <w:proofErr w:type="spellStart"/>
      <w:r w:rsidRPr="0023367D">
        <w:rPr>
          <w:sz w:val="23"/>
          <w:szCs w:val="23"/>
          <w:vertAlign w:val="subscript"/>
          <w:lang w:bidi="he-IL"/>
        </w:rPr>
        <w:t>j,t</w:t>
      </w:r>
      <w:proofErr w:type="spellEnd"/>
      <w:r w:rsidRPr="0023367D">
        <w:rPr>
          <w:sz w:val="23"/>
          <w:szCs w:val="23"/>
          <w:lang w:bidi="he-IL"/>
        </w:rPr>
        <w:t xml:space="preserve">  = </w:t>
      </w:r>
      <w:r w:rsidRPr="0023367D">
        <w:rPr>
          <w:rFonts w:ascii="Blackadder ITC" w:hAnsi="Blackadder ITC" w:cs="Andalus"/>
          <w:sz w:val="23"/>
          <w:szCs w:val="23"/>
        </w:rPr>
        <w:t>f</w:t>
      </w:r>
      <w:r w:rsidRPr="0023367D">
        <w:rPr>
          <w:sz w:val="23"/>
          <w:szCs w:val="23"/>
        </w:rPr>
        <w:t xml:space="preserve"> {Year fixed effects, </w:t>
      </w:r>
      <w:proofErr w:type="spellStart"/>
      <w:r w:rsidRPr="0023367D">
        <w:rPr>
          <w:sz w:val="23"/>
          <w:szCs w:val="23"/>
        </w:rPr>
        <w:t>PROB</w:t>
      </w:r>
      <w:r w:rsidRPr="0023367D">
        <w:rPr>
          <w:sz w:val="23"/>
          <w:szCs w:val="23"/>
          <w:vertAlign w:val="subscript"/>
        </w:rPr>
        <w:t>j</w:t>
      </w:r>
      <w:r w:rsidRPr="000127B3">
        <w:rPr>
          <w:sz w:val="23"/>
          <w:szCs w:val="23"/>
          <w:vertAlign w:val="subscript"/>
        </w:rPr>
        <w:t>,</w:t>
      </w:r>
      <w:r w:rsidRPr="0023367D">
        <w:rPr>
          <w:sz w:val="23"/>
          <w:szCs w:val="23"/>
          <w:vertAlign w:val="subscript"/>
        </w:rPr>
        <w:t>t</w:t>
      </w:r>
      <w:proofErr w:type="spellEnd"/>
      <w:r w:rsidRPr="0023367D">
        <w:rPr>
          <w:sz w:val="23"/>
          <w:szCs w:val="23"/>
        </w:rPr>
        <w:t xml:space="preserve">, </w:t>
      </w:r>
      <w:proofErr w:type="spellStart"/>
      <w:r w:rsidR="0012109C">
        <w:rPr>
          <w:sz w:val="23"/>
          <w:szCs w:val="23"/>
        </w:rPr>
        <w:t>Neg</w:t>
      </w:r>
      <w:r w:rsidRPr="0023367D">
        <w:rPr>
          <w:sz w:val="23"/>
          <w:szCs w:val="23"/>
        </w:rPr>
        <w:t>CFO</w:t>
      </w:r>
      <w:proofErr w:type="spellEnd"/>
      <w:r w:rsidR="002549FA">
        <w:rPr>
          <w:sz w:val="23"/>
          <w:szCs w:val="23"/>
        </w:rPr>
        <w:t>*</w:t>
      </w:r>
      <w:proofErr w:type="spellStart"/>
      <w:r w:rsidRPr="0023367D">
        <w:rPr>
          <w:sz w:val="23"/>
          <w:szCs w:val="23"/>
          <w:vertAlign w:val="subscript"/>
        </w:rPr>
        <w:t>j</w:t>
      </w:r>
      <w:r w:rsidRPr="0023367D">
        <w:rPr>
          <w:sz w:val="23"/>
          <w:szCs w:val="23"/>
        </w:rPr>
        <w:t>,</w:t>
      </w:r>
      <w:r w:rsidRPr="0023367D">
        <w:rPr>
          <w:sz w:val="23"/>
          <w:szCs w:val="23"/>
          <w:vertAlign w:val="subscript"/>
        </w:rPr>
        <w:t>t</w:t>
      </w:r>
      <w:proofErr w:type="spellEnd"/>
      <w:r w:rsidRPr="0023367D">
        <w:rPr>
          <w:sz w:val="23"/>
          <w:szCs w:val="23"/>
        </w:rPr>
        <w:t xml:space="preserve">, </w:t>
      </w:r>
      <w:proofErr w:type="spellStart"/>
      <w:r w:rsidRPr="0023367D">
        <w:rPr>
          <w:sz w:val="23"/>
          <w:szCs w:val="23"/>
        </w:rPr>
        <w:t>CONSERV</w:t>
      </w:r>
      <w:r w:rsidR="00D03AF3">
        <w:rPr>
          <w:sz w:val="23"/>
          <w:szCs w:val="23"/>
          <w:vertAlign w:val="subscript"/>
        </w:rPr>
        <w:t>j</w:t>
      </w:r>
      <w:r w:rsidRPr="000127B3">
        <w:rPr>
          <w:sz w:val="23"/>
          <w:szCs w:val="23"/>
          <w:vertAlign w:val="subscript"/>
        </w:rPr>
        <w:t>,</w:t>
      </w:r>
      <w:r w:rsidRPr="0023367D">
        <w:rPr>
          <w:sz w:val="23"/>
          <w:szCs w:val="23"/>
          <w:vertAlign w:val="subscript"/>
        </w:rPr>
        <w:t>t</w:t>
      </w:r>
      <w:proofErr w:type="spellEnd"/>
      <w:r w:rsidRPr="0023367D">
        <w:rPr>
          <w:sz w:val="23"/>
          <w:szCs w:val="23"/>
        </w:rPr>
        <w:t>,</w:t>
      </w:r>
      <w:r w:rsidR="000B4810">
        <w:rPr>
          <w:sz w:val="23"/>
          <w:szCs w:val="23"/>
        </w:rPr>
        <w:t xml:space="preserve"> </w:t>
      </w:r>
      <w:proofErr w:type="spellStart"/>
      <w:r w:rsidRPr="0023367D">
        <w:rPr>
          <w:sz w:val="23"/>
          <w:szCs w:val="23"/>
        </w:rPr>
        <w:t>VR</w:t>
      </w:r>
      <w:r w:rsidR="005D6182" w:rsidRPr="0023367D">
        <w:rPr>
          <w:sz w:val="23"/>
          <w:szCs w:val="23"/>
        </w:rPr>
        <w:t>atio</w:t>
      </w:r>
      <w:proofErr w:type="spellEnd"/>
      <w:r w:rsidRPr="0023367D">
        <w:rPr>
          <w:sz w:val="23"/>
          <w:szCs w:val="23"/>
          <w:vertAlign w:val="subscript"/>
        </w:rPr>
        <w:t xml:space="preserve"> </w:t>
      </w:r>
      <w:proofErr w:type="spellStart"/>
      <w:r w:rsidRPr="0023367D">
        <w:rPr>
          <w:sz w:val="23"/>
          <w:szCs w:val="23"/>
          <w:vertAlign w:val="subscript"/>
        </w:rPr>
        <w:t>j</w:t>
      </w:r>
      <w:r w:rsidRPr="000127B3">
        <w:rPr>
          <w:sz w:val="23"/>
          <w:szCs w:val="23"/>
          <w:vertAlign w:val="subscript"/>
        </w:rPr>
        <w:t>,</w:t>
      </w:r>
      <w:r w:rsidRPr="0023367D">
        <w:rPr>
          <w:sz w:val="23"/>
          <w:szCs w:val="23"/>
          <w:vertAlign w:val="subscript"/>
        </w:rPr>
        <w:t>t</w:t>
      </w:r>
      <w:proofErr w:type="spellEnd"/>
      <w:r w:rsidRPr="0023367D">
        <w:rPr>
          <w:sz w:val="23"/>
          <w:szCs w:val="23"/>
        </w:rPr>
        <w:t>, L</w:t>
      </w:r>
      <w:r w:rsidR="00637A95">
        <w:rPr>
          <w:sz w:val="23"/>
          <w:szCs w:val="23"/>
        </w:rPr>
        <w:t>OSS</w:t>
      </w:r>
      <w:r w:rsidR="002549FA">
        <w:rPr>
          <w:sz w:val="23"/>
          <w:szCs w:val="23"/>
        </w:rPr>
        <w:t>*</w:t>
      </w:r>
      <w:proofErr w:type="spellStart"/>
      <w:r w:rsidRPr="006E5CE9">
        <w:rPr>
          <w:sz w:val="23"/>
          <w:szCs w:val="23"/>
          <w:vertAlign w:val="subscript"/>
        </w:rPr>
        <w:t>j</w:t>
      </w:r>
      <w:r w:rsidRPr="0023367D">
        <w:rPr>
          <w:sz w:val="23"/>
          <w:szCs w:val="23"/>
        </w:rPr>
        <w:t>,</w:t>
      </w:r>
      <w:r w:rsidRPr="0023367D">
        <w:rPr>
          <w:sz w:val="23"/>
          <w:szCs w:val="23"/>
          <w:vertAlign w:val="subscript"/>
        </w:rPr>
        <w:t>t</w:t>
      </w:r>
      <w:proofErr w:type="spellEnd"/>
      <w:r w:rsidRPr="0023367D">
        <w:rPr>
          <w:sz w:val="23"/>
          <w:szCs w:val="23"/>
        </w:rPr>
        <w:t>,</w:t>
      </w:r>
      <w:r w:rsidRPr="0023367D">
        <w:rPr>
          <w:sz w:val="23"/>
          <w:szCs w:val="23"/>
          <w:vertAlign w:val="subscript"/>
        </w:rPr>
        <w:t xml:space="preserve"> </w:t>
      </w:r>
      <w:proofErr w:type="spellStart"/>
      <w:r w:rsidRPr="0023367D">
        <w:rPr>
          <w:sz w:val="23"/>
          <w:szCs w:val="23"/>
        </w:rPr>
        <w:t>Intangibles</w:t>
      </w:r>
      <w:r w:rsidR="000127B3">
        <w:rPr>
          <w:sz w:val="23"/>
          <w:szCs w:val="23"/>
          <w:vertAlign w:val="subscript"/>
        </w:rPr>
        <w:t>j,</w:t>
      </w:r>
      <w:r w:rsidRPr="0023367D">
        <w:rPr>
          <w:sz w:val="23"/>
          <w:szCs w:val="23"/>
          <w:vertAlign w:val="subscript"/>
        </w:rPr>
        <w:t>t</w:t>
      </w:r>
      <w:proofErr w:type="spellEnd"/>
      <w:r w:rsidRPr="0023367D">
        <w:rPr>
          <w:sz w:val="23"/>
          <w:szCs w:val="23"/>
        </w:rPr>
        <w:t>}(8)</w:t>
      </w:r>
    </w:p>
    <w:p w14:paraId="2C545516" w14:textId="0A5D808C" w:rsidR="0012109C" w:rsidRPr="0023367D" w:rsidRDefault="00B21681" w:rsidP="001F6900">
      <w:pPr>
        <w:autoSpaceDE w:val="0"/>
        <w:autoSpaceDN w:val="0"/>
        <w:adjustRightInd w:val="0"/>
        <w:spacing w:line="480" w:lineRule="auto"/>
        <w:ind w:firstLine="720"/>
        <w:rPr>
          <w:lang w:bidi="he-IL"/>
        </w:rPr>
      </w:pPr>
      <w:r w:rsidRPr="0023367D">
        <w:rPr>
          <w:sz w:val="23"/>
          <w:szCs w:val="23"/>
          <w:lang w:bidi="he-IL"/>
        </w:rPr>
        <w:t>INFO</w:t>
      </w:r>
      <w:r w:rsidR="00817C5E">
        <w:rPr>
          <w:sz w:val="23"/>
          <w:szCs w:val="23"/>
          <w:lang w:bidi="he-IL"/>
        </w:rPr>
        <w:t xml:space="preserve"> (A) and (B) are</w:t>
      </w:r>
      <w:r>
        <w:rPr>
          <w:lang w:bidi="he-IL"/>
        </w:rPr>
        <w:t xml:space="preserve"> as defined above. </w:t>
      </w:r>
      <w:r w:rsidR="00637A95">
        <w:rPr>
          <w:lang w:bidi="he-IL"/>
        </w:rPr>
        <w:t xml:space="preserve">Note that INFO (B) is an indicator variable and therefore we use a logit regression version of (8) when we use it as the dependent variable. </w:t>
      </w:r>
      <w:proofErr w:type="spellStart"/>
      <w:r w:rsidR="0012109C">
        <w:rPr>
          <w:lang w:bidi="he-IL"/>
        </w:rPr>
        <w:t>PROB</w:t>
      </w:r>
      <w:r w:rsidRPr="006E5CE9">
        <w:rPr>
          <w:vertAlign w:val="subscript"/>
          <w:lang w:bidi="he-IL"/>
        </w:rPr>
        <w:t>j</w:t>
      </w:r>
      <w:proofErr w:type="gramStart"/>
      <w:r w:rsidRPr="006E5CE9">
        <w:rPr>
          <w:vertAlign w:val="subscript"/>
          <w:lang w:bidi="he-IL"/>
        </w:rPr>
        <w:t>,t</w:t>
      </w:r>
      <w:proofErr w:type="spellEnd"/>
      <w:proofErr w:type="gramEnd"/>
      <w:r w:rsidR="0012109C">
        <w:rPr>
          <w:lang w:bidi="he-IL"/>
        </w:rPr>
        <w:t xml:space="preserve">, </w:t>
      </w:r>
      <w:proofErr w:type="spellStart"/>
      <w:r w:rsidR="00F74E3C">
        <w:rPr>
          <w:lang w:bidi="he-IL"/>
        </w:rPr>
        <w:t>CONSERV</w:t>
      </w:r>
      <w:r w:rsidRPr="006E5CE9">
        <w:rPr>
          <w:vertAlign w:val="subscript"/>
          <w:lang w:bidi="he-IL"/>
        </w:rPr>
        <w:t>j,t</w:t>
      </w:r>
      <w:proofErr w:type="spellEnd"/>
      <w:r w:rsidR="00F74E3C">
        <w:rPr>
          <w:lang w:bidi="he-IL"/>
        </w:rPr>
        <w:t xml:space="preserve">, </w:t>
      </w:r>
      <w:proofErr w:type="spellStart"/>
      <w:r w:rsidR="0012109C">
        <w:rPr>
          <w:lang w:bidi="he-IL"/>
        </w:rPr>
        <w:t>VRatio</w:t>
      </w:r>
      <w:r w:rsidRPr="006E5CE9">
        <w:rPr>
          <w:vertAlign w:val="subscript"/>
          <w:lang w:bidi="he-IL"/>
        </w:rPr>
        <w:t>j,t</w:t>
      </w:r>
      <w:proofErr w:type="spellEnd"/>
      <w:r w:rsidR="0012109C">
        <w:rPr>
          <w:lang w:bidi="he-IL"/>
        </w:rPr>
        <w:t xml:space="preserve">, and </w:t>
      </w:r>
      <w:proofErr w:type="spellStart"/>
      <w:r w:rsidR="0012109C">
        <w:rPr>
          <w:lang w:bidi="he-IL"/>
        </w:rPr>
        <w:t>Intangibles</w:t>
      </w:r>
      <w:r w:rsidRPr="006E5CE9">
        <w:rPr>
          <w:vertAlign w:val="subscript"/>
          <w:lang w:bidi="he-IL"/>
        </w:rPr>
        <w:t>j,t</w:t>
      </w:r>
      <w:proofErr w:type="spellEnd"/>
      <w:r w:rsidR="0012109C">
        <w:rPr>
          <w:lang w:bidi="he-IL"/>
        </w:rPr>
        <w:t xml:space="preserve"> are defined as before but are measured for firm-years rather than</w:t>
      </w:r>
      <w:r w:rsidR="00817C5E">
        <w:rPr>
          <w:lang w:bidi="he-IL"/>
        </w:rPr>
        <w:t xml:space="preserve"> </w:t>
      </w:r>
      <w:r w:rsidR="00722A41">
        <w:rPr>
          <w:lang w:bidi="he-IL"/>
        </w:rPr>
        <w:t>as</w:t>
      </w:r>
      <w:r w:rsidR="00660795">
        <w:rPr>
          <w:lang w:bidi="he-IL"/>
        </w:rPr>
        <w:t xml:space="preserve"> </w:t>
      </w:r>
      <w:r w:rsidR="00722A41">
        <w:rPr>
          <w:lang w:bidi="he-IL"/>
        </w:rPr>
        <w:t xml:space="preserve">a </w:t>
      </w:r>
      <w:r w:rsidR="00660795">
        <w:rPr>
          <w:lang w:bidi="he-IL"/>
        </w:rPr>
        <w:t xml:space="preserve"> </w:t>
      </w:r>
      <w:r w:rsidR="0012109C">
        <w:rPr>
          <w:lang w:bidi="he-IL"/>
        </w:rPr>
        <w:t xml:space="preserve">cross-sectional </w:t>
      </w:r>
      <w:r w:rsidR="00F74E3C">
        <w:rPr>
          <w:lang w:bidi="he-IL"/>
        </w:rPr>
        <w:t>average</w:t>
      </w:r>
      <w:r w:rsidR="00F90920">
        <w:rPr>
          <w:lang w:bidi="he-IL"/>
        </w:rPr>
        <w:t xml:space="preserve"> </w:t>
      </w:r>
      <w:r w:rsidR="00F74E3C">
        <w:rPr>
          <w:lang w:bidi="he-IL"/>
        </w:rPr>
        <w:t xml:space="preserve">over </w:t>
      </w:r>
      <w:r w:rsidR="00F90920">
        <w:rPr>
          <w:lang w:bidi="he-IL"/>
        </w:rPr>
        <w:t>firms</w:t>
      </w:r>
      <w:r w:rsidR="00817C5E">
        <w:rPr>
          <w:lang w:bidi="he-IL"/>
        </w:rPr>
        <w:t xml:space="preserve"> for the year</w:t>
      </w:r>
      <w:r w:rsidR="00722A41">
        <w:rPr>
          <w:lang w:bidi="he-IL"/>
        </w:rPr>
        <w:t>, as in regression (7)</w:t>
      </w:r>
      <w:r w:rsidR="00F90920">
        <w:rPr>
          <w:lang w:bidi="he-IL"/>
        </w:rPr>
        <w:t>.</w:t>
      </w:r>
      <w:r w:rsidR="0012109C">
        <w:rPr>
          <w:lang w:bidi="he-IL"/>
        </w:rPr>
        <w:t xml:space="preserve"> </w:t>
      </w:r>
      <w:proofErr w:type="spellStart"/>
      <w:r w:rsidR="002549FA">
        <w:rPr>
          <w:lang w:bidi="he-IL"/>
        </w:rPr>
        <w:t>NegCFO</w:t>
      </w:r>
      <w:proofErr w:type="spellEnd"/>
      <w:r w:rsidR="002549FA">
        <w:rPr>
          <w:lang w:bidi="he-IL"/>
        </w:rPr>
        <w:t>*</w:t>
      </w:r>
      <w:proofErr w:type="spellStart"/>
      <w:r w:rsidR="002549FA" w:rsidRPr="006E5CE9">
        <w:rPr>
          <w:vertAlign w:val="subscript"/>
          <w:lang w:bidi="he-IL"/>
        </w:rPr>
        <w:t>j</w:t>
      </w:r>
      <w:r w:rsidR="002549FA">
        <w:rPr>
          <w:vertAlign w:val="subscript"/>
          <w:lang w:bidi="he-IL"/>
        </w:rPr>
        <w:t>,</w:t>
      </w:r>
      <w:r w:rsidR="002549FA" w:rsidRPr="006E5CE9">
        <w:rPr>
          <w:vertAlign w:val="subscript"/>
          <w:lang w:bidi="he-IL"/>
        </w:rPr>
        <w:t>t</w:t>
      </w:r>
      <w:proofErr w:type="spellEnd"/>
      <w:r w:rsidR="0012109C">
        <w:rPr>
          <w:lang w:bidi="he-IL"/>
        </w:rPr>
        <w:t xml:space="preserve"> </w:t>
      </w:r>
      <w:r w:rsidR="00F90920">
        <w:rPr>
          <w:lang w:bidi="he-IL"/>
        </w:rPr>
        <w:t xml:space="preserve"> </w:t>
      </w:r>
      <w:r w:rsidR="00660795">
        <w:rPr>
          <w:lang w:bidi="he-IL"/>
        </w:rPr>
        <w:t xml:space="preserve">and </w:t>
      </w:r>
      <w:r w:rsidR="00F90920">
        <w:rPr>
          <w:lang w:bidi="he-IL"/>
        </w:rPr>
        <w:t>L</w:t>
      </w:r>
      <w:r w:rsidR="00637A95">
        <w:rPr>
          <w:lang w:bidi="he-IL"/>
        </w:rPr>
        <w:t>OSS</w:t>
      </w:r>
      <w:r w:rsidR="00F90920">
        <w:rPr>
          <w:lang w:bidi="he-IL"/>
        </w:rPr>
        <w:t>*</w:t>
      </w:r>
      <w:proofErr w:type="spellStart"/>
      <w:r w:rsidR="00F90920" w:rsidRPr="006E5CE9">
        <w:rPr>
          <w:vertAlign w:val="subscript"/>
          <w:lang w:bidi="he-IL"/>
        </w:rPr>
        <w:t>j,t</w:t>
      </w:r>
      <w:proofErr w:type="spellEnd"/>
      <w:r w:rsidR="00F90920">
        <w:rPr>
          <w:lang w:bidi="he-IL"/>
        </w:rPr>
        <w:t xml:space="preserve"> </w:t>
      </w:r>
      <w:r w:rsidR="00660795">
        <w:rPr>
          <w:lang w:bidi="he-IL"/>
        </w:rPr>
        <w:t>are</w:t>
      </w:r>
      <w:r w:rsidR="002549FA">
        <w:rPr>
          <w:lang w:bidi="he-IL"/>
        </w:rPr>
        <w:t xml:space="preserve"> indicator variable</w:t>
      </w:r>
      <w:r w:rsidR="00660795">
        <w:rPr>
          <w:lang w:bidi="he-IL"/>
        </w:rPr>
        <w:t>s</w:t>
      </w:r>
      <w:r w:rsidR="002549FA">
        <w:rPr>
          <w:lang w:bidi="he-IL"/>
        </w:rPr>
        <w:t xml:space="preserve"> receiving the value of 1 if firm j reports a </w:t>
      </w:r>
      <w:r w:rsidR="0055027D">
        <w:rPr>
          <w:lang w:bidi="he-IL"/>
        </w:rPr>
        <w:t xml:space="preserve">negative cash flow from operations </w:t>
      </w:r>
      <w:r w:rsidR="00660795">
        <w:rPr>
          <w:lang w:bidi="he-IL"/>
        </w:rPr>
        <w:t xml:space="preserve">or a </w:t>
      </w:r>
      <w:r w:rsidR="00F90920">
        <w:rPr>
          <w:lang w:bidi="he-IL"/>
        </w:rPr>
        <w:t>loss</w:t>
      </w:r>
      <w:r w:rsidR="00660795">
        <w:rPr>
          <w:lang w:bidi="he-IL"/>
        </w:rPr>
        <w:t>, respectively,</w:t>
      </w:r>
      <w:r w:rsidR="00F90920">
        <w:rPr>
          <w:lang w:bidi="he-IL"/>
        </w:rPr>
        <w:t xml:space="preserve"> </w:t>
      </w:r>
      <w:r w:rsidR="002549FA">
        <w:rPr>
          <w:lang w:bidi="he-IL"/>
        </w:rPr>
        <w:t xml:space="preserve">in year t and 0 otherwise. </w:t>
      </w:r>
      <w:r w:rsidR="00F74E3C">
        <w:rPr>
          <w:lang w:bidi="he-IL"/>
        </w:rPr>
        <w:t xml:space="preserve">Note that the cross-sectional average of </w:t>
      </w:r>
      <w:proofErr w:type="spellStart"/>
      <w:r w:rsidR="00F74E3C">
        <w:rPr>
          <w:lang w:bidi="he-IL"/>
        </w:rPr>
        <w:t>NegCFO</w:t>
      </w:r>
      <w:proofErr w:type="spellEnd"/>
      <w:r w:rsidR="00F74E3C">
        <w:rPr>
          <w:lang w:bidi="he-IL"/>
        </w:rPr>
        <w:t>*</w:t>
      </w:r>
      <w:proofErr w:type="spellStart"/>
      <w:r w:rsidR="00F74E3C" w:rsidRPr="006E5CE9">
        <w:rPr>
          <w:vertAlign w:val="subscript"/>
          <w:lang w:bidi="he-IL"/>
        </w:rPr>
        <w:t>j</w:t>
      </w:r>
      <w:proofErr w:type="gramStart"/>
      <w:r w:rsidR="00F74E3C" w:rsidRPr="006E5CE9">
        <w:rPr>
          <w:vertAlign w:val="subscript"/>
          <w:lang w:bidi="he-IL"/>
        </w:rPr>
        <w:t>,t</w:t>
      </w:r>
      <w:proofErr w:type="spellEnd"/>
      <w:proofErr w:type="gramEnd"/>
      <w:r w:rsidR="00F74E3C">
        <w:rPr>
          <w:lang w:bidi="he-IL"/>
        </w:rPr>
        <w:t xml:space="preserve"> </w:t>
      </w:r>
      <w:r w:rsidR="00660795">
        <w:rPr>
          <w:lang w:bidi="he-IL"/>
        </w:rPr>
        <w:t xml:space="preserve">and of </w:t>
      </w:r>
      <w:r w:rsidR="00F74E3C">
        <w:rPr>
          <w:lang w:bidi="he-IL"/>
        </w:rPr>
        <w:t>L</w:t>
      </w:r>
      <w:r w:rsidR="000127B3">
        <w:rPr>
          <w:lang w:bidi="he-IL"/>
        </w:rPr>
        <w:t>OSS</w:t>
      </w:r>
      <w:r w:rsidR="00F74E3C">
        <w:rPr>
          <w:lang w:bidi="he-IL"/>
        </w:rPr>
        <w:t>*</w:t>
      </w:r>
      <w:proofErr w:type="spellStart"/>
      <w:r w:rsidR="00F74E3C" w:rsidRPr="006E5CE9">
        <w:rPr>
          <w:vertAlign w:val="subscript"/>
          <w:lang w:bidi="he-IL"/>
        </w:rPr>
        <w:t>j,t</w:t>
      </w:r>
      <w:proofErr w:type="spellEnd"/>
      <w:r w:rsidR="00F74E3C">
        <w:rPr>
          <w:lang w:bidi="he-IL"/>
        </w:rPr>
        <w:t xml:space="preserve"> is equal to</w:t>
      </w:r>
      <w:r w:rsidR="001F6900">
        <w:rPr>
          <w:lang w:bidi="he-IL"/>
        </w:rPr>
        <w:t xml:space="preserve"> </w:t>
      </w:r>
      <w:r w:rsidR="00660795">
        <w:rPr>
          <w:lang w:bidi="he-IL"/>
        </w:rPr>
        <w:t>the</w:t>
      </w:r>
      <w:r w:rsidR="001F6900">
        <w:rPr>
          <w:lang w:bidi="he-IL"/>
        </w:rPr>
        <w:t xml:space="preserve"> variables</w:t>
      </w:r>
      <w:r w:rsidR="00F74E3C">
        <w:rPr>
          <w:lang w:bidi="he-IL"/>
        </w:rPr>
        <w:t xml:space="preserve"> </w:t>
      </w:r>
      <w:r w:rsidR="00660795">
        <w:rPr>
          <w:lang w:bidi="he-IL"/>
        </w:rPr>
        <w:t xml:space="preserve">in regression (7), </w:t>
      </w:r>
      <w:proofErr w:type="spellStart"/>
      <w:r w:rsidR="00F74E3C">
        <w:rPr>
          <w:lang w:bidi="he-IL"/>
        </w:rPr>
        <w:t>NegCFO</w:t>
      </w:r>
      <w:r w:rsidR="00F74E3C" w:rsidRPr="00DC4CD5">
        <w:rPr>
          <w:vertAlign w:val="subscript"/>
          <w:lang w:bidi="he-IL"/>
        </w:rPr>
        <w:t>t</w:t>
      </w:r>
      <w:proofErr w:type="spellEnd"/>
      <w:r w:rsidR="00F74E3C">
        <w:rPr>
          <w:lang w:bidi="he-IL"/>
        </w:rPr>
        <w:t xml:space="preserve"> (</w:t>
      </w:r>
      <w:r w:rsidR="00660795">
        <w:rPr>
          <w:lang w:bidi="he-IL"/>
        </w:rPr>
        <w:t xml:space="preserve">the </w:t>
      </w:r>
      <w:r w:rsidR="00F74E3C">
        <w:rPr>
          <w:lang w:bidi="he-IL"/>
        </w:rPr>
        <w:t xml:space="preserve">frequency of negative cash flow from operations in year t) and </w:t>
      </w:r>
      <w:proofErr w:type="spellStart"/>
      <w:r w:rsidR="00F74E3C">
        <w:rPr>
          <w:lang w:bidi="he-IL"/>
        </w:rPr>
        <w:t>L</w:t>
      </w:r>
      <w:r w:rsidR="00637A95">
        <w:rPr>
          <w:lang w:bidi="he-IL"/>
        </w:rPr>
        <w:t>OSS</w:t>
      </w:r>
      <w:r w:rsidR="00F74E3C" w:rsidRPr="00DC4CD5">
        <w:rPr>
          <w:vertAlign w:val="subscript"/>
          <w:lang w:bidi="he-IL"/>
        </w:rPr>
        <w:t>t</w:t>
      </w:r>
      <w:proofErr w:type="spellEnd"/>
      <w:r w:rsidR="00F74E3C">
        <w:rPr>
          <w:lang w:bidi="he-IL"/>
        </w:rPr>
        <w:t xml:space="preserve"> (</w:t>
      </w:r>
      <w:r w:rsidR="00660795">
        <w:rPr>
          <w:lang w:bidi="he-IL"/>
        </w:rPr>
        <w:t xml:space="preserve">the </w:t>
      </w:r>
      <w:r w:rsidR="00F74E3C">
        <w:rPr>
          <w:lang w:bidi="he-IL"/>
        </w:rPr>
        <w:t>frequency of losses in year t)</w:t>
      </w:r>
      <w:r w:rsidR="001F6900">
        <w:rPr>
          <w:lang w:bidi="he-IL"/>
        </w:rPr>
        <w:t>.</w:t>
      </w:r>
      <w:r w:rsidR="00F74E3C">
        <w:rPr>
          <w:lang w:bidi="he-IL"/>
        </w:rPr>
        <w:t xml:space="preserve"> </w:t>
      </w:r>
      <w:r w:rsidR="0012109C" w:rsidRPr="0023367D">
        <w:rPr>
          <w:lang w:bidi="he-IL"/>
        </w:rPr>
        <w:t>One variable in regression (7), the annual growth rate in GDP, does not appear explicitly in the firm-year regression as it does not vary across firms and is mostly captured by the year-fixed effects that we introduce</w:t>
      </w:r>
      <w:r w:rsidR="00722A41">
        <w:rPr>
          <w:lang w:bidi="he-IL"/>
        </w:rPr>
        <w:t xml:space="preserve"> to regression (8)</w:t>
      </w:r>
      <w:r w:rsidR="0012109C" w:rsidRPr="0023367D">
        <w:rPr>
          <w:lang w:bidi="he-IL"/>
        </w:rPr>
        <w:t xml:space="preserve">. </w:t>
      </w:r>
    </w:p>
    <w:p w14:paraId="3A50F8AC" w14:textId="674D70A6" w:rsidR="00511B4B" w:rsidRPr="0023367D" w:rsidRDefault="007B1DC7" w:rsidP="00511B4B">
      <w:pPr>
        <w:autoSpaceDE w:val="0"/>
        <w:autoSpaceDN w:val="0"/>
        <w:adjustRightInd w:val="0"/>
        <w:spacing w:line="480" w:lineRule="auto"/>
        <w:ind w:firstLine="720"/>
      </w:pPr>
      <w:r w:rsidRPr="0023367D">
        <w:t xml:space="preserve">The last </w:t>
      </w:r>
      <w:r w:rsidR="00FF3D83">
        <w:t xml:space="preserve">two pairs of </w:t>
      </w:r>
      <w:r w:rsidRPr="0023367D">
        <w:t>c</w:t>
      </w:r>
      <w:r w:rsidR="00335619" w:rsidRPr="0023367D">
        <w:t xml:space="preserve">olumns </w:t>
      </w:r>
      <w:r w:rsidR="00FF3D83">
        <w:t>in</w:t>
      </w:r>
      <w:r w:rsidR="00335619" w:rsidRPr="0023367D">
        <w:t xml:space="preserve"> Table 6 show the results of regression (8) </w:t>
      </w:r>
      <w:r w:rsidR="00FF3D83">
        <w:t>using INFO (A) and (B), respectively as the dependent variables.  INFO (A) require</w:t>
      </w:r>
      <w:r w:rsidR="00C72ED6">
        <w:t>s the use of a yield expectation model for which we use alternately bond valuation models (3) and (A1). INFO (B) requires the use of a return expectation model for which we use alternately return expectation models (5) and (A2).</w:t>
      </w:r>
      <w:r w:rsidR="0084558B">
        <w:t xml:space="preserve"> </w:t>
      </w:r>
      <w:r w:rsidR="00C72ED6">
        <w:t>The sign and significance of the coefficients reported in the table for firm-year regressions are fairly consistent with those reported for regression (7) estimated over the 39 sample years</w:t>
      </w:r>
      <w:r w:rsidR="00A70EC6">
        <w:t xml:space="preserve"> </w:t>
      </w:r>
      <w:r w:rsidR="00660795">
        <w:t xml:space="preserve">although </w:t>
      </w:r>
      <w:r w:rsidR="00A70EC6">
        <w:t>the significan</w:t>
      </w:r>
      <w:r w:rsidR="00722A41">
        <w:t>ce</w:t>
      </w:r>
      <w:r w:rsidR="00A70EC6">
        <w:t xml:space="preserve"> level varies</w:t>
      </w:r>
      <w:r w:rsidR="00C72ED6">
        <w:t xml:space="preserve">. PROB is positive but significant </w:t>
      </w:r>
      <w:r w:rsidR="00660795">
        <w:t xml:space="preserve">only </w:t>
      </w:r>
      <w:r w:rsidR="00C72ED6">
        <w:t xml:space="preserve">for INFO (B). </w:t>
      </w:r>
      <w:r w:rsidR="00A70EC6">
        <w:t xml:space="preserve">CONSERV is positive </w:t>
      </w:r>
      <w:r w:rsidR="006B7F53">
        <w:t>but only marginally</w:t>
      </w:r>
      <w:r w:rsidR="00A70EC6">
        <w:t xml:space="preserve"> significant for INFO (A) under valuation model (</w:t>
      </w:r>
      <w:r w:rsidR="000127B3">
        <w:t>A1</w:t>
      </w:r>
      <w:r w:rsidR="00A70EC6">
        <w:t>)</w:t>
      </w:r>
      <w:r w:rsidR="006B7F53">
        <w:t xml:space="preserve">. </w:t>
      </w:r>
    </w:p>
    <w:p w14:paraId="4F60AEFF" w14:textId="11084317" w:rsidR="00335619" w:rsidRPr="0023367D" w:rsidRDefault="006B7F53" w:rsidP="00647D21">
      <w:pPr>
        <w:autoSpaceDE w:val="0"/>
        <w:autoSpaceDN w:val="0"/>
        <w:adjustRightInd w:val="0"/>
        <w:spacing w:line="480" w:lineRule="auto"/>
        <w:ind w:firstLine="720"/>
      </w:pPr>
      <w:r>
        <w:t xml:space="preserve"> </w:t>
      </w:r>
      <w:r w:rsidR="00335619" w:rsidRPr="0023367D">
        <w:t xml:space="preserve">The coefficients on </w:t>
      </w:r>
      <w:r w:rsidR="00A70EC6">
        <w:t>L</w:t>
      </w:r>
      <w:r w:rsidR="000127B3">
        <w:t>OSS</w:t>
      </w:r>
      <w:r w:rsidR="00A70EC6">
        <w:t xml:space="preserve"> </w:t>
      </w:r>
      <w:r w:rsidR="0027634C">
        <w:t>are</w:t>
      </w:r>
      <w:r w:rsidR="00335619" w:rsidRPr="0023367D">
        <w:t xml:space="preserve"> positive and significant</w:t>
      </w:r>
      <w:r w:rsidR="0084558B">
        <w:t xml:space="preserve">. </w:t>
      </w:r>
      <w:r w:rsidR="00335619" w:rsidRPr="0023367D">
        <w:t xml:space="preserve">Interestingly, the incidence of losses </w:t>
      </w:r>
      <w:r w:rsidR="0027634C">
        <w:t xml:space="preserve">which is regarded as reducing </w:t>
      </w:r>
      <w:r w:rsidR="00335619" w:rsidRPr="0023367D">
        <w:t xml:space="preserve">the </w:t>
      </w:r>
      <w:r w:rsidR="0043047E" w:rsidRPr="0023367D">
        <w:t xml:space="preserve">relevance </w:t>
      </w:r>
      <w:r w:rsidR="00335619" w:rsidRPr="0023367D">
        <w:rPr>
          <w:lang w:bidi="he-IL"/>
        </w:rPr>
        <w:t>of accounting information</w:t>
      </w:r>
      <w:r w:rsidR="00335619" w:rsidRPr="0023367D">
        <w:t xml:space="preserve"> to stockholders (see, for example, </w:t>
      </w:r>
      <w:proofErr w:type="spellStart"/>
      <w:r w:rsidR="00335619" w:rsidRPr="0023367D">
        <w:t>Hayn</w:t>
      </w:r>
      <w:proofErr w:type="spellEnd"/>
      <w:r w:rsidR="00335619" w:rsidRPr="0023367D">
        <w:t xml:space="preserve"> (1995) and Collins et al. (1997)) renders accounting information more useful to bond holders</w:t>
      </w:r>
      <w:r w:rsidR="0084558B">
        <w:t>.</w:t>
      </w:r>
      <w:r w:rsidR="00A70EC6">
        <w:t xml:space="preserve"> Similar to its coefficient in regression (7), t</w:t>
      </w:r>
      <w:r w:rsidR="00335619" w:rsidRPr="0023367D">
        <w:t xml:space="preserve">he </w:t>
      </w:r>
      <w:r w:rsidR="00A70EC6">
        <w:t xml:space="preserve">variable Intangibles in regression (8) is generally negative and significant. </w:t>
      </w:r>
      <w:r w:rsidR="00A70EC6" w:rsidRPr="0023367D">
        <w:t>The coefficient</w:t>
      </w:r>
      <w:r w:rsidR="00A70EC6">
        <w:t>s</w:t>
      </w:r>
      <w:r w:rsidR="00A70EC6" w:rsidRPr="0023367D">
        <w:t xml:space="preserve"> on </w:t>
      </w:r>
      <w:proofErr w:type="spellStart"/>
      <w:r w:rsidR="00A70EC6" w:rsidRPr="0023367D">
        <w:t>VRatio</w:t>
      </w:r>
      <w:proofErr w:type="spellEnd"/>
      <w:r>
        <w:t xml:space="preserve"> are insignificant</w:t>
      </w:r>
      <w:r w:rsidR="00E40C64">
        <w:t>,</w:t>
      </w:r>
      <w:r>
        <w:t xml:space="preserve"> except for marginal significance for INFO (B) when </w:t>
      </w:r>
      <w:r w:rsidR="00E40C64">
        <w:t xml:space="preserve">the </w:t>
      </w:r>
      <w:r>
        <w:t xml:space="preserve">expected return is computed from return model </w:t>
      </w:r>
      <w:r w:rsidR="000127B3">
        <w:t>5</w:t>
      </w:r>
      <w:r>
        <w:t xml:space="preserve">. </w:t>
      </w:r>
    </w:p>
    <w:p w14:paraId="4B2639F6" w14:textId="4BCF254D" w:rsidR="00335619" w:rsidRPr="0023367D" w:rsidRDefault="00335619" w:rsidP="00511B4B">
      <w:pPr>
        <w:autoSpaceDE w:val="0"/>
        <w:autoSpaceDN w:val="0"/>
        <w:adjustRightInd w:val="0"/>
        <w:spacing w:line="480" w:lineRule="auto"/>
        <w:ind w:firstLine="720"/>
      </w:pPr>
      <w:r w:rsidRPr="0023367D">
        <w:t xml:space="preserve">As hypothesized, the collective results from regressions (7) and (8) </w:t>
      </w:r>
      <w:r w:rsidR="00E40C64">
        <w:t>indicate</w:t>
      </w:r>
      <w:r w:rsidR="00E40C64" w:rsidRPr="0023367D">
        <w:t xml:space="preserve"> </w:t>
      </w:r>
      <w:r w:rsidR="0027634C">
        <w:t xml:space="preserve">that </w:t>
      </w:r>
      <w:r w:rsidRPr="0023367D">
        <w:t>changes in credit risk as captured by PROB are positively associated with the information content of accounting numbers to bond holders</w:t>
      </w:r>
      <w:r w:rsidR="0084558B">
        <w:t xml:space="preserve">. </w:t>
      </w:r>
      <w:r w:rsidRPr="0023367D">
        <w:t>Reporting and hybrid factors also influence the change in relevance</w:t>
      </w:r>
      <w:r w:rsidR="0084558B">
        <w:t xml:space="preserve">. </w:t>
      </w:r>
      <w:r w:rsidRPr="0023367D">
        <w:t>The results further suggest that the shift towards fair value measurement</w:t>
      </w:r>
      <w:r w:rsidR="000127B3">
        <w:t>,</w:t>
      </w:r>
      <w:r w:rsidRPr="0023367D">
        <w:t xml:space="preserve"> the increase in the frequency of losses</w:t>
      </w:r>
      <w:r w:rsidR="000127B3">
        <w:t>,</w:t>
      </w:r>
      <w:r w:rsidRPr="0023367D">
        <w:t xml:space="preserve"> </w:t>
      </w:r>
      <w:r w:rsidR="000127B3" w:rsidRPr="002A30E8">
        <w:t xml:space="preserve">and the </w:t>
      </w:r>
      <w:r w:rsidR="000127B3" w:rsidRPr="001161C5">
        <w:t>increase in conservatism</w:t>
      </w:r>
      <w:r w:rsidR="000127B3" w:rsidRPr="002A30E8">
        <w:t xml:space="preserve"> </w:t>
      </w:r>
      <w:r w:rsidRPr="002A30E8">
        <w:t>have</w:t>
      </w:r>
      <w:r w:rsidRPr="0023367D">
        <w:t xml:space="preserve"> made accounting information more useful for bond holders</w:t>
      </w:r>
      <w:r w:rsidR="0084558B">
        <w:t xml:space="preserve">. </w:t>
      </w:r>
      <w:r w:rsidRPr="0023367D">
        <w:t>In contrast, the increase in the intensity of investment in intangibles has reduced this usefulness</w:t>
      </w:r>
      <w:r w:rsidR="0084558B">
        <w:t xml:space="preserve">. </w:t>
      </w:r>
    </w:p>
    <w:p w14:paraId="148A7D98" w14:textId="06681591" w:rsidR="00335619" w:rsidRPr="0023367D" w:rsidRDefault="00511B4B" w:rsidP="00647D21">
      <w:pPr>
        <w:autoSpaceDE w:val="0"/>
        <w:autoSpaceDN w:val="0"/>
        <w:adjustRightInd w:val="0"/>
        <w:spacing w:line="480" w:lineRule="auto"/>
        <w:ind w:firstLine="720"/>
      </w:pPr>
      <w:r>
        <w:t xml:space="preserve">Finally, </w:t>
      </w:r>
      <w:r w:rsidR="00335619" w:rsidRPr="0023367D">
        <w:t xml:space="preserve">the relative contribution of the reporting and reporting-related factors to the </w:t>
      </w:r>
      <w:r w:rsidR="00335619" w:rsidRPr="0023367D">
        <w:rPr>
          <w:lang w:bidi="he-IL"/>
        </w:rPr>
        <w:t>usefulness of accounting information</w:t>
      </w:r>
      <w:r w:rsidR="00335619" w:rsidRPr="0023367D">
        <w:t xml:space="preserve"> to bond holders</w:t>
      </w:r>
      <w:r>
        <w:t xml:space="preserve"> </w:t>
      </w:r>
      <w:r w:rsidR="006E1A8C">
        <w:t xml:space="preserve">is somewhat lower when usefulness is estimated from firm-years and captured by </w:t>
      </w:r>
      <w:r>
        <w:t>INFO (</w:t>
      </w:r>
      <w:r w:rsidR="00E40C64">
        <w:sym w:font="Wingdings" w:char="F09E"/>
      </w:r>
      <w:r>
        <w:t>)</w:t>
      </w:r>
      <w:r w:rsidR="006E1A8C">
        <w:t xml:space="preserve">, but still non-trivial. </w:t>
      </w:r>
      <w:r w:rsidR="00335619" w:rsidRPr="0023367D">
        <w:t>As the last two rows in Table 6 show, depending on the model</w:t>
      </w:r>
      <w:r w:rsidR="006E1A8C">
        <w:t xml:space="preserve">, </w:t>
      </w:r>
      <w:r w:rsidR="00335619" w:rsidRPr="0023367D">
        <w:t xml:space="preserve">these factors </w:t>
      </w:r>
      <w:r w:rsidR="00647D21">
        <w:t xml:space="preserve">contribute </w:t>
      </w:r>
      <w:r w:rsidR="00335619" w:rsidRPr="0023367D">
        <w:t xml:space="preserve">between </w:t>
      </w:r>
      <w:r w:rsidR="006E1A8C">
        <w:t>15.8</w:t>
      </w:r>
      <w:r w:rsidR="00335619" w:rsidRPr="0023367D">
        <w:t xml:space="preserve">% </w:t>
      </w:r>
      <w:r w:rsidR="00647D21">
        <w:t>and</w:t>
      </w:r>
      <w:r w:rsidR="00335619" w:rsidRPr="0023367D">
        <w:t xml:space="preserve"> </w:t>
      </w:r>
      <w:r w:rsidR="006E1A8C">
        <w:t>33.5</w:t>
      </w:r>
      <w:r w:rsidR="00335619" w:rsidRPr="0023367D">
        <w:t xml:space="preserve">% of the total explained variation in </w:t>
      </w:r>
      <w:r w:rsidR="0043047E" w:rsidRPr="0023367D">
        <w:t xml:space="preserve">accounting </w:t>
      </w:r>
      <w:r w:rsidR="0043047E" w:rsidRPr="004E549C">
        <w:t xml:space="preserve">relevance </w:t>
      </w:r>
      <w:r w:rsidR="00335619" w:rsidRPr="004E549C">
        <w:t>across firm-years.</w:t>
      </w:r>
      <w:r w:rsidR="00335619" w:rsidRPr="0023367D">
        <w:t xml:space="preserve"> </w:t>
      </w:r>
    </w:p>
    <w:p w14:paraId="5CC19A1F" w14:textId="77777777" w:rsidR="00335619" w:rsidRPr="0023367D" w:rsidRDefault="00122631" w:rsidP="00BD405B">
      <w:pPr>
        <w:keepNext/>
        <w:autoSpaceDE w:val="0"/>
        <w:autoSpaceDN w:val="0"/>
        <w:adjustRightInd w:val="0"/>
        <w:spacing w:before="120" w:line="480" w:lineRule="auto"/>
        <w:outlineLvl w:val="0"/>
        <w:rPr>
          <w:b/>
          <w:bCs/>
        </w:rPr>
      </w:pPr>
      <w:r w:rsidRPr="0023367D">
        <w:rPr>
          <w:b/>
          <w:bCs/>
        </w:rPr>
        <w:t>7</w:t>
      </w:r>
      <w:r w:rsidR="0084558B">
        <w:rPr>
          <w:b/>
          <w:bCs/>
        </w:rPr>
        <w:t xml:space="preserve">. </w:t>
      </w:r>
      <w:r w:rsidR="00335619" w:rsidRPr="0023367D">
        <w:rPr>
          <w:b/>
          <w:bCs/>
        </w:rPr>
        <w:t>Additional Tests</w:t>
      </w:r>
    </w:p>
    <w:p w14:paraId="0A426FAE" w14:textId="77777777" w:rsidR="00335619" w:rsidRPr="0023367D" w:rsidRDefault="00122631" w:rsidP="003361D5">
      <w:pPr>
        <w:keepNext/>
        <w:autoSpaceDE w:val="0"/>
        <w:autoSpaceDN w:val="0"/>
        <w:adjustRightInd w:val="0"/>
        <w:spacing w:line="480" w:lineRule="auto"/>
      </w:pPr>
      <w:r w:rsidRPr="0023367D">
        <w:rPr>
          <w:b/>
          <w:bCs/>
        </w:rPr>
        <w:t>7</w:t>
      </w:r>
      <w:r w:rsidR="00335619" w:rsidRPr="0023367D">
        <w:rPr>
          <w:b/>
          <w:bCs/>
        </w:rPr>
        <w:t>.1. Information content of accounting numbers relative to market-based variables.</w:t>
      </w:r>
      <w:r w:rsidR="00335619" w:rsidRPr="0023367D">
        <w:t xml:space="preserve"> </w:t>
      </w:r>
    </w:p>
    <w:p w14:paraId="31C32693" w14:textId="64D6CFF0" w:rsidR="00335619" w:rsidRPr="0023367D" w:rsidRDefault="00335619" w:rsidP="003361D5">
      <w:pPr>
        <w:keepNext/>
        <w:autoSpaceDE w:val="0"/>
        <w:autoSpaceDN w:val="0"/>
        <w:adjustRightInd w:val="0"/>
        <w:spacing w:line="480" w:lineRule="auto"/>
        <w:ind w:firstLine="540"/>
      </w:pPr>
      <w:r w:rsidRPr="0023367D">
        <w:t xml:space="preserve">The </w:t>
      </w:r>
      <w:r w:rsidR="0043047E" w:rsidRPr="0023367D">
        <w:t xml:space="preserve">relevance </w:t>
      </w:r>
      <w:r w:rsidRPr="0023367D">
        <w:t xml:space="preserve">of accounting information in determining bond valuation and returns is measured in both absolute </w:t>
      </w:r>
      <w:r w:rsidR="00B549C2">
        <w:t xml:space="preserve">terms </w:t>
      </w:r>
      <w:r w:rsidRPr="0023367D">
        <w:t>and relative</w:t>
      </w:r>
      <w:r w:rsidR="00E40C64">
        <w:t xml:space="preserve"> </w:t>
      </w:r>
      <w:r w:rsidRPr="0023367D">
        <w:t>to the</w:t>
      </w:r>
      <w:r w:rsidR="0043047E" w:rsidRPr="0023367D">
        <w:t xml:space="preserve"> relevance </w:t>
      </w:r>
      <w:r w:rsidRPr="0023367D">
        <w:t>of non-accounting market-based variables</w:t>
      </w:r>
      <w:r w:rsidR="0084558B">
        <w:t xml:space="preserve">. </w:t>
      </w:r>
      <w:r w:rsidRPr="0023367D">
        <w:t xml:space="preserve">The </w:t>
      </w:r>
      <w:r w:rsidRPr="0023367D">
        <w:rPr>
          <w:i/>
          <w:iCs/>
        </w:rPr>
        <w:t>absolute</w:t>
      </w:r>
      <w:r w:rsidR="0043047E" w:rsidRPr="0023367D">
        <w:rPr>
          <w:i/>
          <w:iCs/>
        </w:rPr>
        <w:t xml:space="preserve"> </w:t>
      </w:r>
      <w:r w:rsidRPr="0023367D">
        <w:t>information content of accounting numbers, R</w:t>
      </w:r>
      <w:r w:rsidRPr="0023367D">
        <w:rPr>
          <w:vertAlign w:val="superscript"/>
        </w:rPr>
        <w:t>2</w:t>
      </w:r>
      <w:r w:rsidRPr="0023367D">
        <w:rPr>
          <w:vertAlign w:val="subscript"/>
        </w:rPr>
        <w:t>ACCT</w:t>
      </w:r>
      <w:r w:rsidRPr="0023367D">
        <w:t>, is captured by the adjusted R</w:t>
      </w:r>
      <w:r w:rsidRPr="0023367D">
        <w:rPr>
          <w:vertAlign w:val="superscript"/>
        </w:rPr>
        <w:t>2</w:t>
      </w:r>
      <w:r w:rsidRPr="0023367D">
        <w:t xml:space="preserve"> of the applicable model when that model is estimated in a reduced form that contains only </w:t>
      </w:r>
      <w:r w:rsidR="003361D5">
        <w:t xml:space="preserve">the </w:t>
      </w:r>
      <w:r w:rsidRPr="0023367D">
        <w:t>accounting-based variables</w:t>
      </w:r>
      <w:r w:rsidR="0084558B">
        <w:t xml:space="preserve">. </w:t>
      </w:r>
      <w:r w:rsidRPr="0023367D">
        <w:t xml:space="preserve">The </w:t>
      </w:r>
      <w:r w:rsidRPr="0023367D">
        <w:rPr>
          <w:i/>
          <w:iCs/>
        </w:rPr>
        <w:t>relative</w:t>
      </w:r>
      <w:r w:rsidRPr="0023367D">
        <w:t xml:space="preserve"> </w:t>
      </w:r>
      <w:r w:rsidR="0043047E" w:rsidRPr="0023367D">
        <w:t>relevance</w:t>
      </w:r>
      <w:r w:rsidRPr="0023367D">
        <w:t xml:space="preserve"> of accounting variables, denoted as Relative R</w:t>
      </w:r>
      <w:r w:rsidRPr="0023367D">
        <w:rPr>
          <w:vertAlign w:val="superscript"/>
        </w:rPr>
        <w:t>2</w:t>
      </w:r>
      <w:r w:rsidRPr="0023367D">
        <w:rPr>
          <w:vertAlign w:val="subscript"/>
        </w:rPr>
        <w:t>ACCT</w:t>
      </w:r>
      <w:r w:rsidRPr="0023367D">
        <w:t>, is the incremental explanatory power of the model contributed by the group of the accounting variables, divided by the explanatory power of the full model</w:t>
      </w:r>
      <w:r w:rsidR="0084558B">
        <w:t xml:space="preserve">. </w:t>
      </w:r>
      <w:r w:rsidRPr="0023367D">
        <w:t>The significance of the incremental explanatory power of the set of accounting-based variables to the full model is assessed by the Shapley value (Shapley 1953).</w:t>
      </w:r>
    </w:p>
    <w:p w14:paraId="26ABB05E" w14:textId="77777777" w:rsidR="00335619" w:rsidRPr="0023367D" w:rsidRDefault="00335619" w:rsidP="00335619">
      <w:pPr>
        <w:spacing w:line="480" w:lineRule="auto"/>
        <w:ind w:firstLine="540"/>
        <w:rPr>
          <w:shd w:val="clear" w:color="auto" w:fill="FFFFFF"/>
        </w:rPr>
      </w:pPr>
      <w:r w:rsidRPr="0023367D">
        <w:rPr>
          <w:shd w:val="clear" w:color="auto" w:fill="FFFFFF"/>
        </w:rPr>
        <w:t xml:space="preserve">Even though the absolute explanatory power of accounting variables with respect to bond valuation </w:t>
      </w:r>
      <w:r w:rsidR="003716D2" w:rsidRPr="0023367D">
        <w:rPr>
          <w:shd w:val="clear" w:color="auto" w:fill="FFFFFF"/>
        </w:rPr>
        <w:t xml:space="preserve">and returns </w:t>
      </w:r>
      <w:r w:rsidRPr="0023367D">
        <w:rPr>
          <w:shd w:val="clear" w:color="auto" w:fill="FFFFFF"/>
        </w:rPr>
        <w:t>(R</w:t>
      </w:r>
      <w:r w:rsidRPr="0023367D">
        <w:rPr>
          <w:shd w:val="clear" w:color="auto" w:fill="FFFFFF"/>
          <w:vertAlign w:val="superscript"/>
        </w:rPr>
        <w:t>2</w:t>
      </w:r>
      <w:r w:rsidRPr="0023367D">
        <w:rPr>
          <w:shd w:val="clear" w:color="auto" w:fill="FFFFFF"/>
          <w:vertAlign w:val="subscript"/>
        </w:rPr>
        <w:t>ACCT</w:t>
      </w:r>
      <w:r w:rsidRPr="0023367D">
        <w:rPr>
          <w:shd w:val="clear" w:color="auto" w:fill="FFFFFF"/>
        </w:rPr>
        <w:t>) increased over time, the relative contribution (Relative R</w:t>
      </w:r>
      <w:r w:rsidRPr="0023367D">
        <w:rPr>
          <w:shd w:val="clear" w:color="auto" w:fill="FFFFFF"/>
          <w:vertAlign w:val="superscript"/>
        </w:rPr>
        <w:t>2</w:t>
      </w:r>
      <w:r w:rsidRPr="0023367D">
        <w:rPr>
          <w:shd w:val="clear" w:color="auto" w:fill="FFFFFF"/>
          <w:vertAlign w:val="subscript"/>
        </w:rPr>
        <w:t>ACCT</w:t>
      </w:r>
      <w:r w:rsidRPr="0023367D">
        <w:rPr>
          <w:shd w:val="clear" w:color="auto" w:fill="FFFFFF"/>
        </w:rPr>
        <w:t xml:space="preserve">) </w:t>
      </w:r>
      <w:r w:rsidR="00892609" w:rsidRPr="0023367D">
        <w:rPr>
          <w:shd w:val="clear" w:color="auto" w:fill="FFFFFF"/>
        </w:rPr>
        <w:t>generally</w:t>
      </w:r>
      <w:r w:rsidRPr="0023367D">
        <w:rPr>
          <w:shd w:val="clear" w:color="auto" w:fill="FFFFFF"/>
        </w:rPr>
        <w:t xml:space="preserve"> declined (see Table 7)</w:t>
      </w:r>
      <w:r w:rsidR="0084558B">
        <w:rPr>
          <w:shd w:val="clear" w:color="auto" w:fill="FFFFFF"/>
        </w:rPr>
        <w:t xml:space="preserve">. </w:t>
      </w:r>
      <w:r w:rsidRPr="0023367D">
        <w:rPr>
          <w:shd w:val="clear" w:color="auto" w:fill="FFFFFF"/>
        </w:rPr>
        <w:t>This decline is observed for both valuation model (3) and return model (5)</w:t>
      </w:r>
      <w:r w:rsidR="0084558B">
        <w:rPr>
          <w:shd w:val="clear" w:color="auto" w:fill="FFFFFF"/>
        </w:rPr>
        <w:t xml:space="preserve">. </w:t>
      </w:r>
      <w:r w:rsidRPr="0023367D">
        <w:rPr>
          <w:shd w:val="clear" w:color="auto" w:fill="FFFFFF"/>
        </w:rPr>
        <w:t xml:space="preserve">The last row in Table 7 presents the results from the trend-line regression estimated over the 39-year period </w:t>
      </w:r>
      <w:r w:rsidR="003361D5">
        <w:rPr>
          <w:shd w:val="clear" w:color="auto" w:fill="FFFFFF"/>
        </w:rPr>
        <w:t xml:space="preserve">from </w:t>
      </w:r>
      <w:r w:rsidRPr="0023367D">
        <w:rPr>
          <w:shd w:val="clear" w:color="auto" w:fill="FFFFFF"/>
        </w:rPr>
        <w:t>1975 to 2013</w:t>
      </w:r>
      <w:r w:rsidR="0084558B">
        <w:rPr>
          <w:shd w:val="clear" w:color="auto" w:fill="FFFFFF"/>
        </w:rPr>
        <w:t xml:space="preserve">. </w:t>
      </w:r>
      <w:r w:rsidRPr="0023367D">
        <w:rPr>
          <w:shd w:val="clear" w:color="auto" w:fill="FFFFFF"/>
        </w:rPr>
        <w:t xml:space="preserve">For the homogenous-liquid subsample, the relative explanatory power of accounting information declined for bond valuation (average annual decline of </w:t>
      </w:r>
      <w:r w:rsidRPr="0023367D">
        <w:t>0.497%</w:t>
      </w:r>
      <w:r w:rsidRPr="0023367D">
        <w:rPr>
          <w:shd w:val="clear" w:color="auto" w:fill="FFFFFF"/>
        </w:rPr>
        <w:t>, t-value of -2.16) and for bond returns (average annual decline of 0.618%, t-value of -1.62)</w:t>
      </w:r>
      <w:r w:rsidR="0084558B">
        <w:rPr>
          <w:shd w:val="clear" w:color="auto" w:fill="FFFFFF"/>
        </w:rPr>
        <w:t xml:space="preserve">. </w:t>
      </w:r>
      <w:r w:rsidRPr="0023367D">
        <w:rPr>
          <w:shd w:val="clear" w:color="auto" w:fill="FFFFFF"/>
        </w:rPr>
        <w:t xml:space="preserve">The </w:t>
      </w:r>
      <w:proofErr w:type="spellStart"/>
      <w:r w:rsidRPr="0023367D">
        <w:rPr>
          <w:shd w:val="clear" w:color="auto" w:fill="FFFFFF"/>
        </w:rPr>
        <w:t>untabulated</w:t>
      </w:r>
      <w:proofErr w:type="spellEnd"/>
      <w:r w:rsidRPr="0023367D">
        <w:rPr>
          <w:shd w:val="clear" w:color="auto" w:fill="FFFFFF"/>
        </w:rPr>
        <w:t xml:space="preserve"> results for the bond return model (A2) show a similar trend (average annual decline of 0.774%, t-value of -2.32) but for bond valuation model (A1) the trend coefficient is insignificant (average annual increase of 0.100%, t-value of 0.33). </w:t>
      </w:r>
    </w:p>
    <w:p w14:paraId="2399CD42" w14:textId="1FF429A5" w:rsidR="00156800" w:rsidRPr="0023367D" w:rsidRDefault="00335619" w:rsidP="00647D21">
      <w:pPr>
        <w:autoSpaceDE w:val="0"/>
        <w:autoSpaceDN w:val="0"/>
        <w:adjustRightInd w:val="0"/>
        <w:spacing w:line="480" w:lineRule="auto"/>
        <w:ind w:firstLine="720"/>
        <w:contextualSpacing/>
      </w:pPr>
      <w:r w:rsidRPr="0023367D">
        <w:t xml:space="preserve">This decline in the </w:t>
      </w:r>
      <w:r w:rsidRPr="0023367D">
        <w:rPr>
          <w:i/>
          <w:iCs/>
        </w:rPr>
        <w:t>relative</w:t>
      </w:r>
      <w:r w:rsidRPr="0023367D">
        <w:t xml:space="preserve"> contribution of accounting variables to bond valuation and returns (and its flip side – the increase in the relative contribution of market-based information) merits an explanation</w:t>
      </w:r>
      <w:r w:rsidR="0084558B">
        <w:t xml:space="preserve">. </w:t>
      </w:r>
      <w:r w:rsidR="005929EA">
        <w:t xml:space="preserve">We conjecture </w:t>
      </w:r>
      <w:r w:rsidRPr="0023367D">
        <w:t>that Relative R</w:t>
      </w:r>
      <w:r w:rsidRPr="0023367D">
        <w:rPr>
          <w:vertAlign w:val="superscript"/>
        </w:rPr>
        <w:t>2</w:t>
      </w:r>
      <w:r w:rsidRPr="0023367D">
        <w:rPr>
          <w:vertAlign w:val="subscript"/>
        </w:rPr>
        <w:t>ACCT</w:t>
      </w:r>
      <w:r w:rsidRPr="0023367D">
        <w:t xml:space="preserve"> is likely to understate the weight of accounting inputs in debt valuation for at least two reasons</w:t>
      </w:r>
      <w:r w:rsidR="00B43CFE" w:rsidRPr="0023367D">
        <w:t xml:space="preserve">. </w:t>
      </w:r>
      <w:r w:rsidR="00156800" w:rsidRPr="0023367D">
        <w:t xml:space="preserve">First, the bond valuation and return models used in this study do not incorporate every piece of information contained in </w:t>
      </w:r>
      <w:r w:rsidR="005929EA">
        <w:t xml:space="preserve">the </w:t>
      </w:r>
      <w:r w:rsidR="00156800" w:rsidRPr="0023367D">
        <w:t xml:space="preserve">financial statements. There </w:t>
      </w:r>
      <w:r w:rsidR="003361D5">
        <w:t>has been</w:t>
      </w:r>
      <w:r w:rsidR="003361D5" w:rsidRPr="0023367D">
        <w:t xml:space="preserve"> </w:t>
      </w:r>
      <w:r w:rsidR="00156800" w:rsidRPr="0023367D">
        <w:t>a steady increase over time in the extent of disclosures required in the 10</w:t>
      </w:r>
      <w:r w:rsidR="003361D5">
        <w:t>-</w:t>
      </w:r>
      <w:r w:rsidR="00156800" w:rsidRPr="0023367D">
        <w:t>K and 10</w:t>
      </w:r>
      <w:r w:rsidR="003361D5">
        <w:t>-</w:t>
      </w:r>
      <w:r w:rsidR="00156800" w:rsidRPr="0023367D">
        <w:t xml:space="preserve">Q. These disclosures are in the form </w:t>
      </w:r>
      <w:r w:rsidR="00191596" w:rsidRPr="0023367D">
        <w:t xml:space="preserve">of </w:t>
      </w:r>
      <w:r w:rsidR="00156800" w:rsidRPr="0023367D">
        <w:t>new schedules, expanded footnotes, and a more detailed MD&amp;A section.</w:t>
      </w:r>
      <w:r w:rsidR="00156800" w:rsidRPr="0023367D">
        <w:rPr>
          <w:rStyle w:val="FootnoteReference"/>
        </w:rPr>
        <w:footnoteReference w:id="31"/>
      </w:r>
      <w:r w:rsidR="00156800" w:rsidRPr="0023367D">
        <w:t xml:space="preserve">  They cover diverse aspects of </w:t>
      </w:r>
      <w:r w:rsidR="00746D3A" w:rsidRPr="0023367D">
        <w:t xml:space="preserve">a </w:t>
      </w:r>
      <w:r w:rsidR="00156800" w:rsidRPr="0023367D">
        <w:t xml:space="preserve">firm’s operations, including derivatives, fair values, pensions, taxes, revenue recognition, corporate governance and compensation. This </w:t>
      </w:r>
      <w:r w:rsidR="00D33EFD" w:rsidRPr="0023367D">
        <w:t xml:space="preserve">additional </w:t>
      </w:r>
      <w:r w:rsidR="00156800" w:rsidRPr="0023367D">
        <w:t xml:space="preserve">information </w:t>
      </w:r>
      <w:r w:rsidR="005929EA">
        <w:t xml:space="preserve">is not represented in the </w:t>
      </w:r>
      <w:r w:rsidR="0052254D">
        <w:t xml:space="preserve">bond valuation and return models. Yet, it </w:t>
      </w:r>
      <w:r w:rsidR="00156800" w:rsidRPr="0023367D">
        <w:t xml:space="preserve">is used by investors or intermediaries such as analysts and bond rating agencies to supplement or adjust the </w:t>
      </w:r>
      <w:r w:rsidR="00881CFD" w:rsidRPr="0023367D">
        <w:t xml:space="preserve">reported </w:t>
      </w:r>
      <w:r w:rsidR="00156800" w:rsidRPr="0023367D">
        <w:t xml:space="preserve">numbers </w:t>
      </w:r>
      <w:r w:rsidR="00881CFD" w:rsidRPr="0023367D">
        <w:t>in the primary financial statement</w:t>
      </w:r>
      <w:r w:rsidR="003361D5">
        <w:t>s</w:t>
      </w:r>
      <w:r w:rsidR="00881CFD" w:rsidRPr="0023367D">
        <w:t xml:space="preserve"> </w:t>
      </w:r>
      <w:r w:rsidR="00156800" w:rsidRPr="0023367D">
        <w:t xml:space="preserve">(such as net income or </w:t>
      </w:r>
      <w:r w:rsidR="00E40C64">
        <w:t xml:space="preserve">the </w:t>
      </w:r>
      <w:r w:rsidR="00156800" w:rsidRPr="0023367D">
        <w:t xml:space="preserve">book value of equity). This information may affect bond valuation directly or indirectly (e.g., through credit ratings, see </w:t>
      </w:r>
      <w:proofErr w:type="spellStart"/>
      <w:r w:rsidR="00156800" w:rsidRPr="0023367D">
        <w:t>Batta</w:t>
      </w:r>
      <w:proofErr w:type="spellEnd"/>
      <w:r w:rsidR="00156800" w:rsidRPr="0023367D">
        <w:t xml:space="preserve"> 2011)</w:t>
      </w:r>
      <w:r w:rsidR="00881CFD" w:rsidRPr="0023367D">
        <w:t>.</w:t>
      </w:r>
      <w:r w:rsidR="00156800" w:rsidRPr="0023367D">
        <w:t xml:space="preserve"> </w:t>
      </w:r>
      <w:r w:rsidR="0052254D">
        <w:t xml:space="preserve">A second reason for the decline in the relative weight of the </w:t>
      </w:r>
      <w:r w:rsidR="00E40C64">
        <w:t xml:space="preserve">primary </w:t>
      </w:r>
      <w:r w:rsidR="0052254D">
        <w:t xml:space="preserve">accounting numbers such as earnings or </w:t>
      </w:r>
      <w:r w:rsidR="00E40C64">
        <w:t xml:space="preserve">the </w:t>
      </w:r>
      <w:r w:rsidR="0052254D">
        <w:t xml:space="preserve">book value of equity in explaining </w:t>
      </w:r>
      <w:r w:rsidR="00E40C64">
        <w:t xml:space="preserve">the </w:t>
      </w:r>
      <w:r w:rsidR="0052254D">
        <w:t>cross sectional and intertemporal variation in bond yields and return</w:t>
      </w:r>
      <w:r w:rsidR="00E40C64">
        <w:t>s</w:t>
      </w:r>
      <w:r w:rsidR="0052254D">
        <w:t xml:space="preserve"> may be the </w:t>
      </w:r>
      <w:r w:rsidR="00156800" w:rsidRPr="0023367D">
        <w:t>expansion in voluntary non-accounting disclosures by firms</w:t>
      </w:r>
      <w:r w:rsidR="002B7153" w:rsidRPr="0023367D">
        <w:t>.</w:t>
      </w:r>
      <w:r w:rsidR="00156800" w:rsidRPr="0023367D">
        <w:t xml:space="preserve"> Some of this supplemental information is disclosed through press releases, social responsibility reports and internal control reporting</w:t>
      </w:r>
      <w:r w:rsidR="0084558B">
        <w:t xml:space="preserve">. </w:t>
      </w:r>
      <w:r w:rsidR="00156800" w:rsidRPr="0023367D">
        <w:t xml:space="preserve">There has also been an expansion of information produced by advisory services that provide value-relevant information through indicators of audit quality, governance quality and social responsibility. The combined effect of these trends is to reduce the weight of </w:t>
      </w:r>
      <w:r w:rsidR="009874DA" w:rsidRPr="0023367D">
        <w:t xml:space="preserve">reported </w:t>
      </w:r>
      <w:r w:rsidR="00156800" w:rsidRPr="0023367D">
        <w:rPr>
          <w:lang w:bidi="he-IL"/>
        </w:rPr>
        <w:t xml:space="preserve">accounting numbers in the </w:t>
      </w:r>
      <w:r w:rsidR="00156800" w:rsidRPr="0023367D">
        <w:t xml:space="preserve">overall </w:t>
      </w:r>
      <w:r w:rsidR="007D531B">
        <w:t xml:space="preserve">set of </w:t>
      </w:r>
      <w:r w:rsidR="00156800" w:rsidRPr="0023367D">
        <w:t xml:space="preserve">value-relevant information available to investors. </w:t>
      </w:r>
    </w:p>
    <w:p w14:paraId="5E641EE9" w14:textId="77777777" w:rsidR="000E033F" w:rsidRDefault="0052254D" w:rsidP="000E033F">
      <w:pPr>
        <w:spacing w:line="480" w:lineRule="auto"/>
        <w:ind w:firstLine="540"/>
      </w:pPr>
      <w:r>
        <w:t>For these reasons, t</w:t>
      </w:r>
      <w:r w:rsidR="00335619" w:rsidRPr="0023367D">
        <w:t>he observed decline in the relative explanatory power of accounting information is not necessarily reflective of deficiencies in the current reporting system</w:t>
      </w:r>
      <w:r w:rsidR="0084558B">
        <w:t xml:space="preserve">. </w:t>
      </w:r>
      <w:r w:rsidR="00335619" w:rsidRPr="0023367D">
        <w:t xml:space="preserve">It is more likely a result of the increasing supplemental information on a firm from internal and external sources. </w:t>
      </w:r>
    </w:p>
    <w:p w14:paraId="4202CADA" w14:textId="77777777" w:rsidR="000E033F" w:rsidRDefault="00122631" w:rsidP="000E033F">
      <w:pPr>
        <w:spacing w:line="480" w:lineRule="auto"/>
        <w:rPr>
          <w:b/>
          <w:bCs/>
        </w:rPr>
      </w:pPr>
      <w:r w:rsidRPr="0023367D">
        <w:rPr>
          <w:b/>
          <w:bCs/>
        </w:rPr>
        <w:t>7</w:t>
      </w:r>
      <w:r w:rsidR="00335619" w:rsidRPr="0023367D">
        <w:rPr>
          <w:b/>
          <w:bCs/>
        </w:rPr>
        <w:t>.</w:t>
      </w:r>
      <w:r w:rsidR="00966AC1" w:rsidRPr="0023367D">
        <w:rPr>
          <w:b/>
          <w:bCs/>
        </w:rPr>
        <w:t>2</w:t>
      </w:r>
      <w:r w:rsidR="0084558B">
        <w:rPr>
          <w:b/>
          <w:bCs/>
        </w:rPr>
        <w:t xml:space="preserve">. </w:t>
      </w:r>
      <w:r w:rsidR="00335619" w:rsidRPr="0023367D">
        <w:rPr>
          <w:rStyle w:val="FootnoteReference"/>
          <w:b/>
          <w:bCs/>
          <w:vertAlign w:val="baseline"/>
        </w:rPr>
        <w:t>Robustness Test</w:t>
      </w:r>
      <w:proofErr w:type="gramStart"/>
      <w:r w:rsidR="00335619" w:rsidRPr="0023367D">
        <w:rPr>
          <w:b/>
          <w:bCs/>
        </w:rPr>
        <w:t>s</w:t>
      </w:r>
      <w:proofErr w:type="gramEnd"/>
    </w:p>
    <w:p w14:paraId="002CF0DB" w14:textId="77777777" w:rsidR="000E033F" w:rsidRDefault="00335619" w:rsidP="000E033F">
      <w:pPr>
        <w:spacing w:line="480" w:lineRule="auto"/>
        <w:ind w:firstLine="540"/>
      </w:pPr>
      <w:r w:rsidRPr="0023367D">
        <w:t xml:space="preserve">To assess the sensitivity of the results to the specific valuation or return model, we conduct all tests using </w:t>
      </w:r>
      <w:r w:rsidR="003361D5">
        <w:t xml:space="preserve">the </w:t>
      </w:r>
      <w:r w:rsidRPr="0023367D">
        <w:t>alternative models described in Appendix A</w:t>
      </w:r>
      <w:r w:rsidR="0084558B">
        <w:t xml:space="preserve">. </w:t>
      </w:r>
      <w:r w:rsidRPr="0023367D">
        <w:t>These results (shown in Figure 1) indicate similar trends.</w:t>
      </w:r>
      <w:r w:rsidR="000E033F">
        <w:t xml:space="preserve"> </w:t>
      </w:r>
    </w:p>
    <w:p w14:paraId="5720A500" w14:textId="77777777" w:rsidR="00335619" w:rsidRPr="0023367D" w:rsidRDefault="00335619" w:rsidP="000E033F">
      <w:pPr>
        <w:spacing w:line="480" w:lineRule="auto"/>
        <w:ind w:firstLine="540"/>
      </w:pPr>
      <w:r w:rsidRPr="0023367D">
        <w:t>A factor that could affect our results is changes over time in our sample composition</w:t>
      </w:r>
      <w:r w:rsidR="0084558B">
        <w:t xml:space="preserve">. </w:t>
      </w:r>
      <w:r w:rsidRPr="0023367D">
        <w:t>Ideally, one could control for this by examining a constant sample of firms</w:t>
      </w:r>
      <w:r w:rsidR="0084558B">
        <w:t xml:space="preserve">. </w:t>
      </w:r>
      <w:r w:rsidR="003361D5">
        <w:t>However, d</w:t>
      </w:r>
      <w:r w:rsidRPr="0023367D">
        <w:t xml:space="preserve">ue to the relatively long period of our sample, such a restriction would drastically reduce the sample size. We therefore shorten the period to a 16-year </w:t>
      </w:r>
      <w:proofErr w:type="spellStart"/>
      <w:r w:rsidRPr="0023367D">
        <w:t>subperiod</w:t>
      </w:r>
      <w:proofErr w:type="spellEnd"/>
      <w:r w:rsidRPr="0023367D">
        <w:t xml:space="preserve">, 1990-2005, to examine a constant sample of </w:t>
      </w:r>
      <w:r w:rsidR="000D2D2C" w:rsidRPr="0023367D">
        <w:t>97 firms</w:t>
      </w:r>
      <w:r w:rsidR="0084558B">
        <w:t xml:space="preserve">. </w:t>
      </w:r>
      <w:r w:rsidRPr="0023367D">
        <w:t>We rerun the various tests on this subsample and find similar increasing trends in bond valuation and return models</w:t>
      </w:r>
      <w:r w:rsidR="0084558B">
        <w:t xml:space="preserve">. </w:t>
      </w:r>
      <w:r w:rsidRPr="0023367D">
        <w:t>In particular, the average annual increase in the adjusted R</w:t>
      </w:r>
      <w:r w:rsidRPr="0023367D">
        <w:rPr>
          <w:vertAlign w:val="superscript"/>
        </w:rPr>
        <w:t>2</w:t>
      </w:r>
      <w:r w:rsidRPr="0023367D">
        <w:rPr>
          <w:vertAlign w:val="subscript"/>
        </w:rPr>
        <w:t>ACCT</w:t>
      </w:r>
      <w:r w:rsidRPr="0023367D">
        <w:t xml:space="preserve"> for th</w:t>
      </w:r>
      <w:r w:rsidR="003361D5">
        <w:t>is</w:t>
      </w:r>
      <w:r w:rsidRPr="0023367D">
        <w:t xml:space="preserve"> constant</w:t>
      </w:r>
      <w:r w:rsidRPr="0023367D" w:rsidDel="00ED0C3B">
        <w:t xml:space="preserve"> </w:t>
      </w:r>
      <w:r w:rsidRPr="0023367D">
        <w:t>subsample is 0.0295 (t-value of 2.09) when using bond valuation model (3)</w:t>
      </w:r>
      <w:r w:rsidR="0084558B">
        <w:t xml:space="preserve">. </w:t>
      </w:r>
      <w:r w:rsidRPr="0023367D">
        <w:t>The corresponding values for bond return model (5) show an average annual increase of 0.0186 (t-value of 2.25</w:t>
      </w:r>
      <w:r w:rsidRPr="0023367D">
        <w:rPr>
          <w:bCs/>
        </w:rPr>
        <w:t>).</w:t>
      </w:r>
      <w:r w:rsidRPr="0023367D">
        <w:t xml:space="preserve"> </w:t>
      </w:r>
    </w:p>
    <w:p w14:paraId="1A66C79F" w14:textId="36810D9A" w:rsidR="00335619" w:rsidRPr="0023367D" w:rsidRDefault="00335619" w:rsidP="00D8604E">
      <w:pPr>
        <w:shd w:val="clear" w:color="auto" w:fill="FFFFFF"/>
        <w:spacing w:line="480" w:lineRule="auto"/>
        <w:ind w:firstLine="547"/>
      </w:pPr>
      <w:r w:rsidRPr="0023367D">
        <w:t>We also examine whether our results are driven by the less liquid bonds by replicating the main tests with a subsample using a stricter definition of liquid bonds than that used for the homogenous-liquid subsample</w:t>
      </w:r>
      <w:r w:rsidR="0084558B">
        <w:t xml:space="preserve">. </w:t>
      </w:r>
      <w:r w:rsidRPr="0023367D">
        <w:t xml:space="preserve">For this robustness test, a liquid bond is defined as one with an issue size at the time of offering </w:t>
      </w:r>
      <w:r w:rsidRPr="004E549C">
        <w:t>of more than $200 million (in 2013 dollars), seniority</w:t>
      </w:r>
      <w:r w:rsidR="00E513A5" w:rsidRPr="004E549C">
        <w:t>,</w:t>
      </w:r>
      <w:r w:rsidRPr="004E549C">
        <w:t xml:space="preserve"> and </w:t>
      </w:r>
      <w:proofErr w:type="spellStart"/>
      <w:r w:rsidR="00E513A5" w:rsidRPr="004E549C">
        <w:t>recency</w:t>
      </w:r>
      <w:proofErr w:type="spellEnd"/>
      <w:r w:rsidR="00E513A5" w:rsidRPr="004E549C">
        <w:t xml:space="preserve"> of issuance</w:t>
      </w:r>
      <w:r w:rsidR="005929EA" w:rsidRPr="004E549C">
        <w:t xml:space="preserve"> </w:t>
      </w:r>
      <w:r w:rsidR="00972C64" w:rsidRPr="004E549C">
        <w:t xml:space="preserve">(less </w:t>
      </w:r>
      <w:r w:rsidR="005929EA" w:rsidRPr="004E549C">
        <w:t xml:space="preserve">than </w:t>
      </w:r>
      <w:r w:rsidR="00972C64" w:rsidRPr="004E549C">
        <w:t>three</w:t>
      </w:r>
      <w:r w:rsidRPr="004E549C">
        <w:t xml:space="preserve"> years</w:t>
      </w:r>
      <w:r w:rsidR="00D8604E" w:rsidRPr="004E549C">
        <w:t xml:space="preserve"> </w:t>
      </w:r>
      <w:r w:rsidR="00E513A5" w:rsidRPr="004E549C">
        <w:t>from issuance</w:t>
      </w:r>
      <w:r w:rsidR="00B549C2">
        <w:t>, see</w:t>
      </w:r>
      <w:r w:rsidR="00D25CC0" w:rsidRPr="0046330F">
        <w:rPr>
          <w:szCs w:val="22"/>
        </w:rPr>
        <w:t xml:space="preserve"> </w:t>
      </w:r>
      <w:proofErr w:type="spellStart"/>
      <w:r w:rsidR="00D25CC0" w:rsidRPr="0046330F">
        <w:rPr>
          <w:szCs w:val="22"/>
        </w:rPr>
        <w:t>Sarig</w:t>
      </w:r>
      <w:proofErr w:type="spellEnd"/>
      <w:r w:rsidR="00D25CC0" w:rsidRPr="0046330F">
        <w:rPr>
          <w:szCs w:val="22"/>
        </w:rPr>
        <w:t xml:space="preserve"> and </w:t>
      </w:r>
      <w:proofErr w:type="spellStart"/>
      <w:r w:rsidR="00D25CC0" w:rsidRPr="0046330F">
        <w:rPr>
          <w:szCs w:val="22"/>
        </w:rPr>
        <w:t>Warga</w:t>
      </w:r>
      <w:proofErr w:type="spellEnd"/>
      <w:r w:rsidR="00D25CC0" w:rsidRPr="0046330F">
        <w:rPr>
          <w:szCs w:val="22"/>
        </w:rPr>
        <w:t xml:space="preserve"> 1989, and Schulz 2001)</w:t>
      </w:r>
      <w:r w:rsidR="0084558B" w:rsidRPr="0046330F">
        <w:t xml:space="preserve">. </w:t>
      </w:r>
      <w:r w:rsidRPr="0046330F">
        <w:t>Using</w:t>
      </w:r>
      <w:r w:rsidRPr="00B549C2">
        <w:t xml:space="preserve"> this subsample, we find a similar increase in the </w:t>
      </w:r>
      <w:r w:rsidR="000D2D2C" w:rsidRPr="0046330F">
        <w:t>re</w:t>
      </w:r>
      <w:r w:rsidR="000D2D2C" w:rsidRPr="0023367D">
        <w:t xml:space="preserve">levance </w:t>
      </w:r>
      <w:r w:rsidRPr="0023367D">
        <w:t>of accounting information for bond holders</w:t>
      </w:r>
      <w:r w:rsidR="0084558B">
        <w:t xml:space="preserve">. </w:t>
      </w:r>
      <w:r w:rsidRPr="0023367D">
        <w:t>The average annual increase in the adjusted R</w:t>
      </w:r>
      <w:r w:rsidRPr="0023367D">
        <w:rPr>
          <w:vertAlign w:val="superscript"/>
        </w:rPr>
        <w:t>2</w:t>
      </w:r>
      <w:r w:rsidRPr="0023367D">
        <w:rPr>
          <w:vertAlign w:val="subscript"/>
        </w:rPr>
        <w:t>ACCT</w:t>
      </w:r>
      <w:r w:rsidRPr="0023367D">
        <w:t xml:space="preserve"> from the trend line regression for this new subsample is 0.</w:t>
      </w:r>
      <w:r w:rsidR="00972C64">
        <w:t>509</w:t>
      </w:r>
      <w:r w:rsidRPr="0023367D">
        <w:t>% (t-value of 2.</w:t>
      </w:r>
      <w:r w:rsidR="00972C64">
        <w:t>02</w:t>
      </w:r>
      <w:r w:rsidRPr="0023367D">
        <w:t>) when using bond valuation model (3)</w:t>
      </w:r>
      <w:r w:rsidR="0084558B">
        <w:t xml:space="preserve">. </w:t>
      </w:r>
      <w:r w:rsidRPr="0023367D">
        <w:t xml:space="preserve">The corresponding values for bond valuation model (A1) show an average annual increase of </w:t>
      </w:r>
      <w:r w:rsidR="00972C64">
        <w:t>0.777</w:t>
      </w:r>
      <w:r w:rsidRPr="0023367D">
        <w:t xml:space="preserve">% (t-value of </w:t>
      </w:r>
      <w:r w:rsidR="00972C64">
        <w:t>2.46</w:t>
      </w:r>
      <w:r w:rsidRPr="0023367D">
        <w:t>)</w:t>
      </w:r>
      <w:r w:rsidR="0084558B">
        <w:t xml:space="preserve">. </w:t>
      </w:r>
      <w:r w:rsidRPr="0023367D">
        <w:t xml:space="preserve">As is the case for the full sample, the results from the return models </w:t>
      </w:r>
      <w:r w:rsidR="003361D5">
        <w:t>(</w:t>
      </w:r>
      <w:r w:rsidRPr="0023367D">
        <w:t>5</w:t>
      </w:r>
      <w:r w:rsidR="003361D5">
        <w:t>)</w:t>
      </w:r>
      <w:r w:rsidRPr="0023367D">
        <w:t xml:space="preserve"> and </w:t>
      </w:r>
      <w:r w:rsidR="003361D5">
        <w:t>(</w:t>
      </w:r>
      <w:r w:rsidRPr="0023367D">
        <w:t>A2</w:t>
      </w:r>
      <w:r w:rsidR="003361D5">
        <w:t>)</w:t>
      </w:r>
      <w:r w:rsidRPr="0023367D">
        <w:t xml:space="preserve"> indicate an increase though this increase is less pronounced and not significant. </w:t>
      </w:r>
    </w:p>
    <w:p w14:paraId="7404DFB9" w14:textId="77777777" w:rsidR="00335619" w:rsidRPr="0023367D" w:rsidRDefault="00122631" w:rsidP="00335619">
      <w:pPr>
        <w:keepLines/>
        <w:autoSpaceDE w:val="0"/>
        <w:autoSpaceDN w:val="0"/>
        <w:adjustRightInd w:val="0"/>
        <w:spacing w:before="120" w:line="480" w:lineRule="auto"/>
        <w:rPr>
          <w:b/>
          <w:bCs/>
        </w:rPr>
      </w:pPr>
      <w:r w:rsidRPr="0023367D">
        <w:rPr>
          <w:b/>
          <w:bCs/>
        </w:rPr>
        <w:t>8</w:t>
      </w:r>
      <w:r w:rsidR="00335619" w:rsidRPr="0023367D">
        <w:rPr>
          <w:b/>
          <w:bCs/>
        </w:rPr>
        <w:t>. Concluding Remarks</w:t>
      </w:r>
    </w:p>
    <w:p w14:paraId="7A07A88D" w14:textId="1E7CA685" w:rsidR="00972C64" w:rsidRPr="0023367D" w:rsidRDefault="00335619" w:rsidP="00972C64">
      <w:pPr>
        <w:autoSpaceDE w:val="0"/>
        <w:autoSpaceDN w:val="0"/>
        <w:adjustRightInd w:val="0"/>
        <w:spacing w:line="480" w:lineRule="auto"/>
        <w:ind w:firstLine="720"/>
      </w:pPr>
      <w:r w:rsidRPr="0023367D">
        <w:t>This paper provides large-sample evidence that accounting information plays an increasingly useful role in bond valuation</w:t>
      </w:r>
      <w:r w:rsidR="0084558B">
        <w:t xml:space="preserve">. </w:t>
      </w:r>
      <w:r w:rsidRPr="0023367D">
        <w:t>Using several approaches, our findings show that the association between accounting information and bond valuation and returns has increased over the last 39 years</w:t>
      </w:r>
      <w:r w:rsidR="0084558B">
        <w:t xml:space="preserve">. </w:t>
      </w:r>
      <w:r w:rsidRPr="0023367D">
        <w:t>This is in contrast to the</w:t>
      </w:r>
      <w:r w:rsidR="000D2D2C" w:rsidRPr="0023367D">
        <w:t xml:space="preserve"> decline in that</w:t>
      </w:r>
      <w:r w:rsidRPr="0023367D">
        <w:t xml:space="preserve"> association for equity holders as </w:t>
      </w:r>
      <w:r w:rsidR="00972C64" w:rsidRPr="0023367D">
        <w:t xml:space="preserve">documented by past research and further confirmed in this study. </w:t>
      </w:r>
    </w:p>
    <w:p w14:paraId="3D61527C" w14:textId="093F6B76" w:rsidR="00EA1730" w:rsidRPr="0023367D" w:rsidRDefault="00EA1730" w:rsidP="00EA1730">
      <w:pPr>
        <w:autoSpaceDE w:val="0"/>
        <w:autoSpaceDN w:val="0"/>
        <w:adjustRightInd w:val="0"/>
        <w:spacing w:line="480" w:lineRule="auto"/>
        <w:ind w:firstLine="720"/>
      </w:pPr>
      <w:r w:rsidRPr="00476243">
        <w:t>We hypothesize that trends in the orientation of accounting standard-setting (such as the shift towards fair</w:t>
      </w:r>
      <w:r w:rsidR="007D531B" w:rsidRPr="00476243">
        <w:t xml:space="preserve"> </w:t>
      </w:r>
      <w:r w:rsidRPr="00476243">
        <w:t>value</w:t>
      </w:r>
      <w:r w:rsidR="00F42489">
        <w:t xml:space="preserve">, </w:t>
      </w:r>
      <w:r w:rsidR="007C3E60">
        <w:t xml:space="preserve">which </w:t>
      </w:r>
      <w:r w:rsidR="004B635E" w:rsidRPr="00476243">
        <w:t>reflec</w:t>
      </w:r>
      <w:r w:rsidR="00943148">
        <w:t>ts</w:t>
      </w:r>
      <w:r w:rsidR="004B635E" w:rsidRPr="00476243">
        <w:t xml:space="preserve"> the </w:t>
      </w:r>
      <w:r w:rsidRPr="00476243">
        <w:t>increased emphasis on the balance sheet</w:t>
      </w:r>
      <w:r w:rsidR="009536E7">
        <w:t>)</w:t>
      </w:r>
      <w:r w:rsidR="00943148">
        <w:t>,</w:t>
      </w:r>
      <w:r w:rsidRPr="00476243">
        <w:t xml:space="preserve"> and the implementation of standards (in the form of increased conservatism) affect the relevance of accounting numbers to debt holders. </w:t>
      </w:r>
      <w:r w:rsidR="008210AD">
        <w:t>Consistent with our hypotheses, t</w:t>
      </w:r>
      <w:r w:rsidRPr="00476243">
        <w:t xml:space="preserve">he results indicate that, along with changes in economic factors (such as changes in probability of default and rate of change in the GDP), the change over time in in the information content of accounting numbers to bond holders is </w:t>
      </w:r>
      <w:r w:rsidR="00434BBE">
        <w:t>affected</w:t>
      </w:r>
      <w:r w:rsidR="00943148">
        <w:t xml:space="preserve"> also </w:t>
      </w:r>
      <w:r w:rsidR="00434BBE">
        <w:t>by reporting factors</w:t>
      </w:r>
      <w:r w:rsidRPr="00476243">
        <w:t xml:space="preserve">. </w:t>
      </w:r>
      <w:r w:rsidR="00943148">
        <w:t>A</w:t>
      </w:r>
      <w:r w:rsidRPr="00476243">
        <w:t>mong the reporting factors that appear to have a significant enhancing effect on this information content are the shift towards fair value measurement, the increased conservatism, and the increased frequency of losses (which are also partly due to economic factors). The effect of these factors is partially mitigated by the increase in the intensity of intangible investments.</w:t>
      </w:r>
      <w:r w:rsidRPr="0023367D">
        <w:t xml:space="preserve"> </w:t>
      </w:r>
    </w:p>
    <w:p w14:paraId="547A231B" w14:textId="77777777" w:rsidR="001044CE" w:rsidRDefault="00335619" w:rsidP="004C4091">
      <w:pPr>
        <w:spacing w:line="480" w:lineRule="auto"/>
        <w:ind w:firstLine="540"/>
        <w:contextualSpacing/>
      </w:pPr>
      <w:r w:rsidRPr="0023367D">
        <w:t>This paper highlights the importance of recognizing the unique information needs of debt holders, a major group of users of financial statements, in forming and evaluating the merits of accounting standards</w:t>
      </w:r>
      <w:r w:rsidR="0084558B">
        <w:t xml:space="preserve">. </w:t>
      </w:r>
      <w:r w:rsidRPr="0023367D">
        <w:t xml:space="preserve">As such, our findings have important implications for accounting standard setting, regulatory policy and research on the usefulness of financial reports. </w:t>
      </w:r>
    </w:p>
    <w:p w14:paraId="6CA19F91" w14:textId="77777777" w:rsidR="001044CE" w:rsidRDefault="001044CE" w:rsidP="004C4091">
      <w:pPr>
        <w:spacing w:line="480" w:lineRule="auto"/>
        <w:ind w:firstLine="540"/>
        <w:contextualSpacing/>
      </w:pPr>
    </w:p>
    <w:p w14:paraId="1D2C12A0" w14:textId="77777777" w:rsidR="00335619" w:rsidRPr="0023367D" w:rsidRDefault="00D33EFD" w:rsidP="004C4091">
      <w:pPr>
        <w:spacing w:line="480" w:lineRule="auto"/>
        <w:ind w:firstLine="540"/>
        <w:contextualSpacing/>
        <w:rPr>
          <w:b/>
          <w:bCs/>
        </w:rPr>
      </w:pPr>
      <w:r w:rsidRPr="0023367D">
        <w:br w:type="page"/>
      </w:r>
      <w:r w:rsidR="00335619" w:rsidRPr="0023367D">
        <w:rPr>
          <w:b/>
          <w:bCs/>
        </w:rPr>
        <w:t>References</w:t>
      </w:r>
    </w:p>
    <w:p w14:paraId="3ED33581" w14:textId="77777777" w:rsidR="00335619" w:rsidRPr="0023367D" w:rsidRDefault="00335619" w:rsidP="00335619">
      <w:pPr>
        <w:jc w:val="center"/>
        <w:rPr>
          <w:sz w:val="18"/>
          <w:szCs w:val="18"/>
        </w:rPr>
      </w:pPr>
    </w:p>
    <w:p w14:paraId="47B8643D" w14:textId="77777777" w:rsidR="00335619" w:rsidRPr="0023367D" w:rsidRDefault="00335619" w:rsidP="00335619">
      <w:r w:rsidRPr="0023367D">
        <w:t xml:space="preserve">Ahmed, A., B. Billings, R. Morton, and M. Stanford-Harris, 2002. “The Role of Accounting Conservatism in Mitigating Bondholder-Shareholder Conflicts over Dividend Policy and in Reducing Debt Costs,” </w:t>
      </w:r>
      <w:r w:rsidRPr="0023367D">
        <w:rPr>
          <w:i/>
        </w:rPr>
        <w:t>The Accounting Review</w:t>
      </w:r>
      <w:r w:rsidRPr="0023367D">
        <w:t>, 77 (3): 867-890.</w:t>
      </w:r>
    </w:p>
    <w:p w14:paraId="07EA51DA" w14:textId="77777777" w:rsidR="00335619" w:rsidRPr="0023367D" w:rsidRDefault="00335619" w:rsidP="00335619"/>
    <w:p w14:paraId="4352DBEE" w14:textId="77777777" w:rsidR="00335619" w:rsidRPr="0023367D" w:rsidRDefault="00335619" w:rsidP="00335619">
      <w:pPr>
        <w:autoSpaceDE w:val="0"/>
        <w:autoSpaceDN w:val="0"/>
        <w:adjustRightInd w:val="0"/>
      </w:pPr>
      <w:r w:rsidRPr="0023367D">
        <w:t xml:space="preserve">Alford, A., J. Jones, R. </w:t>
      </w:r>
      <w:proofErr w:type="spellStart"/>
      <w:r w:rsidRPr="0023367D">
        <w:t>Leftwich</w:t>
      </w:r>
      <w:proofErr w:type="spellEnd"/>
      <w:r w:rsidRPr="0023367D">
        <w:t xml:space="preserve">, and M. </w:t>
      </w:r>
      <w:proofErr w:type="spellStart"/>
      <w:r w:rsidRPr="0023367D">
        <w:t>Zmijewski</w:t>
      </w:r>
      <w:proofErr w:type="spellEnd"/>
      <w:r w:rsidRPr="0023367D">
        <w:t xml:space="preserve">, 1993. “The Relative </w:t>
      </w:r>
      <w:proofErr w:type="spellStart"/>
      <w:r w:rsidRPr="0023367D">
        <w:t>Informativeness</w:t>
      </w:r>
      <w:proofErr w:type="spellEnd"/>
      <w:r w:rsidRPr="0023367D">
        <w:t xml:space="preserve"> of Accounting Disclosures in Different Countries," </w:t>
      </w:r>
      <w:r w:rsidRPr="0023367D">
        <w:rPr>
          <w:i/>
          <w:iCs/>
        </w:rPr>
        <w:t>Journal of Accounting Research</w:t>
      </w:r>
      <w:r w:rsidRPr="0023367D">
        <w:t xml:space="preserve"> (Supplement): 183-223.</w:t>
      </w:r>
    </w:p>
    <w:p w14:paraId="5CCC1B17" w14:textId="77777777" w:rsidR="00335619" w:rsidRPr="0023367D" w:rsidRDefault="00335619" w:rsidP="00335619">
      <w:pPr>
        <w:autoSpaceDE w:val="0"/>
        <w:autoSpaceDN w:val="0"/>
        <w:adjustRightInd w:val="0"/>
      </w:pPr>
    </w:p>
    <w:p w14:paraId="1D383532" w14:textId="77777777" w:rsidR="004F679A" w:rsidRPr="0023367D" w:rsidRDefault="004F679A" w:rsidP="00335619">
      <w:pPr>
        <w:autoSpaceDE w:val="0"/>
        <w:autoSpaceDN w:val="0"/>
        <w:adjustRightInd w:val="0"/>
        <w:rPr>
          <w:szCs w:val="22"/>
        </w:rPr>
      </w:pPr>
      <w:r w:rsidRPr="0023367D">
        <w:rPr>
          <w:bCs/>
          <w:szCs w:val="22"/>
        </w:rPr>
        <w:t>A</w:t>
      </w:r>
      <w:r w:rsidR="007F5D11" w:rsidRPr="0023367D">
        <w:rPr>
          <w:bCs/>
          <w:szCs w:val="22"/>
        </w:rPr>
        <w:t xml:space="preserve">mir, E., and </w:t>
      </w:r>
      <w:r w:rsidRPr="0023367D">
        <w:rPr>
          <w:bCs/>
          <w:szCs w:val="22"/>
        </w:rPr>
        <w:t>B. L</w:t>
      </w:r>
      <w:r w:rsidR="007F5D11" w:rsidRPr="0023367D">
        <w:rPr>
          <w:bCs/>
          <w:szCs w:val="22"/>
        </w:rPr>
        <w:t>ev</w:t>
      </w:r>
      <w:r w:rsidRPr="0023367D">
        <w:rPr>
          <w:bCs/>
          <w:szCs w:val="22"/>
        </w:rPr>
        <w:t xml:space="preserve">. </w:t>
      </w:r>
      <w:r w:rsidR="007F5D11" w:rsidRPr="0023367D">
        <w:rPr>
          <w:bCs/>
          <w:szCs w:val="22"/>
        </w:rPr>
        <w:t xml:space="preserve">1996. </w:t>
      </w:r>
      <w:r w:rsidRPr="0023367D">
        <w:rPr>
          <w:bCs/>
          <w:szCs w:val="22"/>
        </w:rPr>
        <w:t>"Value-</w:t>
      </w:r>
      <w:r w:rsidR="007F5D11" w:rsidRPr="0023367D">
        <w:rPr>
          <w:bCs/>
          <w:szCs w:val="22"/>
        </w:rPr>
        <w:t xml:space="preserve">relevance of </w:t>
      </w:r>
      <w:r w:rsidR="003346F2">
        <w:rPr>
          <w:bCs/>
          <w:szCs w:val="22"/>
        </w:rPr>
        <w:t>N</w:t>
      </w:r>
      <w:r w:rsidRPr="0023367D">
        <w:rPr>
          <w:bCs/>
          <w:szCs w:val="22"/>
        </w:rPr>
        <w:t xml:space="preserve">onfinancial </w:t>
      </w:r>
      <w:r w:rsidR="003346F2">
        <w:rPr>
          <w:bCs/>
          <w:szCs w:val="22"/>
        </w:rPr>
        <w:t>I</w:t>
      </w:r>
      <w:r w:rsidRPr="0023367D">
        <w:rPr>
          <w:bCs/>
          <w:szCs w:val="22"/>
        </w:rPr>
        <w:t xml:space="preserve">nformation: The </w:t>
      </w:r>
      <w:r w:rsidR="003346F2">
        <w:rPr>
          <w:bCs/>
          <w:szCs w:val="22"/>
        </w:rPr>
        <w:t>W</w:t>
      </w:r>
      <w:r w:rsidRPr="0023367D">
        <w:rPr>
          <w:bCs/>
          <w:szCs w:val="22"/>
        </w:rPr>
        <w:t xml:space="preserve">ireless </w:t>
      </w:r>
      <w:r w:rsidR="003346F2">
        <w:rPr>
          <w:bCs/>
          <w:szCs w:val="22"/>
        </w:rPr>
        <w:t>C</w:t>
      </w:r>
      <w:r w:rsidRPr="0023367D">
        <w:rPr>
          <w:bCs/>
          <w:szCs w:val="22"/>
        </w:rPr>
        <w:t xml:space="preserve">ommunications </w:t>
      </w:r>
      <w:r w:rsidR="003346F2">
        <w:rPr>
          <w:bCs/>
          <w:szCs w:val="22"/>
        </w:rPr>
        <w:t>I</w:t>
      </w:r>
      <w:r w:rsidRPr="0023367D">
        <w:rPr>
          <w:bCs/>
          <w:szCs w:val="22"/>
        </w:rPr>
        <w:t>ndustry</w:t>
      </w:r>
      <w:r w:rsidR="00972C64">
        <w:rPr>
          <w:bCs/>
          <w:szCs w:val="22"/>
        </w:rPr>
        <w:t>,</w:t>
      </w:r>
      <w:r w:rsidRPr="0023367D">
        <w:rPr>
          <w:bCs/>
          <w:szCs w:val="22"/>
        </w:rPr>
        <w:t>"</w:t>
      </w:r>
      <w:r w:rsidR="007F5D11" w:rsidRPr="0023367D">
        <w:rPr>
          <w:bCs/>
          <w:szCs w:val="22"/>
        </w:rPr>
        <w:t xml:space="preserve"> </w:t>
      </w:r>
      <w:r w:rsidRPr="0023367D">
        <w:rPr>
          <w:bCs/>
          <w:i/>
          <w:szCs w:val="22"/>
        </w:rPr>
        <w:t>Journal of</w:t>
      </w:r>
      <w:r w:rsidR="007F5D11" w:rsidRPr="0023367D">
        <w:rPr>
          <w:bCs/>
          <w:i/>
          <w:szCs w:val="22"/>
        </w:rPr>
        <w:t xml:space="preserve"> </w:t>
      </w:r>
      <w:r w:rsidRPr="0023367D">
        <w:rPr>
          <w:bCs/>
          <w:i/>
          <w:szCs w:val="22"/>
        </w:rPr>
        <w:t>Accounting</w:t>
      </w:r>
      <w:r w:rsidR="007F5D11" w:rsidRPr="0023367D">
        <w:rPr>
          <w:bCs/>
          <w:i/>
          <w:szCs w:val="22"/>
        </w:rPr>
        <w:t xml:space="preserve"> </w:t>
      </w:r>
      <w:r w:rsidRPr="0023367D">
        <w:rPr>
          <w:bCs/>
          <w:i/>
          <w:szCs w:val="22"/>
        </w:rPr>
        <w:t>and</w:t>
      </w:r>
      <w:r w:rsidR="007F5D11" w:rsidRPr="0023367D">
        <w:rPr>
          <w:bCs/>
          <w:i/>
          <w:szCs w:val="22"/>
        </w:rPr>
        <w:t xml:space="preserve"> </w:t>
      </w:r>
      <w:r w:rsidRPr="0023367D">
        <w:rPr>
          <w:bCs/>
          <w:i/>
          <w:szCs w:val="22"/>
        </w:rPr>
        <w:t>Economics</w:t>
      </w:r>
      <w:r w:rsidRPr="0023367D">
        <w:rPr>
          <w:bCs/>
          <w:szCs w:val="22"/>
        </w:rPr>
        <w:t xml:space="preserve"> (August-December): 3-30.</w:t>
      </w:r>
    </w:p>
    <w:p w14:paraId="105D91F7" w14:textId="77777777" w:rsidR="004F679A" w:rsidRPr="0023367D" w:rsidRDefault="004F679A" w:rsidP="00335619">
      <w:pPr>
        <w:autoSpaceDE w:val="0"/>
        <w:autoSpaceDN w:val="0"/>
        <w:adjustRightInd w:val="0"/>
        <w:rPr>
          <w:lang w:bidi="he-IL"/>
        </w:rPr>
      </w:pPr>
    </w:p>
    <w:p w14:paraId="70B55930" w14:textId="77777777" w:rsidR="00335619" w:rsidRPr="0023367D" w:rsidRDefault="00335619" w:rsidP="00335619">
      <w:pPr>
        <w:autoSpaceDE w:val="0"/>
        <w:autoSpaceDN w:val="0"/>
        <w:adjustRightInd w:val="0"/>
        <w:rPr>
          <w:lang w:bidi="he-IL"/>
        </w:rPr>
      </w:pPr>
      <w:r w:rsidRPr="0023367D">
        <w:rPr>
          <w:lang w:bidi="he-IL"/>
        </w:rPr>
        <w:t>Ball, R., 2001. “Infrastructure Requirements for an Economically Efficient System of Public Financial Reporting and Disclosure,” Brookings-Wharton Papers on Financial Services, 127–169.</w:t>
      </w:r>
    </w:p>
    <w:p w14:paraId="782B89EF" w14:textId="77777777" w:rsidR="00335619" w:rsidRPr="0023367D" w:rsidRDefault="00335619" w:rsidP="00335619">
      <w:pPr>
        <w:rPr>
          <w:b/>
        </w:rPr>
      </w:pPr>
    </w:p>
    <w:p w14:paraId="39578DA3" w14:textId="77777777" w:rsidR="00335619" w:rsidRPr="0023367D" w:rsidRDefault="00335619" w:rsidP="00335619">
      <w:pPr>
        <w:rPr>
          <w:bCs/>
        </w:rPr>
      </w:pPr>
      <w:r w:rsidRPr="0023367D">
        <w:rPr>
          <w:bCs/>
        </w:rPr>
        <w:t xml:space="preserve">Ball, R., R.M. Bushman, and F.P. </w:t>
      </w:r>
      <w:proofErr w:type="spellStart"/>
      <w:r w:rsidRPr="0023367D">
        <w:rPr>
          <w:bCs/>
        </w:rPr>
        <w:t>Vasvari</w:t>
      </w:r>
      <w:proofErr w:type="spellEnd"/>
      <w:r w:rsidRPr="0023367D">
        <w:rPr>
          <w:bCs/>
        </w:rPr>
        <w:t xml:space="preserve">, 2008a. “The Debt-Contracting Value of Accounting Information and Loan Syndicate Structure,” </w:t>
      </w:r>
      <w:r w:rsidRPr="0023367D">
        <w:rPr>
          <w:bCs/>
          <w:i/>
          <w:iCs/>
        </w:rPr>
        <w:t>Journal of Accounting Research</w:t>
      </w:r>
      <w:r w:rsidRPr="0023367D">
        <w:rPr>
          <w:bCs/>
        </w:rPr>
        <w:t>, 46 (2): 247-287.</w:t>
      </w:r>
    </w:p>
    <w:p w14:paraId="6EE16AC6" w14:textId="77777777" w:rsidR="00335619" w:rsidRPr="0023367D" w:rsidRDefault="00335619" w:rsidP="00335619">
      <w:pPr>
        <w:rPr>
          <w:bCs/>
        </w:rPr>
      </w:pPr>
    </w:p>
    <w:p w14:paraId="58CA0F7C" w14:textId="77777777" w:rsidR="00335619" w:rsidRPr="0023367D" w:rsidRDefault="00335619" w:rsidP="00335619">
      <w:pPr>
        <w:rPr>
          <w:bCs/>
        </w:rPr>
      </w:pPr>
      <w:r w:rsidRPr="0023367D">
        <w:rPr>
          <w:bCs/>
        </w:rPr>
        <w:t xml:space="preserve">Ball, R., A. Robin, and G. </w:t>
      </w:r>
      <w:proofErr w:type="spellStart"/>
      <w:r w:rsidRPr="0023367D">
        <w:rPr>
          <w:bCs/>
        </w:rPr>
        <w:t>Sadka</w:t>
      </w:r>
      <w:proofErr w:type="spellEnd"/>
      <w:r w:rsidRPr="0023367D">
        <w:rPr>
          <w:bCs/>
        </w:rPr>
        <w:t xml:space="preserve">, 2008b. “Is Financial Reporting Shaped by Equity Markets or by Debt Markets” An International Study of Timeliness and Conservatism,” </w:t>
      </w:r>
      <w:r w:rsidRPr="0023367D">
        <w:rPr>
          <w:bCs/>
          <w:i/>
          <w:iCs/>
        </w:rPr>
        <w:t>The Review of Accounting Studies</w:t>
      </w:r>
      <w:r w:rsidRPr="0023367D">
        <w:rPr>
          <w:bCs/>
        </w:rPr>
        <w:t>, 13 (2-3): 168-205.</w:t>
      </w:r>
    </w:p>
    <w:p w14:paraId="5AC0F511" w14:textId="77777777" w:rsidR="00335619" w:rsidRPr="0023367D" w:rsidRDefault="00335619" w:rsidP="00335619">
      <w:pPr>
        <w:rPr>
          <w:bCs/>
        </w:rPr>
      </w:pPr>
    </w:p>
    <w:p w14:paraId="37867208" w14:textId="77777777" w:rsidR="00335619" w:rsidRPr="0023367D" w:rsidRDefault="00335619" w:rsidP="00335619">
      <w:pPr>
        <w:rPr>
          <w:bCs/>
        </w:rPr>
      </w:pPr>
      <w:r w:rsidRPr="0023367D">
        <w:rPr>
          <w:bCs/>
        </w:rPr>
        <w:t xml:space="preserve">Ball, R., and L. </w:t>
      </w:r>
      <w:proofErr w:type="spellStart"/>
      <w:r w:rsidRPr="0023367D">
        <w:rPr>
          <w:bCs/>
        </w:rPr>
        <w:t>Shivakumar</w:t>
      </w:r>
      <w:proofErr w:type="spellEnd"/>
      <w:r w:rsidRPr="0023367D">
        <w:rPr>
          <w:bCs/>
        </w:rPr>
        <w:t xml:space="preserve">, 2005. “Earnings Quality in UK Private Firms: Comparative Loss Recognition Timeliness,” </w:t>
      </w:r>
      <w:r w:rsidRPr="0023367D">
        <w:rPr>
          <w:bCs/>
          <w:i/>
        </w:rPr>
        <w:t>Journal of Accounting and Economics,</w:t>
      </w:r>
      <w:r w:rsidRPr="0023367D">
        <w:rPr>
          <w:bCs/>
        </w:rPr>
        <w:t xml:space="preserve"> 39 (1): 83–128.</w:t>
      </w:r>
    </w:p>
    <w:p w14:paraId="3BD1631D" w14:textId="77777777" w:rsidR="00335619" w:rsidRPr="0023367D" w:rsidRDefault="00335619" w:rsidP="00335619">
      <w:pPr>
        <w:rPr>
          <w:bCs/>
        </w:rPr>
      </w:pPr>
    </w:p>
    <w:p w14:paraId="6AD430F1" w14:textId="77777777" w:rsidR="00335619" w:rsidRPr="0023367D" w:rsidRDefault="00335619" w:rsidP="00335619">
      <w:pPr>
        <w:rPr>
          <w:bCs/>
        </w:rPr>
      </w:pPr>
      <w:proofErr w:type="spellStart"/>
      <w:r w:rsidRPr="0023367D">
        <w:rPr>
          <w:bCs/>
        </w:rPr>
        <w:t>Batta</w:t>
      </w:r>
      <w:proofErr w:type="spellEnd"/>
      <w:r w:rsidRPr="0023367D">
        <w:rPr>
          <w:bCs/>
        </w:rPr>
        <w:t xml:space="preserve">, G., 2011. “The Direct Relevance of Accounting Information for Credit Default Swap Pricing,” </w:t>
      </w:r>
      <w:r w:rsidRPr="0023367D">
        <w:rPr>
          <w:bCs/>
          <w:i/>
          <w:iCs/>
        </w:rPr>
        <w:t xml:space="preserve">Journal of Business Finance &amp; Accounting </w:t>
      </w:r>
      <w:r w:rsidRPr="0023367D">
        <w:rPr>
          <w:bCs/>
        </w:rPr>
        <w:t>38(9): 1096-1122.</w:t>
      </w:r>
    </w:p>
    <w:p w14:paraId="69666C7C" w14:textId="77777777" w:rsidR="00335619" w:rsidRPr="0023367D" w:rsidRDefault="00335619" w:rsidP="00335619">
      <w:pPr>
        <w:rPr>
          <w:bCs/>
        </w:rPr>
      </w:pPr>
    </w:p>
    <w:p w14:paraId="195CB049" w14:textId="77777777" w:rsidR="00335619" w:rsidRPr="0023367D" w:rsidRDefault="00335619" w:rsidP="00335619">
      <w:pPr>
        <w:rPr>
          <w:bCs/>
        </w:rPr>
      </w:pPr>
      <w:r w:rsidRPr="0023367D">
        <w:t>Beatty, A.L., J.P. Weber, and J.J. Yu,</w:t>
      </w:r>
      <w:r w:rsidRPr="0023367D" w:rsidDel="00876DD5">
        <w:t xml:space="preserve"> </w:t>
      </w:r>
      <w:r w:rsidRPr="0023367D">
        <w:t xml:space="preserve">2008. “Conservatism and Debt,” </w:t>
      </w:r>
      <w:r w:rsidRPr="0023367D">
        <w:rPr>
          <w:i/>
          <w:iCs/>
        </w:rPr>
        <w:t>Journal of Accounting and Economics</w:t>
      </w:r>
      <w:r w:rsidRPr="0023367D">
        <w:t xml:space="preserve"> 48 (2-3): 154-174.</w:t>
      </w:r>
      <w:r w:rsidRPr="0023367D">
        <w:rPr>
          <w:bCs/>
        </w:rPr>
        <w:t xml:space="preserve"> </w:t>
      </w:r>
    </w:p>
    <w:p w14:paraId="13E38ED4" w14:textId="77777777" w:rsidR="00335619" w:rsidRPr="0023367D" w:rsidRDefault="00335619" w:rsidP="00335619">
      <w:pPr>
        <w:rPr>
          <w:bCs/>
        </w:rPr>
      </w:pPr>
    </w:p>
    <w:p w14:paraId="1BEB183C" w14:textId="77777777" w:rsidR="00335619" w:rsidRPr="0023367D" w:rsidRDefault="00335619" w:rsidP="00335619">
      <w:pPr>
        <w:rPr>
          <w:bCs/>
        </w:rPr>
      </w:pPr>
      <w:r w:rsidRPr="0023367D">
        <w:rPr>
          <w:bCs/>
        </w:rPr>
        <w:t xml:space="preserve">Beaver, W.H., M.F. </w:t>
      </w:r>
      <w:proofErr w:type="spellStart"/>
      <w:r w:rsidRPr="0023367D">
        <w:rPr>
          <w:bCs/>
        </w:rPr>
        <w:t>McNichols</w:t>
      </w:r>
      <w:proofErr w:type="spellEnd"/>
      <w:r w:rsidRPr="0023367D">
        <w:rPr>
          <w:bCs/>
        </w:rPr>
        <w:t xml:space="preserve">, and J. </w:t>
      </w:r>
      <w:proofErr w:type="spellStart"/>
      <w:r w:rsidRPr="0023367D">
        <w:rPr>
          <w:bCs/>
        </w:rPr>
        <w:t>Rhie</w:t>
      </w:r>
      <w:proofErr w:type="spellEnd"/>
      <w:r w:rsidRPr="0023367D">
        <w:rPr>
          <w:bCs/>
        </w:rPr>
        <w:t xml:space="preserve">, 2005. “Have Financial Statements Become Less Informative? Evidence from the Ability of Financial Ratios to Predict Bankruptcy,” </w:t>
      </w:r>
      <w:r w:rsidRPr="0023367D">
        <w:rPr>
          <w:bCs/>
          <w:i/>
          <w:iCs/>
        </w:rPr>
        <w:t>Review of Accounting Studies</w:t>
      </w:r>
      <w:r w:rsidRPr="0023367D">
        <w:rPr>
          <w:bCs/>
        </w:rPr>
        <w:t>, 6: 93-122.</w:t>
      </w:r>
    </w:p>
    <w:p w14:paraId="250D78A3" w14:textId="77777777" w:rsidR="00335619" w:rsidRPr="0023367D" w:rsidRDefault="00335619" w:rsidP="00335619">
      <w:pPr>
        <w:rPr>
          <w:bCs/>
        </w:rPr>
      </w:pPr>
    </w:p>
    <w:p w14:paraId="10D9B998" w14:textId="77777777" w:rsidR="00335619" w:rsidRPr="0023367D" w:rsidRDefault="00335619" w:rsidP="00335619">
      <w:pPr>
        <w:rPr>
          <w:bCs/>
        </w:rPr>
      </w:pPr>
      <w:r w:rsidRPr="0023367D">
        <w:rPr>
          <w:bCs/>
        </w:rPr>
        <w:t xml:space="preserve">Beaver, W.H., M. </w:t>
      </w:r>
      <w:proofErr w:type="spellStart"/>
      <w:r w:rsidRPr="0023367D">
        <w:rPr>
          <w:bCs/>
        </w:rPr>
        <w:t>Correia</w:t>
      </w:r>
      <w:proofErr w:type="spellEnd"/>
      <w:r w:rsidRPr="0023367D">
        <w:rPr>
          <w:bCs/>
        </w:rPr>
        <w:t xml:space="preserve">, and M.F. </w:t>
      </w:r>
      <w:proofErr w:type="spellStart"/>
      <w:r w:rsidRPr="0023367D">
        <w:rPr>
          <w:bCs/>
        </w:rPr>
        <w:t>McNichols</w:t>
      </w:r>
      <w:proofErr w:type="spellEnd"/>
      <w:r w:rsidRPr="0023367D">
        <w:rPr>
          <w:bCs/>
        </w:rPr>
        <w:t xml:space="preserve">, 2012. “Do Differences in Financial Reporting Attributes Impair the Predictive Ability of Financial Ratios for Bankruptcy?” </w:t>
      </w:r>
      <w:r w:rsidRPr="0023367D">
        <w:rPr>
          <w:bCs/>
          <w:i/>
          <w:iCs/>
        </w:rPr>
        <w:t>Review of Accounting Studies</w:t>
      </w:r>
      <w:r w:rsidRPr="0023367D">
        <w:rPr>
          <w:bCs/>
        </w:rPr>
        <w:t xml:space="preserve"> 17: 969-1010. </w:t>
      </w:r>
    </w:p>
    <w:p w14:paraId="0BB1AE6D" w14:textId="77777777" w:rsidR="00335619" w:rsidRPr="0023367D" w:rsidRDefault="00335619" w:rsidP="00335619">
      <w:pPr>
        <w:rPr>
          <w:bCs/>
        </w:rPr>
      </w:pPr>
    </w:p>
    <w:p w14:paraId="3A7D3389" w14:textId="77777777" w:rsidR="00335619" w:rsidRPr="0023367D" w:rsidRDefault="00335619" w:rsidP="00335619">
      <w:pPr>
        <w:outlineLvl w:val="0"/>
        <w:rPr>
          <w:bCs/>
        </w:rPr>
      </w:pPr>
      <w:proofErr w:type="spellStart"/>
      <w:r w:rsidRPr="0023367D">
        <w:rPr>
          <w:bCs/>
        </w:rPr>
        <w:t>Belsley</w:t>
      </w:r>
      <w:proofErr w:type="spellEnd"/>
      <w:r w:rsidRPr="0023367D">
        <w:rPr>
          <w:bCs/>
        </w:rPr>
        <w:t xml:space="preserve">, D., E. </w:t>
      </w:r>
      <w:proofErr w:type="spellStart"/>
      <w:r w:rsidRPr="0023367D">
        <w:rPr>
          <w:bCs/>
        </w:rPr>
        <w:t>Kuh</w:t>
      </w:r>
      <w:proofErr w:type="spellEnd"/>
      <w:r w:rsidRPr="0023367D">
        <w:rPr>
          <w:bCs/>
        </w:rPr>
        <w:t xml:space="preserve">, and R. </w:t>
      </w:r>
      <w:proofErr w:type="spellStart"/>
      <w:r w:rsidRPr="0023367D">
        <w:rPr>
          <w:bCs/>
        </w:rPr>
        <w:t>Welsch</w:t>
      </w:r>
      <w:proofErr w:type="spellEnd"/>
      <w:r w:rsidRPr="0023367D">
        <w:rPr>
          <w:bCs/>
        </w:rPr>
        <w:t xml:space="preserve">. </w:t>
      </w:r>
      <w:r w:rsidRPr="0023367D">
        <w:rPr>
          <w:bCs/>
          <w:i/>
        </w:rPr>
        <w:t>Regression Diagnostics</w:t>
      </w:r>
      <w:r w:rsidRPr="0023367D">
        <w:rPr>
          <w:bCs/>
        </w:rPr>
        <w:t>. New York: Wiley, 1980.</w:t>
      </w:r>
    </w:p>
    <w:p w14:paraId="702EE17D" w14:textId="77777777" w:rsidR="00335619" w:rsidRPr="0023367D" w:rsidRDefault="00335619" w:rsidP="00335619">
      <w:pPr>
        <w:rPr>
          <w:b/>
        </w:rPr>
      </w:pPr>
    </w:p>
    <w:p w14:paraId="518D66A1" w14:textId="77777777" w:rsidR="00335619" w:rsidRPr="0023367D" w:rsidRDefault="00335619" w:rsidP="00335619">
      <w:r w:rsidRPr="0023367D">
        <w:t>Collins, D., E. Maydew, and I. Weiss,</w:t>
      </w:r>
      <w:r w:rsidRPr="0023367D" w:rsidDel="00876DD5">
        <w:t xml:space="preserve"> </w:t>
      </w:r>
      <w:r w:rsidRPr="0023367D">
        <w:t xml:space="preserve">1997. “Change in the Value-relevance of Earnings and Book Values over the Past Forty Years,” </w:t>
      </w:r>
      <w:r w:rsidRPr="0023367D">
        <w:rPr>
          <w:i/>
          <w:iCs/>
        </w:rPr>
        <w:t>Journal of Accounting &amp; Economics</w:t>
      </w:r>
      <w:r w:rsidRPr="0023367D">
        <w:t xml:space="preserve"> 34: 43-64.</w:t>
      </w:r>
    </w:p>
    <w:p w14:paraId="38A70FD2" w14:textId="77777777" w:rsidR="00335619" w:rsidRPr="0023367D" w:rsidRDefault="00335619" w:rsidP="00335619"/>
    <w:p w14:paraId="7C16C340" w14:textId="77777777" w:rsidR="00335619" w:rsidRPr="0023367D" w:rsidRDefault="00335619" w:rsidP="00335619">
      <w:pPr>
        <w:rPr>
          <w:bCs/>
        </w:rPr>
      </w:pPr>
      <w:r w:rsidRPr="0023367D">
        <w:rPr>
          <w:bCs/>
        </w:rPr>
        <w:t xml:space="preserve">Cooper, R. A., and J.M. Shulman, 1994. “The Year-End Effect in Junk Bond Prices,” </w:t>
      </w:r>
      <w:r w:rsidRPr="0023367D">
        <w:rPr>
          <w:bCs/>
          <w:i/>
          <w:iCs/>
        </w:rPr>
        <w:t>Financial Analysts Journal</w:t>
      </w:r>
      <w:r w:rsidRPr="0023367D">
        <w:rPr>
          <w:bCs/>
        </w:rPr>
        <w:t>, Sep/Oct, 50 (5): 61-65.</w:t>
      </w:r>
    </w:p>
    <w:p w14:paraId="104D77E6" w14:textId="77777777" w:rsidR="00335619" w:rsidRPr="0023367D" w:rsidRDefault="00335619" w:rsidP="00335619">
      <w:pPr>
        <w:rPr>
          <w:bCs/>
        </w:rPr>
      </w:pPr>
    </w:p>
    <w:p w14:paraId="06FD5999" w14:textId="77777777" w:rsidR="00731166" w:rsidRPr="0023367D" w:rsidRDefault="00335619" w:rsidP="00335619">
      <w:pPr>
        <w:rPr>
          <w:bCs/>
        </w:rPr>
      </w:pPr>
      <w:proofErr w:type="spellStart"/>
      <w:r w:rsidRPr="0023367D">
        <w:rPr>
          <w:bCs/>
        </w:rPr>
        <w:t>Correia</w:t>
      </w:r>
      <w:proofErr w:type="spellEnd"/>
      <w:r w:rsidRPr="0023367D">
        <w:rPr>
          <w:bCs/>
        </w:rPr>
        <w:t xml:space="preserve"> M., S. Richardson, and I. Tuna, 2012. “Value Investing in Credit Market,” </w:t>
      </w:r>
      <w:r w:rsidRPr="0023367D">
        <w:rPr>
          <w:bCs/>
          <w:i/>
          <w:iCs/>
        </w:rPr>
        <w:t>Review of Accounting Studies</w:t>
      </w:r>
      <w:r w:rsidRPr="0023367D">
        <w:rPr>
          <w:bCs/>
        </w:rPr>
        <w:t>, 17: 572-609.</w:t>
      </w:r>
    </w:p>
    <w:p w14:paraId="4062E80C" w14:textId="77777777" w:rsidR="00335619" w:rsidRDefault="00335619" w:rsidP="00335619">
      <w:pPr>
        <w:rPr>
          <w:bCs/>
        </w:rPr>
      </w:pPr>
    </w:p>
    <w:p w14:paraId="2D6CE74E" w14:textId="77777777" w:rsidR="00A04BEF" w:rsidRPr="006E5CE9" w:rsidRDefault="00A04BEF" w:rsidP="006E5CE9">
      <w:pPr>
        <w:autoSpaceDE w:val="0"/>
        <w:autoSpaceDN w:val="0"/>
        <w:adjustRightInd w:val="0"/>
      </w:pPr>
      <w:r w:rsidRPr="006E5CE9">
        <w:t>C</w:t>
      </w:r>
      <w:r>
        <w:t>ramer</w:t>
      </w:r>
      <w:r w:rsidRPr="006E5CE9">
        <w:t>, J. S.</w:t>
      </w:r>
      <w:r>
        <w:t>, 1987.</w:t>
      </w:r>
      <w:r w:rsidRPr="006E5CE9">
        <w:t xml:space="preserve"> "Mean and Variance of R2 in Small and Moderate Samples</w:t>
      </w:r>
      <w:r>
        <w:t>,</w:t>
      </w:r>
      <w:r w:rsidRPr="006E5CE9">
        <w:t xml:space="preserve">" </w:t>
      </w:r>
      <w:r w:rsidRPr="006E5CE9">
        <w:rPr>
          <w:i/>
          <w:iCs/>
        </w:rPr>
        <w:t>Journal of Econometrics</w:t>
      </w:r>
      <w:r>
        <w:rPr>
          <w:i/>
          <w:iCs/>
        </w:rPr>
        <w:t xml:space="preserve"> </w:t>
      </w:r>
      <w:r w:rsidRPr="006E5CE9">
        <w:rPr>
          <w:iCs/>
        </w:rPr>
        <w:t>35</w:t>
      </w:r>
      <w:r w:rsidRPr="006E5CE9">
        <w:t>: 253-66.</w:t>
      </w:r>
    </w:p>
    <w:p w14:paraId="45F27819" w14:textId="77777777" w:rsidR="00A04BEF" w:rsidRPr="00A04BEF" w:rsidRDefault="00A04BEF" w:rsidP="00A04BEF">
      <w:pPr>
        <w:rPr>
          <w:bCs/>
        </w:rPr>
      </w:pPr>
    </w:p>
    <w:p w14:paraId="01F62BFB" w14:textId="77777777" w:rsidR="00335619" w:rsidRPr="0023367D" w:rsidRDefault="00335619" w:rsidP="00335619">
      <w:pPr>
        <w:rPr>
          <w:bCs/>
        </w:rPr>
      </w:pPr>
      <w:r w:rsidRPr="0023367D">
        <w:rPr>
          <w:bCs/>
        </w:rPr>
        <w:t xml:space="preserve">Das, S.D, P. </w:t>
      </w:r>
      <w:proofErr w:type="spellStart"/>
      <w:r w:rsidRPr="0023367D">
        <w:rPr>
          <w:bCs/>
        </w:rPr>
        <w:t>Hanouna</w:t>
      </w:r>
      <w:proofErr w:type="spellEnd"/>
      <w:r w:rsidRPr="0023367D">
        <w:rPr>
          <w:bCs/>
        </w:rPr>
        <w:t xml:space="preserve">, and A. Sarin, </w:t>
      </w:r>
      <w:r w:rsidR="00493CF1" w:rsidRPr="0023367D">
        <w:rPr>
          <w:bCs/>
        </w:rPr>
        <w:t>2</w:t>
      </w:r>
      <w:r w:rsidRPr="0023367D">
        <w:rPr>
          <w:bCs/>
        </w:rPr>
        <w:t xml:space="preserve">009. “Accounting-Based versus Market-Based Cross-Sectional Models of CDS Spreads,” </w:t>
      </w:r>
      <w:r w:rsidRPr="0023367D">
        <w:rPr>
          <w:bCs/>
          <w:i/>
          <w:iCs/>
        </w:rPr>
        <w:t>Journal of Banking &amp; Finance</w:t>
      </w:r>
      <w:r w:rsidRPr="0023367D">
        <w:rPr>
          <w:bCs/>
        </w:rPr>
        <w:t xml:space="preserve"> 33 (4): 719-730. </w:t>
      </w:r>
    </w:p>
    <w:p w14:paraId="5C01E7F1" w14:textId="77777777" w:rsidR="00335619" w:rsidRPr="0023367D" w:rsidRDefault="00335619" w:rsidP="00335619">
      <w:pPr>
        <w:autoSpaceDE w:val="0"/>
        <w:autoSpaceDN w:val="0"/>
        <w:adjustRightInd w:val="0"/>
        <w:rPr>
          <w:lang w:bidi="he-IL"/>
        </w:rPr>
      </w:pPr>
    </w:p>
    <w:p w14:paraId="502BE563" w14:textId="77777777" w:rsidR="00335619" w:rsidRPr="0023367D" w:rsidRDefault="00335619" w:rsidP="00335619">
      <w:proofErr w:type="spellStart"/>
      <w:r w:rsidRPr="0023367D">
        <w:t>Datta</w:t>
      </w:r>
      <w:proofErr w:type="spellEnd"/>
      <w:r w:rsidRPr="0023367D">
        <w:t xml:space="preserve">, S., and U.S. Dhillon, 1993. “Bond and Stock Market Response to Unexpected Earnings Announcements,” </w:t>
      </w:r>
      <w:r w:rsidRPr="0023367D">
        <w:rPr>
          <w:i/>
          <w:iCs/>
        </w:rPr>
        <w:t xml:space="preserve">The Journal of Financial and Quantitative Analysis </w:t>
      </w:r>
      <w:r w:rsidRPr="0023367D">
        <w:t>28 (4): 565-577.</w:t>
      </w:r>
    </w:p>
    <w:p w14:paraId="3F0BF9D5" w14:textId="77777777" w:rsidR="00335619" w:rsidRPr="0023367D" w:rsidRDefault="00335619" w:rsidP="00335619"/>
    <w:p w14:paraId="497C2550" w14:textId="77777777" w:rsidR="00335619" w:rsidRPr="0023367D" w:rsidRDefault="00335619" w:rsidP="00335619">
      <w:proofErr w:type="spellStart"/>
      <w:r w:rsidRPr="0023367D">
        <w:t>DeFond</w:t>
      </w:r>
      <w:proofErr w:type="spellEnd"/>
      <w:r w:rsidRPr="0023367D">
        <w:t xml:space="preserve">, M., and J. Zhang, 2014. “The Timeliness of the Bond Market Reaction to Bad News Earnings Surprises,” </w:t>
      </w:r>
      <w:r w:rsidRPr="0023367D">
        <w:rPr>
          <w:i/>
          <w:iCs/>
        </w:rPr>
        <w:t>Contemporary Accounting Research</w:t>
      </w:r>
      <w:r w:rsidRPr="0023367D">
        <w:t xml:space="preserve">, </w:t>
      </w:r>
      <w:r w:rsidR="00E57AD5" w:rsidRPr="0023367D">
        <w:t>31 (3): 911-936</w:t>
      </w:r>
      <w:r w:rsidRPr="0023367D">
        <w:t>.</w:t>
      </w:r>
    </w:p>
    <w:p w14:paraId="3AB04C19" w14:textId="77777777" w:rsidR="00335619" w:rsidRPr="0023367D" w:rsidRDefault="00335619" w:rsidP="00335619"/>
    <w:p w14:paraId="1864335A" w14:textId="77777777" w:rsidR="00335619" w:rsidRPr="0023367D" w:rsidRDefault="00335619" w:rsidP="00335619">
      <w:proofErr w:type="spellStart"/>
      <w:r w:rsidRPr="0023367D">
        <w:t>Dichev</w:t>
      </w:r>
      <w:proofErr w:type="spellEnd"/>
      <w:r w:rsidRPr="0023367D">
        <w:t xml:space="preserve">, I.D. and V.W. Tang, 2008. “Matching and the Changing Properties of Accounting Earnings over the Last the last 40 Years,” </w:t>
      </w:r>
      <w:r w:rsidRPr="0023367D">
        <w:rPr>
          <w:i/>
          <w:iCs/>
        </w:rPr>
        <w:t>The Accounting Review,</w:t>
      </w:r>
      <w:r w:rsidRPr="0023367D">
        <w:t xml:space="preserve"> 83 (6): 1425-1460. </w:t>
      </w:r>
    </w:p>
    <w:p w14:paraId="5712B61F" w14:textId="77777777" w:rsidR="00335619" w:rsidRPr="0023367D" w:rsidRDefault="00335619" w:rsidP="00335619">
      <w:pPr>
        <w:rPr>
          <w:bCs/>
        </w:rPr>
      </w:pPr>
    </w:p>
    <w:p w14:paraId="03E1A679" w14:textId="77777777" w:rsidR="00335619" w:rsidRPr="0023367D" w:rsidRDefault="00335619" w:rsidP="00335619">
      <w:pPr>
        <w:rPr>
          <w:bCs/>
        </w:rPr>
      </w:pPr>
      <w:proofErr w:type="spellStart"/>
      <w:r w:rsidRPr="0023367D">
        <w:rPr>
          <w:bCs/>
        </w:rPr>
        <w:t>Demerjian</w:t>
      </w:r>
      <w:proofErr w:type="spellEnd"/>
      <w:r w:rsidRPr="0023367D">
        <w:rPr>
          <w:bCs/>
        </w:rPr>
        <w:t xml:space="preserve">, P.R., 2011. “Accounting Standards and Debt Covenants: Has the “Balance Sheet Approach” Led to a Decline in the Use of Balance Sheet Covenants?” </w:t>
      </w:r>
      <w:r w:rsidRPr="0023367D">
        <w:rPr>
          <w:bCs/>
          <w:i/>
        </w:rPr>
        <w:t>Journal of Accounting and Economics</w:t>
      </w:r>
      <w:r w:rsidRPr="0023367D">
        <w:rPr>
          <w:bCs/>
        </w:rPr>
        <w:t xml:space="preserve">, 52: 176-202. </w:t>
      </w:r>
    </w:p>
    <w:p w14:paraId="02BC0FF5" w14:textId="77777777" w:rsidR="00335619" w:rsidRPr="0023367D" w:rsidRDefault="00335619" w:rsidP="00335619">
      <w:pPr>
        <w:rPr>
          <w:bCs/>
        </w:rPr>
      </w:pPr>
      <w:r w:rsidRPr="0023367D">
        <w:rPr>
          <w:bCs/>
        </w:rPr>
        <w:t xml:space="preserve"> </w:t>
      </w:r>
    </w:p>
    <w:p w14:paraId="03BCCCA0" w14:textId="77777777" w:rsidR="00335619" w:rsidRPr="0023367D" w:rsidRDefault="00335619" w:rsidP="00335619">
      <w:pPr>
        <w:rPr>
          <w:bCs/>
        </w:rPr>
      </w:pPr>
      <w:r w:rsidRPr="0023367D">
        <w:rPr>
          <w:bCs/>
        </w:rPr>
        <w:t xml:space="preserve">Dou, Y., 2014. “The Debt-Contracting Value of Accounting Numbers, Renegotiation, and Investment Efficiency,” </w:t>
      </w:r>
      <w:r w:rsidRPr="0023367D">
        <w:rPr>
          <w:bCs/>
          <w:i/>
        </w:rPr>
        <w:t>Working Paper, New York University.</w:t>
      </w:r>
      <w:r w:rsidRPr="0023367D">
        <w:rPr>
          <w:bCs/>
        </w:rPr>
        <w:t xml:space="preserve"> </w:t>
      </w:r>
    </w:p>
    <w:p w14:paraId="7D02C674" w14:textId="77777777" w:rsidR="00335619" w:rsidRPr="0023367D" w:rsidRDefault="00335619" w:rsidP="00335619">
      <w:pPr>
        <w:rPr>
          <w:bCs/>
        </w:rPr>
      </w:pPr>
    </w:p>
    <w:p w14:paraId="6E84470A" w14:textId="77777777" w:rsidR="00335619" w:rsidRPr="0023367D" w:rsidRDefault="00335619" w:rsidP="00335619">
      <w:pPr>
        <w:rPr>
          <w:bCs/>
        </w:rPr>
      </w:pPr>
      <w:proofErr w:type="spellStart"/>
      <w:r w:rsidRPr="0023367D">
        <w:rPr>
          <w:bCs/>
        </w:rPr>
        <w:t>Dudney</w:t>
      </w:r>
      <w:proofErr w:type="spellEnd"/>
      <w:r w:rsidRPr="0023367D">
        <w:rPr>
          <w:bCs/>
        </w:rPr>
        <w:t xml:space="preserve">, D., and J. </w:t>
      </w:r>
      <w:proofErr w:type="spellStart"/>
      <w:r w:rsidRPr="0023367D">
        <w:rPr>
          <w:bCs/>
        </w:rPr>
        <w:t>Geppert</w:t>
      </w:r>
      <w:proofErr w:type="spellEnd"/>
      <w:r w:rsidRPr="0023367D">
        <w:rPr>
          <w:bCs/>
        </w:rPr>
        <w:t xml:space="preserve">, 2008. “Do Tax-Exempt Yields Adjust Slowly to Substantial Changes in Taxable Yields?” </w:t>
      </w:r>
      <w:r w:rsidRPr="0023367D">
        <w:rPr>
          <w:bCs/>
          <w:i/>
          <w:iCs/>
        </w:rPr>
        <w:t>Journal of Futures Markets,</w:t>
      </w:r>
      <w:r w:rsidRPr="0023367D">
        <w:rPr>
          <w:bCs/>
        </w:rPr>
        <w:t xml:space="preserve"> 28 (8): 763-789 </w:t>
      </w:r>
    </w:p>
    <w:p w14:paraId="63A645BD" w14:textId="77777777" w:rsidR="00335619" w:rsidRPr="0023367D" w:rsidRDefault="00335619" w:rsidP="00335619"/>
    <w:p w14:paraId="7CCE4E48" w14:textId="0FF39C99" w:rsidR="00A945E3" w:rsidRDefault="00A945E3" w:rsidP="00335619">
      <w:r>
        <w:t xml:space="preserve">Easley, D. and M. </w:t>
      </w:r>
      <w:r w:rsidR="003A60FD">
        <w:t>O’Hara</w:t>
      </w:r>
      <w:r>
        <w:t>, 2004. “Information and the Cost of Capital</w:t>
      </w:r>
      <w:r w:rsidR="00972C64">
        <w:t>,</w:t>
      </w:r>
      <w:r>
        <w:t xml:space="preserve">” </w:t>
      </w:r>
      <w:r w:rsidRPr="006E5CE9">
        <w:rPr>
          <w:i/>
          <w:iCs/>
        </w:rPr>
        <w:t>Journal of Finance</w:t>
      </w:r>
      <w:r>
        <w:t>, 59 (3): 1553-1583.</w:t>
      </w:r>
    </w:p>
    <w:p w14:paraId="119E0C35" w14:textId="77777777" w:rsidR="00A945E3" w:rsidRDefault="00A945E3" w:rsidP="00335619"/>
    <w:p w14:paraId="7746FE07" w14:textId="77777777" w:rsidR="00335619" w:rsidRPr="0023367D" w:rsidRDefault="00335619" w:rsidP="00335619">
      <w:r w:rsidRPr="0023367D">
        <w:t xml:space="preserve">Easton, P.D., S. J. </w:t>
      </w:r>
      <w:proofErr w:type="spellStart"/>
      <w:r w:rsidRPr="0023367D">
        <w:t>Monhahn</w:t>
      </w:r>
      <w:proofErr w:type="spellEnd"/>
      <w:r w:rsidRPr="0023367D">
        <w:t xml:space="preserve">, and F. P. </w:t>
      </w:r>
      <w:proofErr w:type="spellStart"/>
      <w:r w:rsidRPr="0023367D">
        <w:t>Vasvari</w:t>
      </w:r>
      <w:proofErr w:type="spellEnd"/>
      <w:r w:rsidRPr="0023367D">
        <w:t xml:space="preserve">, 2009. “Initial Evidence on the Role of Accounting Earnings in the Bond Market,” </w:t>
      </w:r>
      <w:r w:rsidRPr="0023367D">
        <w:rPr>
          <w:i/>
        </w:rPr>
        <w:t>Journal of Accounting Research</w:t>
      </w:r>
      <w:r w:rsidRPr="0023367D">
        <w:t>, 47 (3): 721- 766.</w:t>
      </w:r>
    </w:p>
    <w:p w14:paraId="798C5C42" w14:textId="77777777" w:rsidR="00335619" w:rsidRPr="0023367D" w:rsidRDefault="00335619" w:rsidP="00335619"/>
    <w:p w14:paraId="18BC4AC9" w14:textId="77777777" w:rsidR="00335619" w:rsidRPr="0023367D" w:rsidRDefault="00335619" w:rsidP="00335619">
      <w:r w:rsidRPr="0023367D">
        <w:t xml:space="preserve">Elliott, J.A., A. Ghosh, and D. Moon, 2010. “Asymmetric Valuation of Sustained Growth by Bond- and Equity-holders,” </w:t>
      </w:r>
      <w:r w:rsidRPr="0023367D">
        <w:rPr>
          <w:i/>
          <w:iCs/>
        </w:rPr>
        <w:t>Review of Accounting Studies</w:t>
      </w:r>
      <w:r w:rsidRPr="0023367D">
        <w:rPr>
          <w:iCs/>
        </w:rPr>
        <w:t>,</w:t>
      </w:r>
      <w:r w:rsidRPr="0023367D">
        <w:t xml:space="preserve"> 15: 833-878. </w:t>
      </w:r>
    </w:p>
    <w:p w14:paraId="0A8DCFC6" w14:textId="77777777" w:rsidR="00335619" w:rsidRPr="0023367D" w:rsidRDefault="00335619" w:rsidP="00335619"/>
    <w:p w14:paraId="7D688EBB" w14:textId="77777777" w:rsidR="00335619" w:rsidRPr="0023367D" w:rsidRDefault="00335619" w:rsidP="00335619">
      <w:r w:rsidRPr="0023367D">
        <w:t xml:space="preserve">Ely, K., and G. </w:t>
      </w:r>
      <w:proofErr w:type="spellStart"/>
      <w:r w:rsidRPr="0023367D">
        <w:t>Waymire</w:t>
      </w:r>
      <w:proofErr w:type="spellEnd"/>
      <w:r w:rsidRPr="0023367D">
        <w:t xml:space="preserve">, 1999. “Accounting Standard-setting Organizations and Earnings Relevance: Longitudinal Evidence from NYSE Common Stock, 1927-93,” </w:t>
      </w:r>
      <w:r w:rsidRPr="0023367D">
        <w:rPr>
          <w:i/>
        </w:rPr>
        <w:t>Journal</w:t>
      </w:r>
      <w:r w:rsidRPr="0023367D">
        <w:t xml:space="preserve"> </w:t>
      </w:r>
      <w:r w:rsidRPr="0023367D">
        <w:rPr>
          <w:i/>
          <w:iCs/>
        </w:rPr>
        <w:t>of Accounting Research</w:t>
      </w:r>
      <w:r w:rsidRPr="0023367D">
        <w:rPr>
          <w:iCs/>
        </w:rPr>
        <w:t>,</w:t>
      </w:r>
      <w:r w:rsidRPr="0023367D">
        <w:rPr>
          <w:i/>
          <w:iCs/>
        </w:rPr>
        <w:t xml:space="preserve"> </w:t>
      </w:r>
      <w:r w:rsidRPr="0023367D">
        <w:t xml:space="preserve">37: 293-318. </w:t>
      </w:r>
    </w:p>
    <w:p w14:paraId="2F3897CB" w14:textId="77777777" w:rsidR="00335619" w:rsidRPr="0023367D" w:rsidRDefault="00335619" w:rsidP="00335619"/>
    <w:p w14:paraId="292403F7" w14:textId="77777777" w:rsidR="00335619" w:rsidRPr="0023367D" w:rsidRDefault="00335619" w:rsidP="00335619">
      <w:pPr>
        <w:tabs>
          <w:tab w:val="left" w:pos="1170"/>
        </w:tabs>
      </w:pPr>
      <w:r w:rsidRPr="0023367D">
        <w:t xml:space="preserve">Francis J., and K. </w:t>
      </w:r>
      <w:proofErr w:type="spellStart"/>
      <w:r w:rsidRPr="0023367D">
        <w:t>Schipper</w:t>
      </w:r>
      <w:proofErr w:type="spellEnd"/>
      <w:r w:rsidRPr="0023367D">
        <w:t xml:space="preserve">, 1999. “Have Financial Statements Lost their Relevance?” </w:t>
      </w:r>
      <w:r w:rsidRPr="0023367D">
        <w:rPr>
          <w:i/>
          <w:iCs/>
        </w:rPr>
        <w:t>Journal of Accounting Research</w:t>
      </w:r>
      <w:r w:rsidRPr="0023367D">
        <w:rPr>
          <w:iCs/>
        </w:rPr>
        <w:t>,</w:t>
      </w:r>
      <w:r w:rsidRPr="0023367D">
        <w:t xml:space="preserve"> 37: 319-352. </w:t>
      </w:r>
    </w:p>
    <w:p w14:paraId="65B8DD91" w14:textId="77777777" w:rsidR="00335619" w:rsidRPr="0023367D" w:rsidRDefault="00335619" w:rsidP="00335619">
      <w:pPr>
        <w:tabs>
          <w:tab w:val="left" w:pos="1170"/>
        </w:tabs>
      </w:pPr>
    </w:p>
    <w:p w14:paraId="0018DE6B" w14:textId="77777777" w:rsidR="00335619" w:rsidRPr="0023367D" w:rsidRDefault="00335619" w:rsidP="00335619">
      <w:pPr>
        <w:tabs>
          <w:tab w:val="left" w:pos="1170"/>
        </w:tabs>
      </w:pPr>
      <w:proofErr w:type="spellStart"/>
      <w:r w:rsidRPr="0023367D">
        <w:t>Franzen</w:t>
      </w:r>
      <w:proofErr w:type="spellEnd"/>
      <w:r w:rsidRPr="0023367D">
        <w:t xml:space="preserve">, L.A., K.J. Rodgers, and T.T. Simon, 2007. “Measuring Distress Risk: The Effect of R&amp;D Intensity,” </w:t>
      </w:r>
      <w:r w:rsidRPr="0023367D">
        <w:rPr>
          <w:i/>
        </w:rPr>
        <w:t>The Journal of Finance</w:t>
      </w:r>
      <w:r w:rsidRPr="0023367D">
        <w:t xml:space="preserve"> 62(6): 2931-2967.</w:t>
      </w:r>
    </w:p>
    <w:p w14:paraId="55196112" w14:textId="77777777" w:rsidR="00335619" w:rsidRPr="0023367D" w:rsidRDefault="00335619" w:rsidP="00335619"/>
    <w:p w14:paraId="49ADE434" w14:textId="77777777" w:rsidR="00335619" w:rsidRPr="0023367D" w:rsidRDefault="00335619" w:rsidP="00335619">
      <w:pPr>
        <w:rPr>
          <w:bCs/>
        </w:rPr>
      </w:pPr>
      <w:r w:rsidRPr="0023367D">
        <w:rPr>
          <w:bCs/>
        </w:rPr>
        <w:t xml:space="preserve">Gay, G.D., and S. </w:t>
      </w:r>
      <w:proofErr w:type="spellStart"/>
      <w:r w:rsidRPr="0023367D">
        <w:rPr>
          <w:bCs/>
        </w:rPr>
        <w:t>Manaster</w:t>
      </w:r>
      <w:proofErr w:type="spellEnd"/>
      <w:r w:rsidRPr="0023367D">
        <w:rPr>
          <w:bCs/>
        </w:rPr>
        <w:t>, 1991. “Equilibrium Treasury Bond Futures Pricing in the Presence of Implicit Delivery Options,”</w:t>
      </w:r>
      <w:r w:rsidRPr="0023367D">
        <w:rPr>
          <w:bCs/>
          <w:i/>
          <w:iCs/>
        </w:rPr>
        <w:t xml:space="preserve"> Journal of Futures Markets</w:t>
      </w:r>
      <w:r w:rsidRPr="0023367D">
        <w:rPr>
          <w:bCs/>
          <w:iCs/>
        </w:rPr>
        <w:t>,</w:t>
      </w:r>
      <w:r w:rsidRPr="0023367D">
        <w:rPr>
          <w:bCs/>
        </w:rPr>
        <w:t xml:space="preserve"> 11 (5): 623-645.</w:t>
      </w:r>
    </w:p>
    <w:p w14:paraId="2F187F40" w14:textId="77777777" w:rsidR="00335619" w:rsidRPr="0023367D" w:rsidRDefault="00335619" w:rsidP="00335619">
      <w:pPr>
        <w:rPr>
          <w:bCs/>
        </w:rPr>
      </w:pPr>
    </w:p>
    <w:p w14:paraId="59D6845A" w14:textId="77777777" w:rsidR="00335619" w:rsidRPr="0023367D" w:rsidRDefault="00335619" w:rsidP="00335619">
      <w:pPr>
        <w:rPr>
          <w:bCs/>
        </w:rPr>
      </w:pPr>
      <w:proofErr w:type="spellStart"/>
      <w:r w:rsidRPr="0023367D">
        <w:rPr>
          <w:bCs/>
        </w:rPr>
        <w:t>Givoly</w:t>
      </w:r>
      <w:proofErr w:type="spellEnd"/>
      <w:r w:rsidRPr="0023367D">
        <w:rPr>
          <w:bCs/>
        </w:rPr>
        <w:t xml:space="preserve">, D., and C. </w:t>
      </w:r>
      <w:proofErr w:type="spellStart"/>
      <w:r w:rsidRPr="0023367D">
        <w:rPr>
          <w:bCs/>
        </w:rPr>
        <w:t>Hayn</w:t>
      </w:r>
      <w:proofErr w:type="spellEnd"/>
      <w:r w:rsidRPr="0023367D">
        <w:rPr>
          <w:bCs/>
        </w:rPr>
        <w:t xml:space="preserve">, 2000. “The Changing Time-Series Properties of Earnings, Cash Flows and Accruals: Has Financial Reporting Become More Conservative?” </w:t>
      </w:r>
    </w:p>
    <w:p w14:paraId="15A06330" w14:textId="77777777" w:rsidR="00335619" w:rsidRPr="0023367D" w:rsidRDefault="00335619" w:rsidP="00335619">
      <w:pPr>
        <w:rPr>
          <w:bCs/>
        </w:rPr>
      </w:pPr>
      <w:r w:rsidRPr="0023367D">
        <w:rPr>
          <w:bCs/>
          <w:i/>
        </w:rPr>
        <w:t xml:space="preserve">Journal of Accounting and Economics </w:t>
      </w:r>
      <w:r w:rsidRPr="0023367D">
        <w:rPr>
          <w:bCs/>
        </w:rPr>
        <w:t>29: 287–320.</w:t>
      </w:r>
    </w:p>
    <w:p w14:paraId="4509F0E5" w14:textId="77777777" w:rsidR="00335619" w:rsidRPr="0023367D" w:rsidRDefault="00335619" w:rsidP="00335619">
      <w:pPr>
        <w:rPr>
          <w:bCs/>
        </w:rPr>
      </w:pPr>
    </w:p>
    <w:p w14:paraId="296B4D78" w14:textId="77777777" w:rsidR="00335619" w:rsidRPr="0023367D" w:rsidRDefault="00335619" w:rsidP="00335619">
      <w:pPr>
        <w:rPr>
          <w:bCs/>
        </w:rPr>
      </w:pPr>
      <w:proofErr w:type="spellStart"/>
      <w:r w:rsidRPr="0023367D">
        <w:rPr>
          <w:bCs/>
        </w:rPr>
        <w:t>Givoly</w:t>
      </w:r>
      <w:proofErr w:type="spellEnd"/>
      <w:r w:rsidRPr="0023367D">
        <w:rPr>
          <w:bCs/>
        </w:rPr>
        <w:t xml:space="preserve">, D., C. </w:t>
      </w:r>
      <w:proofErr w:type="spellStart"/>
      <w:r w:rsidRPr="0023367D">
        <w:rPr>
          <w:bCs/>
        </w:rPr>
        <w:t>Hayn</w:t>
      </w:r>
      <w:proofErr w:type="spellEnd"/>
      <w:r w:rsidRPr="0023367D">
        <w:rPr>
          <w:bCs/>
        </w:rPr>
        <w:t xml:space="preserve">, and S. Katz, 2010. “Does Public Ownership of Equity Improve Earnings Quality?” </w:t>
      </w:r>
      <w:r w:rsidRPr="0023367D">
        <w:rPr>
          <w:bCs/>
          <w:i/>
        </w:rPr>
        <w:t>The Accounting Review</w:t>
      </w:r>
      <w:r w:rsidRPr="0023367D">
        <w:rPr>
          <w:bCs/>
        </w:rPr>
        <w:t>, 85 (1): 195-225</w:t>
      </w:r>
      <w:r w:rsidR="0084558B">
        <w:rPr>
          <w:bCs/>
        </w:rPr>
        <w:t xml:space="preserve">. </w:t>
      </w:r>
    </w:p>
    <w:p w14:paraId="1487CAFD" w14:textId="77777777" w:rsidR="00335619" w:rsidRPr="0023367D" w:rsidRDefault="00335619" w:rsidP="00335619"/>
    <w:p w14:paraId="38830FF2" w14:textId="77777777" w:rsidR="00335619" w:rsidRPr="0023367D" w:rsidRDefault="00335619" w:rsidP="00335619">
      <w:pPr>
        <w:rPr>
          <w:i/>
        </w:rPr>
      </w:pPr>
      <w:proofErr w:type="spellStart"/>
      <w:r w:rsidRPr="0023367D">
        <w:t>Gkougkousi</w:t>
      </w:r>
      <w:proofErr w:type="spellEnd"/>
      <w:r w:rsidRPr="0023367D">
        <w:t xml:space="preserve">, X., 2012. “Aggregate Earnings and Corporate Bond Markets,” </w:t>
      </w:r>
      <w:r w:rsidRPr="0023367D">
        <w:rPr>
          <w:i/>
        </w:rPr>
        <w:t>Working Paper, Erasmus University.</w:t>
      </w:r>
    </w:p>
    <w:p w14:paraId="17078E0F" w14:textId="77777777" w:rsidR="00335619" w:rsidRPr="0023367D" w:rsidRDefault="00335619" w:rsidP="00335619"/>
    <w:p w14:paraId="17E19272" w14:textId="77777777" w:rsidR="00335619" w:rsidRPr="0023367D" w:rsidRDefault="00335619" w:rsidP="00335619">
      <w:r w:rsidRPr="0023367D">
        <w:t xml:space="preserve">Hancock, D., and M.L. </w:t>
      </w:r>
      <w:proofErr w:type="spellStart"/>
      <w:r w:rsidRPr="0023367D">
        <w:t>Kwast</w:t>
      </w:r>
      <w:proofErr w:type="spellEnd"/>
      <w:r w:rsidRPr="0023367D">
        <w:t>, 2001. “Using Subordinated Debt to Monitor Bank Holding Companies: Is it Feasible?”</w:t>
      </w:r>
      <w:r w:rsidRPr="0023367D">
        <w:rPr>
          <w:i/>
          <w:iCs/>
        </w:rPr>
        <w:t xml:space="preserve"> Journal of Financial Services Research</w:t>
      </w:r>
      <w:r w:rsidRPr="0023367D">
        <w:rPr>
          <w:iCs/>
        </w:rPr>
        <w:t>,</w:t>
      </w:r>
      <w:r w:rsidRPr="0023367D">
        <w:t xml:space="preserve"> 20 (2/3): 147-187. </w:t>
      </w:r>
    </w:p>
    <w:p w14:paraId="43BBCD58" w14:textId="77777777" w:rsidR="00335619" w:rsidRPr="0023367D" w:rsidRDefault="00335619" w:rsidP="00335619"/>
    <w:p w14:paraId="16C19013" w14:textId="77777777" w:rsidR="00335619" w:rsidRPr="0023367D" w:rsidRDefault="00335619" w:rsidP="00335619">
      <w:r w:rsidRPr="0023367D">
        <w:t xml:space="preserve">Hand, J. R.M., R.W. </w:t>
      </w:r>
      <w:proofErr w:type="spellStart"/>
      <w:r w:rsidRPr="0023367D">
        <w:t>Holthausen</w:t>
      </w:r>
      <w:proofErr w:type="spellEnd"/>
      <w:r w:rsidRPr="0023367D">
        <w:t xml:space="preserve">, and R.W. </w:t>
      </w:r>
      <w:proofErr w:type="spellStart"/>
      <w:r w:rsidRPr="0023367D">
        <w:t>Leftwich</w:t>
      </w:r>
      <w:proofErr w:type="spellEnd"/>
      <w:r w:rsidRPr="0023367D">
        <w:t xml:space="preserve">, 1992. “The Effect of Bond Rating Agency Announcements on Bond and Stock Prices,” </w:t>
      </w:r>
      <w:r w:rsidRPr="0023367D">
        <w:rPr>
          <w:i/>
          <w:iCs/>
        </w:rPr>
        <w:t>The Journal of Finance</w:t>
      </w:r>
      <w:r w:rsidRPr="0023367D">
        <w:rPr>
          <w:iCs/>
        </w:rPr>
        <w:t>,</w:t>
      </w:r>
      <w:r w:rsidRPr="0023367D">
        <w:t xml:space="preserve"> 47 (2): 733-752. </w:t>
      </w:r>
    </w:p>
    <w:p w14:paraId="1AC0D9FC" w14:textId="77777777" w:rsidR="00335619" w:rsidRPr="0023367D" w:rsidRDefault="00335619" w:rsidP="00335619"/>
    <w:p w14:paraId="73774B0C" w14:textId="77777777" w:rsidR="00335619" w:rsidRPr="0023367D" w:rsidRDefault="00335619" w:rsidP="00335619">
      <w:pPr>
        <w:pStyle w:val="Reference"/>
        <w:ind w:left="0"/>
        <w:rPr>
          <w:rFonts w:cs="Times New Roman"/>
        </w:rPr>
      </w:pPr>
      <w:r w:rsidRPr="0023367D">
        <w:rPr>
          <w:rFonts w:cs="Times New Roman"/>
        </w:rPr>
        <w:t xml:space="preserve">      Hanlon, M., S. </w:t>
      </w:r>
      <w:proofErr w:type="spellStart"/>
      <w:r w:rsidRPr="0023367D">
        <w:rPr>
          <w:rFonts w:cs="Times New Roman"/>
        </w:rPr>
        <w:t>LaPlante</w:t>
      </w:r>
      <w:proofErr w:type="spellEnd"/>
      <w:r w:rsidRPr="0023367D">
        <w:rPr>
          <w:rFonts w:cs="Times New Roman"/>
        </w:rPr>
        <w:t xml:space="preserve">, and T. </w:t>
      </w:r>
      <w:proofErr w:type="spellStart"/>
      <w:r w:rsidRPr="0023367D">
        <w:rPr>
          <w:rFonts w:cs="Times New Roman"/>
        </w:rPr>
        <w:t>Shevlin</w:t>
      </w:r>
      <w:proofErr w:type="spellEnd"/>
      <w:r w:rsidRPr="0023367D">
        <w:rPr>
          <w:rFonts w:cs="Times New Roman"/>
        </w:rPr>
        <w:t xml:space="preserve">, 2005. Evidence for the </w:t>
      </w:r>
      <w:r w:rsidR="003346F2">
        <w:rPr>
          <w:rFonts w:cs="Times New Roman"/>
        </w:rPr>
        <w:t>P</w:t>
      </w:r>
      <w:r w:rsidR="003346F2" w:rsidRPr="0023367D">
        <w:rPr>
          <w:rFonts w:cs="Times New Roman"/>
        </w:rPr>
        <w:t xml:space="preserve">ossible </w:t>
      </w:r>
      <w:r w:rsidR="003346F2">
        <w:rPr>
          <w:rFonts w:cs="Times New Roman"/>
        </w:rPr>
        <w:t>I</w:t>
      </w:r>
      <w:r w:rsidR="003346F2" w:rsidRPr="0023367D">
        <w:rPr>
          <w:rFonts w:cs="Times New Roman"/>
        </w:rPr>
        <w:t xml:space="preserve">nformation </w:t>
      </w:r>
      <w:r w:rsidR="003346F2">
        <w:rPr>
          <w:rFonts w:cs="Times New Roman"/>
        </w:rPr>
        <w:t>L</w:t>
      </w:r>
      <w:r w:rsidR="003346F2" w:rsidRPr="0023367D">
        <w:rPr>
          <w:rFonts w:cs="Times New Roman"/>
        </w:rPr>
        <w:t xml:space="preserve">oss </w:t>
      </w:r>
      <w:r w:rsidRPr="0023367D">
        <w:rPr>
          <w:rFonts w:cs="Times New Roman"/>
        </w:rPr>
        <w:t xml:space="preserve">of </w:t>
      </w:r>
      <w:r w:rsidR="003346F2">
        <w:rPr>
          <w:rFonts w:cs="Times New Roman"/>
        </w:rPr>
        <w:t>C</w:t>
      </w:r>
      <w:r w:rsidRPr="0023367D">
        <w:rPr>
          <w:rFonts w:cs="Times New Roman"/>
        </w:rPr>
        <w:t xml:space="preserve">onforming </w:t>
      </w:r>
      <w:r w:rsidR="003346F2">
        <w:rPr>
          <w:rFonts w:cs="Times New Roman"/>
        </w:rPr>
        <w:t>B</w:t>
      </w:r>
      <w:r w:rsidRPr="0023367D">
        <w:rPr>
          <w:rFonts w:cs="Times New Roman"/>
        </w:rPr>
        <w:t xml:space="preserve">ook </w:t>
      </w:r>
      <w:r w:rsidR="003346F2">
        <w:rPr>
          <w:rFonts w:cs="Times New Roman"/>
        </w:rPr>
        <w:t>I</w:t>
      </w:r>
      <w:r w:rsidR="003346F2" w:rsidRPr="0023367D">
        <w:rPr>
          <w:rFonts w:cs="Times New Roman"/>
        </w:rPr>
        <w:t xml:space="preserve">ncome </w:t>
      </w:r>
      <w:r w:rsidRPr="0023367D">
        <w:rPr>
          <w:rFonts w:cs="Times New Roman"/>
        </w:rPr>
        <w:t xml:space="preserve">and </w:t>
      </w:r>
      <w:r w:rsidR="003346F2">
        <w:rPr>
          <w:rFonts w:cs="Times New Roman"/>
        </w:rPr>
        <w:t>T</w:t>
      </w:r>
      <w:r w:rsidRPr="0023367D">
        <w:rPr>
          <w:rFonts w:cs="Times New Roman"/>
        </w:rPr>
        <w:t xml:space="preserve">axable </w:t>
      </w:r>
      <w:r w:rsidR="003346F2">
        <w:rPr>
          <w:rFonts w:cs="Times New Roman"/>
        </w:rPr>
        <w:t>I</w:t>
      </w:r>
      <w:r w:rsidRPr="0023367D">
        <w:rPr>
          <w:rFonts w:cs="Times New Roman"/>
        </w:rPr>
        <w:t>ncome</w:t>
      </w:r>
      <w:r w:rsidR="00972C64">
        <w:rPr>
          <w:rFonts w:cs="Times New Roman"/>
        </w:rPr>
        <w:t>,”</w:t>
      </w:r>
      <w:r w:rsidRPr="0023367D">
        <w:rPr>
          <w:rFonts w:cs="Times New Roman"/>
        </w:rPr>
        <w:t xml:space="preserve"> </w:t>
      </w:r>
      <w:r w:rsidRPr="0023367D">
        <w:rPr>
          <w:rFonts w:cs="Times New Roman"/>
          <w:i/>
        </w:rPr>
        <w:t>Journal of Law and Economics</w:t>
      </w:r>
      <w:r w:rsidRPr="0023367D">
        <w:rPr>
          <w:rFonts w:cs="Times New Roman"/>
        </w:rPr>
        <w:t>, 68 (2): 407–442.</w:t>
      </w:r>
    </w:p>
    <w:p w14:paraId="4286F588" w14:textId="77777777" w:rsidR="00A04BEF" w:rsidRPr="006E5CE9" w:rsidRDefault="00A04BEF" w:rsidP="00335619">
      <w:pPr>
        <w:rPr>
          <w:rFonts w:cs="OPEPHJ+TimesNewRomanPSMT"/>
          <w:color w:val="000000"/>
          <w:szCs w:val="22"/>
        </w:rPr>
      </w:pPr>
      <w:r w:rsidRPr="006E5CE9">
        <w:rPr>
          <w:rFonts w:cs="OPEPHJ+TimesNewRomanPSMT"/>
          <w:color w:val="000000"/>
          <w:szCs w:val="22"/>
        </w:rPr>
        <w:t xml:space="preserve">Harris, T.S., Lang, M., </w:t>
      </w:r>
      <w:proofErr w:type="spellStart"/>
      <w:r w:rsidRPr="006E5CE9">
        <w:rPr>
          <w:rFonts w:cs="OPEPHJ+TimesNewRomanPSMT"/>
          <w:color w:val="000000"/>
          <w:szCs w:val="22"/>
        </w:rPr>
        <w:t>Möller</w:t>
      </w:r>
      <w:proofErr w:type="spellEnd"/>
      <w:r w:rsidRPr="006E5CE9">
        <w:rPr>
          <w:rFonts w:cs="OPEPHJ+TimesNewRomanPSMT"/>
          <w:color w:val="000000"/>
          <w:szCs w:val="22"/>
        </w:rPr>
        <w:t xml:space="preserve">, H.P., 1994. </w:t>
      </w:r>
      <w:r w:rsidR="00972C64">
        <w:rPr>
          <w:rFonts w:cs="OPEPHJ+TimesNewRomanPSMT"/>
          <w:color w:val="000000"/>
          <w:szCs w:val="22"/>
        </w:rPr>
        <w:t>“</w:t>
      </w:r>
      <w:r w:rsidRPr="006E5CE9">
        <w:rPr>
          <w:rFonts w:cs="OPEPHJ+TimesNewRomanPSMT"/>
          <w:color w:val="000000"/>
          <w:szCs w:val="22"/>
        </w:rPr>
        <w:t xml:space="preserve">The </w:t>
      </w:r>
      <w:r>
        <w:rPr>
          <w:rFonts w:cs="OPEPHJ+TimesNewRomanPSMT"/>
          <w:color w:val="000000"/>
          <w:szCs w:val="22"/>
        </w:rPr>
        <w:t>V</w:t>
      </w:r>
      <w:r w:rsidRPr="006E5CE9">
        <w:rPr>
          <w:rFonts w:cs="OPEPHJ+TimesNewRomanPSMT"/>
          <w:color w:val="000000"/>
          <w:szCs w:val="22"/>
        </w:rPr>
        <w:t xml:space="preserve">alue </w:t>
      </w:r>
      <w:r>
        <w:rPr>
          <w:rFonts w:cs="OPEPHJ+TimesNewRomanPSMT"/>
          <w:color w:val="000000"/>
          <w:szCs w:val="22"/>
        </w:rPr>
        <w:t>R</w:t>
      </w:r>
      <w:r w:rsidRPr="006E5CE9">
        <w:rPr>
          <w:rFonts w:cs="OPEPHJ+TimesNewRomanPSMT"/>
          <w:color w:val="000000"/>
          <w:szCs w:val="22"/>
        </w:rPr>
        <w:t xml:space="preserve">elevance of German </w:t>
      </w:r>
      <w:r>
        <w:rPr>
          <w:rFonts w:cs="OPEPHJ+TimesNewRomanPSMT"/>
          <w:color w:val="000000"/>
          <w:szCs w:val="22"/>
        </w:rPr>
        <w:t>A</w:t>
      </w:r>
      <w:r w:rsidRPr="006E5CE9">
        <w:rPr>
          <w:rFonts w:cs="OPEPHJ+TimesNewRomanPSMT"/>
          <w:color w:val="000000"/>
          <w:szCs w:val="22"/>
        </w:rPr>
        <w:t xml:space="preserve">ccounting </w:t>
      </w:r>
      <w:r>
        <w:rPr>
          <w:rFonts w:cs="OPEPHJ+TimesNewRomanPSMT"/>
          <w:color w:val="000000"/>
          <w:szCs w:val="22"/>
        </w:rPr>
        <w:t>M</w:t>
      </w:r>
      <w:r w:rsidRPr="006E5CE9">
        <w:rPr>
          <w:rFonts w:cs="OPEPHJ+TimesNewRomanPSMT"/>
          <w:color w:val="000000"/>
          <w:szCs w:val="22"/>
        </w:rPr>
        <w:t xml:space="preserve">easures: An </w:t>
      </w:r>
      <w:r w:rsidR="003346F2">
        <w:rPr>
          <w:rFonts w:cs="OPEPHJ+TimesNewRomanPSMT"/>
          <w:color w:val="000000"/>
          <w:szCs w:val="22"/>
        </w:rPr>
        <w:t>E</w:t>
      </w:r>
      <w:r w:rsidRPr="006E5CE9">
        <w:rPr>
          <w:rFonts w:cs="OPEPHJ+TimesNewRomanPSMT"/>
          <w:color w:val="000000"/>
          <w:szCs w:val="22"/>
        </w:rPr>
        <w:t xml:space="preserve">mpirical </w:t>
      </w:r>
      <w:r w:rsidR="003346F2">
        <w:rPr>
          <w:rFonts w:cs="OPEPHJ+TimesNewRomanPSMT"/>
          <w:color w:val="000000"/>
          <w:szCs w:val="22"/>
        </w:rPr>
        <w:t>A</w:t>
      </w:r>
      <w:r w:rsidRPr="006E5CE9">
        <w:rPr>
          <w:rFonts w:cs="OPEPHJ+TimesNewRomanPSMT"/>
          <w:color w:val="000000"/>
          <w:szCs w:val="22"/>
        </w:rPr>
        <w:t>nalysis</w:t>
      </w:r>
      <w:r w:rsidR="00972C64">
        <w:rPr>
          <w:rFonts w:cs="OPEPHJ+TimesNewRomanPSMT"/>
          <w:color w:val="000000"/>
          <w:szCs w:val="22"/>
        </w:rPr>
        <w:t>,”</w:t>
      </w:r>
      <w:r w:rsidRPr="006E5CE9">
        <w:rPr>
          <w:rFonts w:cs="OPEPHJ+TimesNewRomanPSMT"/>
          <w:color w:val="000000"/>
          <w:szCs w:val="22"/>
        </w:rPr>
        <w:t xml:space="preserve"> </w:t>
      </w:r>
      <w:r w:rsidRPr="006E5CE9">
        <w:rPr>
          <w:rFonts w:cs="OPEPHJ+TimesNewRomanPSMT"/>
          <w:i/>
          <w:color w:val="000000"/>
          <w:szCs w:val="22"/>
        </w:rPr>
        <w:t>Journal of Accounting Research</w:t>
      </w:r>
      <w:r w:rsidRPr="006E5CE9">
        <w:rPr>
          <w:rFonts w:cs="OPEPHJ+TimesNewRomanPSMT"/>
          <w:color w:val="000000"/>
          <w:szCs w:val="22"/>
        </w:rPr>
        <w:t xml:space="preserve"> 32, 187-209.</w:t>
      </w:r>
    </w:p>
    <w:p w14:paraId="4E864B15" w14:textId="77777777" w:rsidR="00A04BEF" w:rsidRDefault="00A04BEF" w:rsidP="00335619"/>
    <w:p w14:paraId="10FB34F5" w14:textId="77777777" w:rsidR="00335619" w:rsidRPr="0023367D" w:rsidRDefault="00335619" w:rsidP="00335619">
      <w:proofErr w:type="spellStart"/>
      <w:r w:rsidRPr="0023367D">
        <w:t>Hayn</w:t>
      </w:r>
      <w:proofErr w:type="spellEnd"/>
      <w:r w:rsidRPr="0023367D">
        <w:t>, C., 1995. “The Information Content of Losses</w:t>
      </w:r>
      <w:r w:rsidR="00972C64">
        <w:t>,</w:t>
      </w:r>
      <w:r w:rsidRPr="0023367D">
        <w:t xml:space="preserve">” </w:t>
      </w:r>
      <w:r w:rsidRPr="0023367D">
        <w:rPr>
          <w:i/>
          <w:iCs/>
        </w:rPr>
        <w:t>Journal of Accounting and Economics</w:t>
      </w:r>
      <w:r w:rsidRPr="0023367D">
        <w:rPr>
          <w:iCs/>
        </w:rPr>
        <w:t>,</w:t>
      </w:r>
      <w:r w:rsidRPr="0023367D">
        <w:t xml:space="preserve"> 20: 125-153.</w:t>
      </w:r>
    </w:p>
    <w:p w14:paraId="102B43B1" w14:textId="77777777" w:rsidR="00335619" w:rsidRPr="0023367D" w:rsidRDefault="00335619" w:rsidP="00335619"/>
    <w:p w14:paraId="66D0A8FA" w14:textId="77777777" w:rsidR="00335619" w:rsidRPr="0023367D" w:rsidRDefault="00335619" w:rsidP="00335619">
      <w:proofErr w:type="spellStart"/>
      <w:r w:rsidRPr="0023367D">
        <w:t>Hemler</w:t>
      </w:r>
      <w:proofErr w:type="spellEnd"/>
      <w:r w:rsidRPr="0023367D">
        <w:t xml:space="preserve">, M. L., 1990. “The Quality Delivery Option in Treasury Bond Futures Contracts,” </w:t>
      </w:r>
      <w:r w:rsidRPr="0023367D">
        <w:rPr>
          <w:i/>
          <w:iCs/>
        </w:rPr>
        <w:t>Journal of Finance</w:t>
      </w:r>
      <w:r w:rsidRPr="0023367D">
        <w:rPr>
          <w:iCs/>
        </w:rPr>
        <w:t>,</w:t>
      </w:r>
      <w:r w:rsidRPr="0023367D">
        <w:rPr>
          <w:i/>
          <w:iCs/>
        </w:rPr>
        <w:t xml:space="preserve"> </w:t>
      </w:r>
      <w:r w:rsidRPr="0023367D">
        <w:t xml:space="preserve">45 (5): 1565-1586. </w:t>
      </w:r>
    </w:p>
    <w:p w14:paraId="6DEF6A31" w14:textId="77777777" w:rsidR="00335619" w:rsidRPr="0023367D" w:rsidRDefault="00335619" w:rsidP="00335619"/>
    <w:p w14:paraId="14C9BECF" w14:textId="77777777" w:rsidR="00335619" w:rsidRPr="0023367D" w:rsidRDefault="00335619" w:rsidP="00335619">
      <w:pPr>
        <w:autoSpaceDE w:val="0"/>
        <w:autoSpaceDN w:val="0"/>
        <w:adjustRightInd w:val="0"/>
        <w:rPr>
          <w:rFonts w:ascii="AdvPTimes" w:hAnsi="AdvPTimes" w:cs="AdvPTimes"/>
          <w:sz w:val="16"/>
          <w:szCs w:val="16"/>
          <w:lang w:bidi="he-IL"/>
        </w:rPr>
      </w:pPr>
      <w:proofErr w:type="spellStart"/>
      <w:r w:rsidRPr="0023367D">
        <w:rPr>
          <w:lang w:bidi="he-IL"/>
        </w:rPr>
        <w:t>Hillegeist</w:t>
      </w:r>
      <w:proofErr w:type="spellEnd"/>
      <w:r w:rsidRPr="0023367D">
        <w:rPr>
          <w:lang w:bidi="he-IL"/>
        </w:rPr>
        <w:t>, S., E. Keating, D. Cram, and K.</w:t>
      </w:r>
      <w:r w:rsidR="00156800" w:rsidRPr="0023367D">
        <w:rPr>
          <w:lang w:bidi="he-IL"/>
        </w:rPr>
        <w:t xml:space="preserve"> </w:t>
      </w:r>
      <w:proofErr w:type="spellStart"/>
      <w:r w:rsidRPr="0023367D">
        <w:rPr>
          <w:lang w:bidi="he-IL"/>
        </w:rPr>
        <w:t>Lundstedt</w:t>
      </w:r>
      <w:proofErr w:type="spellEnd"/>
      <w:r w:rsidRPr="0023367D">
        <w:rPr>
          <w:lang w:bidi="he-IL"/>
        </w:rPr>
        <w:t xml:space="preserve">, 2004. “Assessing the Probability of Bankruptcy,” </w:t>
      </w:r>
      <w:r w:rsidRPr="0023367D">
        <w:rPr>
          <w:i/>
          <w:iCs/>
          <w:lang w:bidi="he-IL"/>
        </w:rPr>
        <w:t>Review of Accounting Studies,</w:t>
      </w:r>
      <w:r w:rsidRPr="0023367D">
        <w:rPr>
          <w:lang w:bidi="he-IL"/>
        </w:rPr>
        <w:t xml:space="preserve"> 9: 1573–7136</w:t>
      </w:r>
      <w:r w:rsidRPr="0023367D">
        <w:rPr>
          <w:rFonts w:ascii="AdvPTimes" w:hAnsi="AdvPTimes" w:cs="AdvPTimes"/>
          <w:sz w:val="16"/>
          <w:szCs w:val="16"/>
          <w:lang w:bidi="he-IL"/>
        </w:rPr>
        <w:t>.</w:t>
      </w:r>
    </w:p>
    <w:p w14:paraId="1AA9B8FC" w14:textId="77777777" w:rsidR="00335619" w:rsidRPr="0023367D" w:rsidRDefault="00335619" w:rsidP="00335619">
      <w:pPr>
        <w:autoSpaceDE w:val="0"/>
        <w:autoSpaceDN w:val="0"/>
        <w:adjustRightInd w:val="0"/>
        <w:rPr>
          <w:rFonts w:ascii="AdvPTimes" w:hAnsi="AdvPTimes" w:cs="AdvPTimes"/>
          <w:sz w:val="16"/>
          <w:szCs w:val="16"/>
          <w:lang w:bidi="he-IL"/>
        </w:rPr>
      </w:pPr>
    </w:p>
    <w:p w14:paraId="7C2A4E58" w14:textId="77777777" w:rsidR="00335619" w:rsidRPr="0023367D" w:rsidRDefault="00335619" w:rsidP="00AE2DE7">
      <w:pPr>
        <w:autoSpaceDE w:val="0"/>
        <w:autoSpaceDN w:val="0"/>
        <w:adjustRightInd w:val="0"/>
      </w:pPr>
      <w:proofErr w:type="spellStart"/>
      <w:r w:rsidRPr="0023367D">
        <w:rPr>
          <w:lang w:bidi="he-IL"/>
        </w:rPr>
        <w:t>Holthausen</w:t>
      </w:r>
      <w:proofErr w:type="spellEnd"/>
      <w:r w:rsidRPr="0023367D">
        <w:rPr>
          <w:lang w:bidi="he-IL"/>
        </w:rPr>
        <w:t>, R., and R. Watts, 2001. “The Relevance of the Value-Relevance Literature</w:t>
      </w:r>
      <w:r w:rsidR="00AE2DE7">
        <w:rPr>
          <w:lang w:bidi="he-IL"/>
        </w:rPr>
        <w:t xml:space="preserve"> </w:t>
      </w:r>
      <w:r w:rsidRPr="0023367D">
        <w:rPr>
          <w:lang w:bidi="he-IL"/>
        </w:rPr>
        <w:t>for Financial Accounting Standard Setting,”</w:t>
      </w:r>
      <w:r w:rsidRPr="0023367D">
        <w:rPr>
          <w:i/>
          <w:iCs/>
        </w:rPr>
        <w:t xml:space="preserve"> Journal of Accounting and Economics</w:t>
      </w:r>
      <w:r w:rsidRPr="0023367D">
        <w:rPr>
          <w:iCs/>
        </w:rPr>
        <w:t>,</w:t>
      </w:r>
      <w:r w:rsidRPr="0023367D">
        <w:t xml:space="preserve"> 31: 3-75.</w:t>
      </w:r>
    </w:p>
    <w:p w14:paraId="7E0C8C03" w14:textId="77777777" w:rsidR="00335619" w:rsidRPr="0023367D" w:rsidRDefault="00335619" w:rsidP="00335619">
      <w:pPr>
        <w:rPr>
          <w:rFonts w:ascii="AdvPTimes" w:hAnsi="AdvPTimes" w:cs="AdvPTimes"/>
          <w:sz w:val="16"/>
          <w:szCs w:val="16"/>
          <w:lang w:bidi="he-IL"/>
        </w:rPr>
      </w:pPr>
    </w:p>
    <w:p w14:paraId="42644DA5" w14:textId="77777777" w:rsidR="00335619" w:rsidRPr="0023367D" w:rsidRDefault="00335619" w:rsidP="00335619">
      <w:r w:rsidRPr="0023367D">
        <w:t xml:space="preserve">Katz, S., 2009. “Earnings Quality and Ownership Structure: The Role of Private Equity Sponsors,” </w:t>
      </w:r>
      <w:r w:rsidRPr="0023367D">
        <w:rPr>
          <w:i/>
        </w:rPr>
        <w:t>The Accounting Review</w:t>
      </w:r>
      <w:r w:rsidRPr="0023367D">
        <w:t xml:space="preserve"> 84 (3): 623–658.</w:t>
      </w:r>
    </w:p>
    <w:p w14:paraId="1D0384D7" w14:textId="77777777" w:rsidR="00335619" w:rsidRPr="0023367D" w:rsidRDefault="00335619" w:rsidP="00335619"/>
    <w:p w14:paraId="2B0BF40A" w14:textId="77777777" w:rsidR="00335619" w:rsidRPr="0023367D" w:rsidRDefault="00335619" w:rsidP="00335619">
      <w:pPr>
        <w:autoSpaceDE w:val="0"/>
        <w:autoSpaceDN w:val="0"/>
        <w:adjustRightInd w:val="0"/>
      </w:pPr>
      <w:r w:rsidRPr="0023367D">
        <w:t xml:space="preserve">Klein A., and E. </w:t>
      </w:r>
      <w:proofErr w:type="spellStart"/>
      <w:r w:rsidRPr="0023367D">
        <w:t>Zur</w:t>
      </w:r>
      <w:proofErr w:type="spellEnd"/>
      <w:r w:rsidRPr="0023367D">
        <w:t xml:space="preserve">, 2011. “The Impact of Hedge Fund Activism on the Target Firm’s Existing Bondholders,” </w:t>
      </w:r>
      <w:r w:rsidRPr="0023367D">
        <w:rPr>
          <w:i/>
          <w:iCs/>
        </w:rPr>
        <w:t>Review of Financial Studies</w:t>
      </w:r>
      <w:r w:rsidRPr="0023367D">
        <w:rPr>
          <w:iCs/>
        </w:rPr>
        <w:t xml:space="preserve">, </w:t>
      </w:r>
      <w:r w:rsidRPr="0023367D">
        <w:t>22: 1735-1771.</w:t>
      </w:r>
    </w:p>
    <w:p w14:paraId="049DE580" w14:textId="77777777" w:rsidR="00464EEB" w:rsidRPr="0023367D" w:rsidRDefault="00464EEB" w:rsidP="00335619">
      <w:pPr>
        <w:autoSpaceDE w:val="0"/>
        <w:autoSpaceDN w:val="0"/>
        <w:adjustRightInd w:val="0"/>
      </w:pPr>
    </w:p>
    <w:p w14:paraId="387A0604" w14:textId="77777777" w:rsidR="00464EEB" w:rsidRPr="0023367D" w:rsidRDefault="00464EEB" w:rsidP="00464EEB">
      <w:pPr>
        <w:autoSpaceDE w:val="0"/>
        <w:autoSpaceDN w:val="0"/>
        <w:adjustRightInd w:val="0"/>
      </w:pPr>
      <w:r w:rsidRPr="0023367D">
        <w:t xml:space="preserve">Kothari, S.P., K. </w:t>
      </w:r>
      <w:proofErr w:type="spellStart"/>
      <w:r w:rsidRPr="0023367D">
        <w:t>Ramanna</w:t>
      </w:r>
      <w:proofErr w:type="spellEnd"/>
      <w:r w:rsidRPr="0023367D">
        <w:t>, and D. Skinner. 2010. “Implications for GAAP from an Analysis of Positive Research in Accounting</w:t>
      </w:r>
      <w:r w:rsidR="00972C64">
        <w:t>,</w:t>
      </w:r>
      <w:r w:rsidRPr="0023367D">
        <w:t xml:space="preserve">” </w:t>
      </w:r>
      <w:r w:rsidRPr="0023367D">
        <w:rPr>
          <w:i/>
        </w:rPr>
        <w:t>Journal of Accounting and Economics</w:t>
      </w:r>
      <w:r w:rsidRPr="0023367D">
        <w:t xml:space="preserve"> 50 (2–3): 246–286.</w:t>
      </w:r>
    </w:p>
    <w:p w14:paraId="3C4588DE" w14:textId="77777777" w:rsidR="00335619" w:rsidRPr="0023367D" w:rsidRDefault="00335619" w:rsidP="00335619">
      <w:pPr>
        <w:autoSpaceDE w:val="0"/>
        <w:autoSpaceDN w:val="0"/>
        <w:adjustRightInd w:val="0"/>
      </w:pPr>
    </w:p>
    <w:p w14:paraId="52A07614" w14:textId="77777777" w:rsidR="00335619" w:rsidRPr="0023367D" w:rsidRDefault="00335619" w:rsidP="00335619">
      <w:pPr>
        <w:autoSpaceDE w:val="0"/>
        <w:autoSpaceDN w:val="0"/>
        <w:adjustRightInd w:val="0"/>
        <w:rPr>
          <w:i/>
        </w:rPr>
      </w:pPr>
      <w:proofErr w:type="spellStart"/>
      <w:r w:rsidRPr="0023367D">
        <w:t>Kovner</w:t>
      </w:r>
      <w:proofErr w:type="spellEnd"/>
      <w:r w:rsidRPr="0023367D">
        <w:t xml:space="preserve">, A. and C. Wei. 2014. “The Private Premium in Public Bonds,” </w:t>
      </w:r>
      <w:r w:rsidRPr="0023367D">
        <w:rPr>
          <w:i/>
        </w:rPr>
        <w:t>Working Paper, Federal Reserve Bank of New York.</w:t>
      </w:r>
    </w:p>
    <w:p w14:paraId="70DEB767" w14:textId="77777777" w:rsidR="00335619" w:rsidRPr="0023367D" w:rsidRDefault="00335619" w:rsidP="00335619">
      <w:pPr>
        <w:autoSpaceDE w:val="0"/>
        <w:autoSpaceDN w:val="0"/>
        <w:adjustRightInd w:val="0"/>
      </w:pPr>
    </w:p>
    <w:p w14:paraId="460BE7AE" w14:textId="77777777" w:rsidR="00335619" w:rsidRPr="0023367D" w:rsidRDefault="00335619" w:rsidP="00335619">
      <w:r w:rsidRPr="0023367D">
        <w:t xml:space="preserve">Lev, B., and T. </w:t>
      </w:r>
      <w:proofErr w:type="spellStart"/>
      <w:r w:rsidRPr="0023367D">
        <w:t>Sougiannis</w:t>
      </w:r>
      <w:proofErr w:type="spellEnd"/>
      <w:r w:rsidRPr="0023367D">
        <w:t xml:space="preserve">, 1996. ”The Capitalization, Amortization and Value Relevance of R&amp;D,” </w:t>
      </w:r>
      <w:r w:rsidRPr="0023367D">
        <w:rPr>
          <w:i/>
          <w:iCs/>
        </w:rPr>
        <w:t>Journal of Accounting and Economics</w:t>
      </w:r>
      <w:r w:rsidRPr="0023367D">
        <w:rPr>
          <w:iCs/>
        </w:rPr>
        <w:t>,</w:t>
      </w:r>
      <w:r w:rsidRPr="0023367D">
        <w:t xml:space="preserve"> 21: 107-138.</w:t>
      </w:r>
    </w:p>
    <w:p w14:paraId="51C3D9FF" w14:textId="77777777" w:rsidR="00335619" w:rsidRPr="0023367D" w:rsidRDefault="00335619" w:rsidP="00335619"/>
    <w:p w14:paraId="618EF908" w14:textId="77777777" w:rsidR="00335619" w:rsidRPr="0023367D" w:rsidRDefault="00335619" w:rsidP="00335619">
      <w:r w:rsidRPr="0023367D">
        <w:t xml:space="preserve">Lev, B., and P. </w:t>
      </w:r>
      <w:proofErr w:type="spellStart"/>
      <w:r w:rsidRPr="0023367D">
        <w:t>Zarowin</w:t>
      </w:r>
      <w:proofErr w:type="spellEnd"/>
      <w:r w:rsidRPr="0023367D">
        <w:t xml:space="preserve">, 1999. “The Boundaries of Financial Reporting and How to Extend Them,” </w:t>
      </w:r>
      <w:r w:rsidRPr="0023367D">
        <w:rPr>
          <w:i/>
          <w:iCs/>
        </w:rPr>
        <w:t>Journal of Accounting Research</w:t>
      </w:r>
      <w:r w:rsidRPr="0023367D">
        <w:rPr>
          <w:iCs/>
        </w:rPr>
        <w:t>,</w:t>
      </w:r>
      <w:r w:rsidRPr="0023367D">
        <w:t xml:space="preserve"> 37: 354-385.</w:t>
      </w:r>
    </w:p>
    <w:p w14:paraId="44F4893D" w14:textId="77777777" w:rsidR="00335619" w:rsidRPr="0023367D" w:rsidRDefault="00335619" w:rsidP="00335619"/>
    <w:p w14:paraId="7441C120" w14:textId="77777777" w:rsidR="00335619" w:rsidRPr="0023367D" w:rsidRDefault="00335619" w:rsidP="00335619">
      <w:pPr>
        <w:tabs>
          <w:tab w:val="left" w:pos="1170"/>
        </w:tabs>
      </w:pPr>
      <w:r w:rsidRPr="0023367D">
        <w:t xml:space="preserve">Li, F., 2008. “Annual </w:t>
      </w:r>
      <w:r w:rsidR="003346F2">
        <w:t>R</w:t>
      </w:r>
      <w:r w:rsidR="003346F2" w:rsidRPr="0023367D">
        <w:t xml:space="preserve">eport </w:t>
      </w:r>
      <w:r w:rsidR="003346F2">
        <w:t>R</w:t>
      </w:r>
      <w:r w:rsidRPr="0023367D">
        <w:t xml:space="preserve">eadability, </w:t>
      </w:r>
      <w:r w:rsidR="003346F2">
        <w:t>C</w:t>
      </w:r>
      <w:r w:rsidRPr="0023367D">
        <w:t xml:space="preserve">urrent </w:t>
      </w:r>
      <w:r w:rsidR="003346F2">
        <w:t>E</w:t>
      </w:r>
      <w:r w:rsidRPr="0023367D">
        <w:t xml:space="preserve">arnings, and </w:t>
      </w:r>
      <w:r w:rsidR="003346F2">
        <w:t>E</w:t>
      </w:r>
      <w:r w:rsidRPr="0023367D">
        <w:t xml:space="preserve">arnings </w:t>
      </w:r>
      <w:r w:rsidR="003346F2">
        <w:t>P</w:t>
      </w:r>
      <w:r w:rsidRPr="0023367D">
        <w:t xml:space="preserve">ersistence,” </w:t>
      </w:r>
      <w:r w:rsidRPr="0023367D">
        <w:rPr>
          <w:i/>
        </w:rPr>
        <w:t>Journal of Accounting and Economics</w:t>
      </w:r>
      <w:r w:rsidRPr="0023367D">
        <w:t>, 45(2); 221-247.</w:t>
      </w:r>
    </w:p>
    <w:p w14:paraId="199ACBE8" w14:textId="77777777" w:rsidR="00335619" w:rsidRPr="0023367D" w:rsidRDefault="00335619" w:rsidP="00335619">
      <w:pPr>
        <w:tabs>
          <w:tab w:val="left" w:pos="1170"/>
        </w:tabs>
      </w:pPr>
    </w:p>
    <w:p w14:paraId="628D50AE" w14:textId="77777777" w:rsidR="00335619" w:rsidRPr="0023367D" w:rsidRDefault="00335619" w:rsidP="00335619">
      <w:proofErr w:type="spellStart"/>
      <w:r w:rsidRPr="0023367D">
        <w:t>Lok</w:t>
      </w:r>
      <w:proofErr w:type="spellEnd"/>
      <w:r w:rsidRPr="0023367D">
        <w:t xml:space="preserve">, S., and S. Richardson. 2011. “Credit Markets and Financial Information,” </w:t>
      </w:r>
      <w:r w:rsidRPr="0023367D">
        <w:rPr>
          <w:i/>
          <w:iCs/>
        </w:rPr>
        <w:t>Review of Accounting Studies</w:t>
      </w:r>
      <w:r w:rsidRPr="0023367D">
        <w:t xml:space="preserve">, 16: 487-500. </w:t>
      </w:r>
    </w:p>
    <w:p w14:paraId="625D1566" w14:textId="77777777" w:rsidR="00335619" w:rsidRPr="0023367D" w:rsidRDefault="00335619" w:rsidP="00335619"/>
    <w:p w14:paraId="280AE35E" w14:textId="77777777" w:rsidR="00335619" w:rsidRPr="0023367D" w:rsidRDefault="00335619" w:rsidP="00335619">
      <w:pPr>
        <w:autoSpaceDE w:val="0"/>
        <w:autoSpaceDN w:val="0"/>
        <w:adjustRightInd w:val="0"/>
        <w:spacing w:after="240"/>
        <w:rPr>
          <w:lang w:bidi="he-IL"/>
        </w:rPr>
      </w:pPr>
      <w:r w:rsidRPr="0023367D">
        <w:rPr>
          <w:lang w:bidi="he-IL"/>
        </w:rPr>
        <w:t xml:space="preserve">Merton, R., 1974. “On the Pricing of Corporate Debt: The Risk Structure of Interest Rates. </w:t>
      </w:r>
      <w:r w:rsidRPr="0023367D">
        <w:rPr>
          <w:i/>
          <w:iCs/>
          <w:lang w:bidi="he-IL"/>
        </w:rPr>
        <w:t>Journal of Finance</w:t>
      </w:r>
      <w:r w:rsidRPr="0023367D">
        <w:rPr>
          <w:lang w:bidi="he-IL"/>
        </w:rPr>
        <w:t>,</w:t>
      </w:r>
      <w:r w:rsidR="00972C64">
        <w:rPr>
          <w:lang w:bidi="he-IL"/>
        </w:rPr>
        <w:t>”</w:t>
      </w:r>
      <w:r w:rsidRPr="0023367D">
        <w:rPr>
          <w:lang w:bidi="he-IL"/>
        </w:rPr>
        <w:t xml:space="preserve"> 29: 449–470.</w:t>
      </w:r>
    </w:p>
    <w:p w14:paraId="44C1438C" w14:textId="77777777" w:rsidR="00634A08" w:rsidRDefault="00634A08" w:rsidP="00335619">
      <w:pPr>
        <w:autoSpaceDE w:val="0"/>
        <w:autoSpaceDN w:val="0"/>
        <w:adjustRightInd w:val="0"/>
        <w:spacing w:after="240"/>
      </w:pPr>
      <w:proofErr w:type="spellStart"/>
      <w:r>
        <w:t>Olkin</w:t>
      </w:r>
      <w:proofErr w:type="spellEnd"/>
      <w:r>
        <w:t xml:space="preserve">, I. and J.D. Finn, 1995. “Correlations Redux,” </w:t>
      </w:r>
      <w:r w:rsidRPr="006E5CE9">
        <w:rPr>
          <w:i/>
        </w:rPr>
        <w:t>Psychological Bulletin</w:t>
      </w:r>
      <w:r>
        <w:t xml:space="preserve"> 118 (1): 155-164. </w:t>
      </w:r>
    </w:p>
    <w:p w14:paraId="454926C1" w14:textId="77777777" w:rsidR="00335619" w:rsidRPr="0023367D" w:rsidRDefault="00335619" w:rsidP="00335619">
      <w:pPr>
        <w:autoSpaceDE w:val="0"/>
        <w:autoSpaceDN w:val="0"/>
        <w:adjustRightInd w:val="0"/>
        <w:spacing w:after="240"/>
      </w:pPr>
      <w:r w:rsidRPr="0023367D">
        <w:t xml:space="preserve">Plummer, E. C., and S. Y. Tse, 1999. “The Effect of Limited Liability on the </w:t>
      </w:r>
      <w:proofErr w:type="spellStart"/>
      <w:r w:rsidRPr="0023367D">
        <w:t>Informativeness</w:t>
      </w:r>
      <w:proofErr w:type="spellEnd"/>
      <w:r w:rsidRPr="0023367D">
        <w:t xml:space="preserve"> of Earnings: Evidence from the Stock and Bond Markets,” </w:t>
      </w:r>
      <w:r w:rsidRPr="0023367D">
        <w:rPr>
          <w:i/>
          <w:iCs/>
        </w:rPr>
        <w:t>Contemporary Accounting Research</w:t>
      </w:r>
      <w:r w:rsidRPr="0023367D">
        <w:rPr>
          <w:iCs/>
        </w:rPr>
        <w:t>,</w:t>
      </w:r>
      <w:r w:rsidRPr="0023367D">
        <w:rPr>
          <w:i/>
          <w:iCs/>
        </w:rPr>
        <w:t xml:space="preserve"> </w:t>
      </w:r>
      <w:r w:rsidRPr="0023367D">
        <w:t>16 (3): 541-574.</w:t>
      </w:r>
    </w:p>
    <w:p w14:paraId="22608C3D" w14:textId="77777777" w:rsidR="00335619" w:rsidRPr="0023367D" w:rsidRDefault="00335619" w:rsidP="00335619">
      <w:pPr>
        <w:autoSpaceDE w:val="0"/>
        <w:autoSpaceDN w:val="0"/>
        <w:adjustRightInd w:val="0"/>
        <w:outlineLvl w:val="0"/>
      </w:pPr>
      <w:r w:rsidRPr="0023367D">
        <w:t xml:space="preserve">Ramesh, K., and R. </w:t>
      </w:r>
      <w:proofErr w:type="spellStart"/>
      <w:r w:rsidRPr="0023367D">
        <w:t>Thiagarajan</w:t>
      </w:r>
      <w:proofErr w:type="spellEnd"/>
      <w:r w:rsidRPr="0023367D">
        <w:t xml:space="preserve">, 1996. “Inter-temporal Decline in Earnings Response </w:t>
      </w:r>
    </w:p>
    <w:p w14:paraId="6CF0B6A1" w14:textId="77777777" w:rsidR="00335619" w:rsidRPr="0023367D" w:rsidRDefault="00335619" w:rsidP="00335619">
      <w:pPr>
        <w:jc w:val="both"/>
        <w:rPr>
          <w:rStyle w:val="reference-text"/>
          <w:sz w:val="22"/>
          <w:szCs w:val="22"/>
          <w:lang w:val="en"/>
        </w:rPr>
      </w:pPr>
      <w:r w:rsidRPr="0023367D">
        <w:t xml:space="preserve">Bondholders’ Perspective,” </w:t>
      </w:r>
      <w:r w:rsidRPr="0023367D">
        <w:rPr>
          <w:i/>
        </w:rPr>
        <w:t>Journal of Accounting and Economics</w:t>
      </w:r>
      <w:r w:rsidRPr="0023367D">
        <w:t>, 35 (2): 227-254</w:t>
      </w:r>
      <w:r w:rsidRPr="0023367D">
        <w:rPr>
          <w:rStyle w:val="reference-text"/>
          <w:sz w:val="22"/>
          <w:szCs w:val="22"/>
          <w:lang w:val="en"/>
        </w:rPr>
        <w:t>.</w:t>
      </w:r>
    </w:p>
    <w:p w14:paraId="699B40B6" w14:textId="77777777" w:rsidR="00335619" w:rsidRPr="0023367D" w:rsidRDefault="00335619" w:rsidP="00335619">
      <w:pPr>
        <w:jc w:val="both"/>
        <w:rPr>
          <w:rStyle w:val="reference-text"/>
          <w:sz w:val="22"/>
          <w:szCs w:val="22"/>
          <w:lang w:val="en"/>
        </w:rPr>
      </w:pPr>
    </w:p>
    <w:p w14:paraId="040E7AA2" w14:textId="77777777" w:rsidR="00335619" w:rsidRPr="0023367D" w:rsidRDefault="00335619" w:rsidP="00335619">
      <w:pPr>
        <w:autoSpaceDE w:val="0"/>
        <w:autoSpaceDN w:val="0"/>
        <w:adjustRightInd w:val="0"/>
        <w:rPr>
          <w:lang w:bidi="he-IL"/>
        </w:rPr>
      </w:pPr>
      <w:r w:rsidRPr="0023367D">
        <w:rPr>
          <w:lang w:bidi="he-IL"/>
        </w:rPr>
        <w:t xml:space="preserve">Richardson, S., R. Sloan, and H. You, 2012. “What Makes Stock Prices Move? Fundamentals vs. Investor Recognition,” </w:t>
      </w:r>
      <w:r w:rsidRPr="0023367D">
        <w:rPr>
          <w:i/>
          <w:iCs/>
          <w:lang w:bidi="he-IL"/>
        </w:rPr>
        <w:t>Financial Analysts Journal</w:t>
      </w:r>
      <w:r w:rsidRPr="0023367D">
        <w:rPr>
          <w:lang w:bidi="he-IL"/>
        </w:rPr>
        <w:t>, 68 (2): 30-50</w:t>
      </w:r>
      <w:r w:rsidR="0084558B">
        <w:rPr>
          <w:lang w:bidi="he-IL"/>
        </w:rPr>
        <w:t xml:space="preserve">. </w:t>
      </w:r>
    </w:p>
    <w:p w14:paraId="3A835DA3" w14:textId="77777777" w:rsidR="00335619" w:rsidRPr="0023367D" w:rsidRDefault="00335619" w:rsidP="00335619">
      <w:pPr>
        <w:jc w:val="both"/>
      </w:pPr>
    </w:p>
    <w:p w14:paraId="5CAC0650" w14:textId="2ACAA4DA" w:rsidR="00443B9D" w:rsidRPr="001161C5" w:rsidRDefault="00443B9D" w:rsidP="00443B9D">
      <w:pPr>
        <w:shd w:val="clear" w:color="auto" w:fill="FFFFFF"/>
        <w:rPr>
          <w:color w:val="212121"/>
        </w:rPr>
      </w:pPr>
      <w:proofErr w:type="spellStart"/>
      <w:r w:rsidRPr="001161C5">
        <w:rPr>
          <w:color w:val="222222"/>
          <w:shd w:val="clear" w:color="auto" w:fill="FFFFFF"/>
        </w:rPr>
        <w:t>Sarig</w:t>
      </w:r>
      <w:proofErr w:type="spellEnd"/>
      <w:r w:rsidRPr="001161C5">
        <w:rPr>
          <w:color w:val="222222"/>
          <w:shd w:val="clear" w:color="auto" w:fill="FFFFFF"/>
        </w:rPr>
        <w:t xml:space="preserve">, O., </w:t>
      </w:r>
      <w:r w:rsidR="00392A0A">
        <w:rPr>
          <w:color w:val="222222"/>
          <w:shd w:val="clear" w:color="auto" w:fill="FFFFFF"/>
        </w:rPr>
        <w:t xml:space="preserve">and </w:t>
      </w:r>
      <w:r w:rsidRPr="001161C5">
        <w:rPr>
          <w:color w:val="222222"/>
          <w:shd w:val="clear" w:color="auto" w:fill="FFFFFF"/>
        </w:rPr>
        <w:t xml:space="preserve">A. </w:t>
      </w:r>
      <w:proofErr w:type="spellStart"/>
      <w:r w:rsidRPr="001161C5">
        <w:rPr>
          <w:color w:val="222222"/>
          <w:shd w:val="clear" w:color="auto" w:fill="FFFFFF"/>
        </w:rPr>
        <w:t>Warga</w:t>
      </w:r>
      <w:proofErr w:type="spellEnd"/>
      <w:r w:rsidRPr="001161C5">
        <w:rPr>
          <w:color w:val="222222"/>
          <w:shd w:val="clear" w:color="auto" w:fill="FFFFFF"/>
        </w:rPr>
        <w:t xml:space="preserve">, 1989. “Bond Price Data and Bond Market Liquidity,” </w:t>
      </w:r>
      <w:r w:rsidRPr="001161C5">
        <w:rPr>
          <w:i/>
          <w:color w:val="222222"/>
          <w:shd w:val="clear" w:color="auto" w:fill="FFFFFF"/>
        </w:rPr>
        <w:t>The Journal of Financial and Quantitative Analysis</w:t>
      </w:r>
      <w:r w:rsidRPr="001161C5">
        <w:rPr>
          <w:color w:val="222222"/>
          <w:shd w:val="clear" w:color="auto" w:fill="FFFFFF"/>
        </w:rPr>
        <w:t xml:space="preserve"> 24 (3): 367-378.</w:t>
      </w:r>
    </w:p>
    <w:p w14:paraId="4E7B0B92" w14:textId="77777777" w:rsidR="00443B9D" w:rsidRPr="001161C5" w:rsidRDefault="00443B9D" w:rsidP="00443B9D">
      <w:pPr>
        <w:shd w:val="clear" w:color="auto" w:fill="FFFFFF"/>
        <w:rPr>
          <w:color w:val="212121"/>
        </w:rPr>
      </w:pPr>
      <w:r w:rsidRPr="001161C5">
        <w:rPr>
          <w:color w:val="212121"/>
        </w:rPr>
        <w:t> </w:t>
      </w:r>
    </w:p>
    <w:p w14:paraId="6177B814" w14:textId="77777777" w:rsidR="00443B9D" w:rsidRPr="001161C5" w:rsidRDefault="00443B9D" w:rsidP="00443B9D">
      <w:pPr>
        <w:shd w:val="clear" w:color="auto" w:fill="FFFFFF"/>
        <w:rPr>
          <w:color w:val="212121"/>
        </w:rPr>
      </w:pPr>
      <w:r w:rsidRPr="001161C5">
        <w:rPr>
          <w:color w:val="212121"/>
        </w:rPr>
        <w:t xml:space="preserve">Schultz, P. 2001. “Corporate Bond Trading Costs: A Peek Behind the Curtain,” </w:t>
      </w:r>
      <w:r w:rsidRPr="001161C5">
        <w:rPr>
          <w:i/>
          <w:color w:val="212121"/>
        </w:rPr>
        <w:t>Journal of Finance</w:t>
      </w:r>
      <w:r w:rsidRPr="001161C5">
        <w:rPr>
          <w:color w:val="212121"/>
        </w:rPr>
        <w:t xml:space="preserve"> 56: 677–98.</w:t>
      </w:r>
    </w:p>
    <w:p w14:paraId="48DDC184" w14:textId="77777777" w:rsidR="00B8101C" w:rsidRPr="00443B9D" w:rsidRDefault="00B8101C" w:rsidP="00335619">
      <w:pPr>
        <w:jc w:val="both"/>
      </w:pPr>
    </w:p>
    <w:p w14:paraId="7E55AE28" w14:textId="027883C4" w:rsidR="00335619" w:rsidRPr="0023367D" w:rsidRDefault="00335619" w:rsidP="00335619">
      <w:pPr>
        <w:jc w:val="both"/>
        <w:rPr>
          <w:rStyle w:val="reference-text"/>
          <w:sz w:val="22"/>
          <w:szCs w:val="22"/>
          <w:lang w:val="en"/>
        </w:rPr>
      </w:pPr>
      <w:r w:rsidRPr="0023367D">
        <w:t xml:space="preserve">Shapley, S.L. </w:t>
      </w:r>
      <w:r w:rsidR="00B5500F">
        <w:t>1953</w:t>
      </w:r>
      <w:r w:rsidR="00392A0A">
        <w:t>.</w:t>
      </w:r>
      <w:r w:rsidR="00B5500F">
        <w:t xml:space="preserve"> </w:t>
      </w:r>
      <w:r w:rsidRPr="0023367D">
        <w:t xml:space="preserve">“A Value for n-person Games” </w:t>
      </w:r>
      <w:r w:rsidRPr="0023367D">
        <w:rPr>
          <w:rStyle w:val="reference-text"/>
          <w:sz w:val="22"/>
          <w:szCs w:val="22"/>
          <w:lang w:val="en"/>
        </w:rPr>
        <w:t xml:space="preserve">In </w:t>
      </w:r>
      <w:r w:rsidRPr="0023367D">
        <w:rPr>
          <w:rStyle w:val="reference-text"/>
          <w:i/>
          <w:iCs/>
          <w:sz w:val="22"/>
          <w:szCs w:val="22"/>
          <w:lang w:val="en"/>
        </w:rPr>
        <w:t>Contributions to the Theory of Games</w:t>
      </w:r>
      <w:r w:rsidRPr="0023367D">
        <w:rPr>
          <w:rStyle w:val="reference-text"/>
          <w:sz w:val="22"/>
          <w:szCs w:val="22"/>
          <w:lang w:val="en"/>
        </w:rPr>
        <w:t xml:space="preserve">, volume II, by H.W. Kuhn and A.W. Tucker, editors. </w:t>
      </w:r>
      <w:r w:rsidRPr="0023367D">
        <w:rPr>
          <w:rStyle w:val="reference-text"/>
          <w:i/>
          <w:iCs/>
          <w:sz w:val="22"/>
          <w:szCs w:val="22"/>
          <w:lang w:val="en"/>
        </w:rPr>
        <w:t>Annals of Mathematical Studies</w:t>
      </w:r>
      <w:r w:rsidRPr="0023367D">
        <w:rPr>
          <w:rStyle w:val="reference-text"/>
          <w:sz w:val="22"/>
          <w:szCs w:val="22"/>
          <w:lang w:val="en"/>
        </w:rPr>
        <w:t xml:space="preserve"> v. 28: 307–317. Princeton University Press.</w:t>
      </w:r>
    </w:p>
    <w:p w14:paraId="38072021" w14:textId="77777777" w:rsidR="00335619" w:rsidRPr="0023367D" w:rsidRDefault="00335619" w:rsidP="00335619">
      <w:pPr>
        <w:jc w:val="both"/>
      </w:pPr>
    </w:p>
    <w:p w14:paraId="0468658A" w14:textId="77777777" w:rsidR="00335619" w:rsidRPr="0023367D" w:rsidRDefault="00335619" w:rsidP="00335619">
      <w:pPr>
        <w:jc w:val="both"/>
      </w:pPr>
      <w:r w:rsidRPr="0023367D">
        <w:t xml:space="preserve">Schaefer, S., and I. </w:t>
      </w:r>
      <w:proofErr w:type="spellStart"/>
      <w:r w:rsidRPr="0023367D">
        <w:t>Strebulaev</w:t>
      </w:r>
      <w:proofErr w:type="spellEnd"/>
      <w:r w:rsidRPr="0023367D">
        <w:t xml:space="preserve">. 2008. “Structural Models of Credit Risk are Useful: Evidence from Hedge Ratios on Corporate Bonds,” </w:t>
      </w:r>
      <w:r w:rsidRPr="0023367D">
        <w:rPr>
          <w:i/>
        </w:rPr>
        <w:t>Journal of Financial Economics,</w:t>
      </w:r>
      <w:r w:rsidRPr="0023367D">
        <w:t xml:space="preserve"> 90(1): 1-19.</w:t>
      </w:r>
    </w:p>
    <w:p w14:paraId="340C008D" w14:textId="77777777" w:rsidR="00335619" w:rsidRPr="0023367D" w:rsidRDefault="00335619" w:rsidP="00335619">
      <w:pPr>
        <w:jc w:val="both"/>
      </w:pPr>
    </w:p>
    <w:p w14:paraId="4B7DFB83" w14:textId="77777777" w:rsidR="00335619" w:rsidRPr="0023367D" w:rsidRDefault="00335619" w:rsidP="00335619">
      <w:pPr>
        <w:jc w:val="both"/>
      </w:pPr>
      <w:r w:rsidRPr="0023367D">
        <w:t xml:space="preserve">Shi, C. 2003. “On the Trade-off between the Future Benefits and Riskiness of R&amp;D: A Bondholders’ Perspective.” </w:t>
      </w:r>
      <w:r w:rsidRPr="0023367D">
        <w:rPr>
          <w:i/>
        </w:rPr>
        <w:t>Journal of Accounting and Economics</w:t>
      </w:r>
      <w:r w:rsidRPr="0023367D">
        <w:t xml:space="preserve"> 35 (2): 227-254. </w:t>
      </w:r>
    </w:p>
    <w:p w14:paraId="3B26A5B6" w14:textId="77777777" w:rsidR="00335619" w:rsidRPr="0023367D" w:rsidRDefault="00335619" w:rsidP="00335619">
      <w:pPr>
        <w:rPr>
          <w:bCs/>
        </w:rPr>
      </w:pPr>
    </w:p>
    <w:p w14:paraId="54AFF7C8" w14:textId="77777777" w:rsidR="00335619" w:rsidRPr="0023367D" w:rsidRDefault="00335619" w:rsidP="00335619">
      <w:pPr>
        <w:rPr>
          <w:bCs/>
        </w:rPr>
      </w:pPr>
      <w:r w:rsidRPr="0023367D">
        <w:rPr>
          <w:bCs/>
        </w:rPr>
        <w:t xml:space="preserve">Shulman, J., and M. Bayless, 1993. “Marketability and Default Influences on the Yield </w:t>
      </w:r>
      <w:proofErr w:type="spellStart"/>
      <w:r w:rsidRPr="0023367D">
        <w:rPr>
          <w:bCs/>
        </w:rPr>
        <w:t>Premia</w:t>
      </w:r>
      <w:proofErr w:type="spellEnd"/>
      <w:r w:rsidRPr="0023367D">
        <w:rPr>
          <w:bCs/>
        </w:rPr>
        <w:t xml:space="preserve"> of Speculative-Grade Debt,” </w:t>
      </w:r>
      <w:r w:rsidRPr="0023367D">
        <w:rPr>
          <w:bCs/>
          <w:i/>
          <w:iCs/>
        </w:rPr>
        <w:t>The Journal of the Financial Management Association</w:t>
      </w:r>
      <w:r w:rsidRPr="0023367D">
        <w:rPr>
          <w:bCs/>
          <w:iCs/>
        </w:rPr>
        <w:t>,</w:t>
      </w:r>
      <w:r w:rsidRPr="0023367D">
        <w:rPr>
          <w:bCs/>
          <w:i/>
          <w:iCs/>
        </w:rPr>
        <w:t xml:space="preserve"> </w:t>
      </w:r>
      <w:r w:rsidRPr="0023367D">
        <w:rPr>
          <w:bCs/>
        </w:rPr>
        <w:t>22 (3):  132-141.</w:t>
      </w:r>
    </w:p>
    <w:p w14:paraId="7DC18420" w14:textId="77777777" w:rsidR="00335619" w:rsidRPr="0023367D" w:rsidRDefault="00335619" w:rsidP="00335619">
      <w:pPr>
        <w:autoSpaceDE w:val="0"/>
        <w:autoSpaceDN w:val="0"/>
        <w:adjustRightInd w:val="0"/>
      </w:pPr>
    </w:p>
    <w:p w14:paraId="03F6C2FA" w14:textId="77777777" w:rsidR="00335619" w:rsidRPr="0023367D" w:rsidRDefault="00335619" w:rsidP="00335619">
      <w:pPr>
        <w:autoSpaceDE w:val="0"/>
        <w:autoSpaceDN w:val="0"/>
        <w:adjustRightInd w:val="0"/>
      </w:pPr>
      <w:proofErr w:type="spellStart"/>
      <w:r w:rsidRPr="0023367D">
        <w:t>Sridharan</w:t>
      </w:r>
      <w:proofErr w:type="spellEnd"/>
      <w:r w:rsidRPr="0023367D">
        <w:t xml:space="preserve">, S. A., 2011. “The Valuation Role of the Balance Sheet Information in the Corporate Bond Market,” </w:t>
      </w:r>
      <w:r w:rsidRPr="0023367D">
        <w:rPr>
          <w:i/>
        </w:rPr>
        <w:t>Working Paper, Stanford University</w:t>
      </w:r>
      <w:r w:rsidRPr="0023367D">
        <w:t xml:space="preserve">. </w:t>
      </w:r>
    </w:p>
    <w:p w14:paraId="2CA2B455" w14:textId="77777777" w:rsidR="005929EA" w:rsidRDefault="005929EA" w:rsidP="00335619">
      <w:pPr>
        <w:rPr>
          <w:bCs/>
        </w:rPr>
      </w:pPr>
    </w:p>
    <w:p w14:paraId="78ECED9A" w14:textId="77777777" w:rsidR="00335619" w:rsidRDefault="00B5500F" w:rsidP="00335619">
      <w:pPr>
        <w:rPr>
          <w:bCs/>
        </w:rPr>
      </w:pPr>
      <w:r>
        <w:rPr>
          <w:bCs/>
        </w:rPr>
        <w:t xml:space="preserve">Van der </w:t>
      </w:r>
      <w:proofErr w:type="spellStart"/>
      <w:r>
        <w:rPr>
          <w:bCs/>
        </w:rPr>
        <w:t>Meulen</w:t>
      </w:r>
      <w:proofErr w:type="spellEnd"/>
      <w:r>
        <w:rPr>
          <w:bCs/>
        </w:rPr>
        <w:t xml:space="preserve"> S., A. </w:t>
      </w:r>
      <w:proofErr w:type="spellStart"/>
      <w:r>
        <w:rPr>
          <w:bCs/>
        </w:rPr>
        <w:t>Gaeremynck</w:t>
      </w:r>
      <w:proofErr w:type="spellEnd"/>
      <w:r>
        <w:rPr>
          <w:bCs/>
        </w:rPr>
        <w:t xml:space="preserve"> and M. </w:t>
      </w:r>
      <w:proofErr w:type="spellStart"/>
      <w:r>
        <w:rPr>
          <w:bCs/>
        </w:rPr>
        <w:t>Willekens</w:t>
      </w:r>
      <w:proofErr w:type="spellEnd"/>
      <w:r>
        <w:rPr>
          <w:bCs/>
        </w:rPr>
        <w:t xml:space="preserve">, 2007, “Attribute Differences between U.S. GAAP and IFRS Earnings: An Exploratory Study,” </w:t>
      </w:r>
      <w:r w:rsidRPr="006E5CE9">
        <w:rPr>
          <w:bCs/>
          <w:i/>
        </w:rPr>
        <w:t>The International Journal of Accounting</w:t>
      </w:r>
      <w:r>
        <w:rPr>
          <w:bCs/>
        </w:rPr>
        <w:t xml:space="preserve">, 42: pp. 123-142. </w:t>
      </w:r>
    </w:p>
    <w:p w14:paraId="34642D26" w14:textId="77777777" w:rsidR="00B5500F" w:rsidRPr="0023367D" w:rsidRDefault="00B5500F" w:rsidP="00335619">
      <w:pPr>
        <w:rPr>
          <w:bCs/>
        </w:rPr>
      </w:pPr>
    </w:p>
    <w:p w14:paraId="0224DC8E" w14:textId="77777777" w:rsidR="00335619" w:rsidRPr="0023367D" w:rsidRDefault="00335619" w:rsidP="00335619">
      <w:pPr>
        <w:rPr>
          <w:bCs/>
        </w:rPr>
      </w:pPr>
      <w:proofErr w:type="spellStart"/>
      <w:r w:rsidRPr="0023367D">
        <w:rPr>
          <w:bCs/>
        </w:rPr>
        <w:t>Vassalou</w:t>
      </w:r>
      <w:proofErr w:type="spellEnd"/>
      <w:r w:rsidRPr="0023367D">
        <w:rPr>
          <w:bCs/>
        </w:rPr>
        <w:t xml:space="preserve">, M. and Y. Xing, 2004. “Default Risk in Equity Returns,” </w:t>
      </w:r>
      <w:r w:rsidRPr="0023367D">
        <w:rPr>
          <w:bCs/>
          <w:i/>
        </w:rPr>
        <w:t>Journal of Finance</w:t>
      </w:r>
      <w:r w:rsidRPr="0023367D">
        <w:rPr>
          <w:bCs/>
        </w:rPr>
        <w:t>, 59 (2): 831-868.</w:t>
      </w:r>
    </w:p>
    <w:p w14:paraId="5B2DED94" w14:textId="77777777" w:rsidR="00335619" w:rsidRPr="0023367D" w:rsidRDefault="00335619" w:rsidP="00335619">
      <w:pPr>
        <w:rPr>
          <w:bCs/>
        </w:rPr>
      </w:pPr>
    </w:p>
    <w:p w14:paraId="0C00373D" w14:textId="77777777" w:rsidR="00335619" w:rsidRPr="0023367D" w:rsidRDefault="00335619" w:rsidP="00335619">
      <w:pPr>
        <w:rPr>
          <w:bCs/>
        </w:rPr>
      </w:pPr>
      <w:proofErr w:type="spellStart"/>
      <w:r w:rsidRPr="0023367D">
        <w:rPr>
          <w:bCs/>
        </w:rPr>
        <w:t>Vasvari</w:t>
      </w:r>
      <w:proofErr w:type="spellEnd"/>
      <w:r w:rsidRPr="0023367D">
        <w:rPr>
          <w:bCs/>
        </w:rPr>
        <w:t xml:space="preserve">, F., 2006, “Managerial Incentive Structures, Conservatism and the Pricing of syndicated loans,” </w:t>
      </w:r>
      <w:r w:rsidRPr="0023367D">
        <w:rPr>
          <w:bCs/>
          <w:i/>
        </w:rPr>
        <w:t>Working Paper, London Business School.</w:t>
      </w:r>
    </w:p>
    <w:p w14:paraId="7F53DBEC" w14:textId="77777777" w:rsidR="00335619" w:rsidRPr="0023367D" w:rsidRDefault="00335619" w:rsidP="00335619">
      <w:pPr>
        <w:ind w:hanging="90"/>
        <w:jc w:val="center"/>
        <w:rPr>
          <w:b/>
          <w:bCs/>
        </w:rPr>
      </w:pPr>
    </w:p>
    <w:p w14:paraId="4F28F8DA" w14:textId="77777777" w:rsidR="00335619" w:rsidRPr="0023367D" w:rsidRDefault="00335619" w:rsidP="00335619">
      <w:pPr>
        <w:autoSpaceDE w:val="0"/>
        <w:autoSpaceDN w:val="0"/>
        <w:adjustRightInd w:val="0"/>
      </w:pPr>
      <w:r w:rsidRPr="0023367D">
        <w:t xml:space="preserve">Watts, R., 2003a. “Conservatism in Accounting, Part I: Explanations and Implications,” </w:t>
      </w:r>
      <w:r w:rsidRPr="0023367D">
        <w:rPr>
          <w:i/>
          <w:iCs/>
        </w:rPr>
        <w:t>Accounting Horizons</w:t>
      </w:r>
      <w:r w:rsidRPr="0023367D">
        <w:rPr>
          <w:iCs/>
        </w:rPr>
        <w:t>,</w:t>
      </w:r>
      <w:r w:rsidRPr="0023367D">
        <w:rPr>
          <w:i/>
          <w:iCs/>
        </w:rPr>
        <w:t xml:space="preserve"> </w:t>
      </w:r>
      <w:r w:rsidRPr="0023367D">
        <w:t>17: 207–21.</w:t>
      </w:r>
    </w:p>
    <w:p w14:paraId="71DF9072" w14:textId="77777777" w:rsidR="00335619" w:rsidRPr="0023367D" w:rsidRDefault="00335619" w:rsidP="00335619">
      <w:pPr>
        <w:autoSpaceDE w:val="0"/>
        <w:autoSpaceDN w:val="0"/>
        <w:adjustRightInd w:val="0"/>
      </w:pPr>
    </w:p>
    <w:p w14:paraId="28B549AB" w14:textId="77777777" w:rsidR="00335619" w:rsidRPr="0023367D" w:rsidRDefault="00335619" w:rsidP="00335619">
      <w:pPr>
        <w:autoSpaceDE w:val="0"/>
        <w:autoSpaceDN w:val="0"/>
        <w:adjustRightInd w:val="0"/>
      </w:pPr>
      <w:r w:rsidRPr="0023367D">
        <w:t xml:space="preserve">Watts, R., 2003b. “Conservatism in Accounting, Part II: Evidence and Research Opportunities,” </w:t>
      </w:r>
      <w:r w:rsidRPr="0023367D">
        <w:rPr>
          <w:i/>
          <w:iCs/>
        </w:rPr>
        <w:t>Accounting Horizons</w:t>
      </w:r>
      <w:r w:rsidRPr="0023367D">
        <w:rPr>
          <w:iCs/>
        </w:rPr>
        <w:t>,</w:t>
      </w:r>
      <w:r w:rsidRPr="0023367D">
        <w:rPr>
          <w:i/>
          <w:iCs/>
        </w:rPr>
        <w:t xml:space="preserve"> </w:t>
      </w:r>
      <w:r w:rsidRPr="0023367D">
        <w:t>17: 287–301</w:t>
      </w:r>
      <w:r w:rsidR="0084558B">
        <w:t xml:space="preserve">. </w:t>
      </w:r>
      <w:r w:rsidRPr="0023367D">
        <w:t xml:space="preserve">    </w:t>
      </w:r>
    </w:p>
    <w:p w14:paraId="4DD80075" w14:textId="77777777" w:rsidR="00335619" w:rsidRPr="0023367D" w:rsidRDefault="00335619" w:rsidP="00335619">
      <w:pPr>
        <w:autoSpaceDE w:val="0"/>
        <w:autoSpaceDN w:val="0"/>
        <w:adjustRightInd w:val="0"/>
      </w:pPr>
      <w:r w:rsidRPr="0023367D">
        <w:t xml:space="preserve">          </w:t>
      </w:r>
    </w:p>
    <w:p w14:paraId="72967273" w14:textId="77777777" w:rsidR="00335619" w:rsidRPr="0023367D" w:rsidRDefault="00335619" w:rsidP="00335619">
      <w:pPr>
        <w:autoSpaceDE w:val="0"/>
        <w:autoSpaceDN w:val="0"/>
        <w:adjustRightInd w:val="0"/>
        <w:rPr>
          <w:color w:val="003366"/>
        </w:rPr>
      </w:pPr>
      <w:r w:rsidRPr="0023367D">
        <w:t>Watts, R., and J. Zimmerman. 1986. “</w:t>
      </w:r>
      <w:r w:rsidRPr="0023367D">
        <w:rPr>
          <w:iCs/>
        </w:rPr>
        <w:t>Positive Accounting Theory</w:t>
      </w:r>
      <w:r w:rsidRPr="0023367D">
        <w:t xml:space="preserve">.” </w:t>
      </w:r>
      <w:r w:rsidRPr="0023367D">
        <w:rPr>
          <w:i/>
        </w:rPr>
        <w:t>Englewood Cliffs, NJ: Prentice-Hall Inc.</w:t>
      </w:r>
    </w:p>
    <w:p w14:paraId="10B19FD7" w14:textId="77777777" w:rsidR="00335619" w:rsidRPr="0023367D" w:rsidRDefault="00335619" w:rsidP="00335619">
      <w:pPr>
        <w:autoSpaceDE w:val="0"/>
        <w:autoSpaceDN w:val="0"/>
        <w:adjustRightInd w:val="0"/>
      </w:pPr>
    </w:p>
    <w:p w14:paraId="094DAA8A" w14:textId="77777777" w:rsidR="00335619" w:rsidRPr="0023367D" w:rsidRDefault="00335619" w:rsidP="00335619">
      <w:pPr>
        <w:autoSpaceDE w:val="0"/>
        <w:autoSpaceDN w:val="0"/>
        <w:adjustRightInd w:val="0"/>
      </w:pPr>
      <w:proofErr w:type="spellStart"/>
      <w:r w:rsidRPr="0023367D">
        <w:t>Whittenberg-Noerman</w:t>
      </w:r>
      <w:proofErr w:type="spellEnd"/>
      <w:r w:rsidRPr="0023367D">
        <w:t xml:space="preserve">, R., 2008. “The Role of Information Asymmetry and Financial Reporting Quality in Debt Contracting: Evidence from the Secondary Loan Market,” </w:t>
      </w:r>
      <w:r w:rsidRPr="0023367D">
        <w:rPr>
          <w:i/>
        </w:rPr>
        <w:t>Journal of Accounting and Economics</w:t>
      </w:r>
      <w:r w:rsidRPr="0023367D">
        <w:t xml:space="preserve">, 46 (2-3): 240-260. </w:t>
      </w:r>
    </w:p>
    <w:p w14:paraId="039422CA" w14:textId="77777777" w:rsidR="00335619" w:rsidRPr="0023367D" w:rsidRDefault="00335619" w:rsidP="00335619">
      <w:pPr>
        <w:autoSpaceDE w:val="0"/>
        <w:autoSpaceDN w:val="0"/>
        <w:adjustRightInd w:val="0"/>
      </w:pPr>
    </w:p>
    <w:p w14:paraId="65074AC4" w14:textId="77777777" w:rsidR="00335619" w:rsidRPr="0023367D" w:rsidRDefault="00335619" w:rsidP="00335619">
      <w:pPr>
        <w:autoSpaceDE w:val="0"/>
        <w:autoSpaceDN w:val="0"/>
        <w:adjustRightInd w:val="0"/>
      </w:pPr>
      <w:r w:rsidRPr="0023367D">
        <w:t xml:space="preserve">Zhang, J., 2008. “The Contracting Benefits of Accounting Conservatism to Lenders and Borrowers,” </w:t>
      </w:r>
      <w:r w:rsidRPr="0023367D">
        <w:rPr>
          <w:i/>
        </w:rPr>
        <w:t>Journal of Accounting and Economics</w:t>
      </w:r>
      <w:r w:rsidRPr="0023367D">
        <w:t>, 45: 27-54.</w:t>
      </w:r>
    </w:p>
    <w:p w14:paraId="63CC218F" w14:textId="77777777" w:rsidR="00335619" w:rsidRPr="0023367D" w:rsidRDefault="00335619" w:rsidP="00335619">
      <w:pPr>
        <w:ind w:hanging="90"/>
        <w:jc w:val="center"/>
        <w:outlineLvl w:val="0"/>
        <w:rPr>
          <w:b/>
          <w:bCs/>
        </w:rPr>
      </w:pPr>
      <w:r w:rsidRPr="0023367D">
        <w:rPr>
          <w:b/>
          <w:bCs/>
        </w:rPr>
        <w:br w:type="page"/>
        <w:t>Figure 1</w:t>
      </w:r>
    </w:p>
    <w:p w14:paraId="29305B6B" w14:textId="77777777" w:rsidR="00335619" w:rsidRPr="0023367D" w:rsidRDefault="00335619" w:rsidP="00335619">
      <w:pPr>
        <w:contextualSpacing/>
        <w:jc w:val="center"/>
        <w:rPr>
          <w:b/>
          <w:bCs/>
        </w:rPr>
      </w:pPr>
      <w:r w:rsidRPr="0023367D">
        <w:rPr>
          <w:b/>
          <w:bCs/>
        </w:rPr>
        <w:t>Annual Association between Security Valuation and Accounting Information:</w:t>
      </w:r>
    </w:p>
    <w:p w14:paraId="3F2FE400" w14:textId="77777777" w:rsidR="00335619" w:rsidRPr="0023367D" w:rsidRDefault="00335619" w:rsidP="00335619">
      <w:pPr>
        <w:contextualSpacing/>
        <w:jc w:val="center"/>
        <w:rPr>
          <w:b/>
          <w:bCs/>
        </w:rPr>
      </w:pPr>
      <w:r w:rsidRPr="0023367D">
        <w:rPr>
          <w:b/>
        </w:rPr>
        <w:t>Adjusted R</w:t>
      </w:r>
      <w:r w:rsidRPr="0023367D">
        <w:rPr>
          <w:b/>
          <w:vertAlign w:val="superscript"/>
        </w:rPr>
        <w:t>2</w:t>
      </w:r>
      <w:r w:rsidRPr="0023367D">
        <w:rPr>
          <w:b/>
        </w:rPr>
        <w:t xml:space="preserve"> Using </w:t>
      </w:r>
      <w:r w:rsidRPr="0023367D">
        <w:rPr>
          <w:b/>
          <w:bCs/>
        </w:rPr>
        <w:t>Only Accounting-Based Variables</w:t>
      </w:r>
    </w:p>
    <w:p w14:paraId="2B4A9C75" w14:textId="77777777" w:rsidR="00335619" w:rsidRPr="0023367D" w:rsidRDefault="00335619" w:rsidP="00335619">
      <w:pPr>
        <w:contextualSpacing/>
        <w:jc w:val="center"/>
        <w:rPr>
          <w:b/>
          <w:bCs/>
        </w:rPr>
      </w:pPr>
      <w:r w:rsidRPr="0023367D">
        <w:rPr>
          <w:b/>
          <w:bCs/>
        </w:rPr>
        <w:t xml:space="preserve">(5-year moving averages of </w:t>
      </w:r>
      <w:r w:rsidRPr="00D240E6">
        <w:rPr>
          <w:b/>
          <w:bCs/>
        </w:rPr>
        <w:t xml:space="preserve">annual </w:t>
      </w:r>
      <w:r w:rsidRPr="0023367D">
        <w:rPr>
          <w:b/>
          <w:bCs/>
        </w:rPr>
        <w:t>regressions)</w:t>
      </w:r>
    </w:p>
    <w:p w14:paraId="686100C7" w14:textId="77777777" w:rsidR="00335619" w:rsidRPr="0023367D" w:rsidRDefault="00335619" w:rsidP="00335619">
      <w:pPr>
        <w:contextualSpacing/>
        <w:jc w:val="center"/>
        <w:rPr>
          <w:b/>
          <w:bCs/>
        </w:rPr>
      </w:pPr>
    </w:p>
    <w:p w14:paraId="6C67CF0C" w14:textId="28BB9D6E" w:rsidR="00335619" w:rsidRPr="0023367D" w:rsidRDefault="001161C5" w:rsidP="00327EED">
      <w:pPr>
        <w:ind w:left="360"/>
      </w:pPr>
      <w:r w:rsidRPr="0023367D">
        <w:rPr>
          <w:noProof/>
        </w:rPr>
        <w:drawing>
          <wp:inline distT="0" distB="0" distL="0" distR="0" wp14:anchorId="738404DC" wp14:editId="3C3A6EDB">
            <wp:extent cx="4832985" cy="5277485"/>
            <wp:effectExtent l="0" t="0" r="5715" b="1841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7EE9C1" w14:textId="77777777" w:rsidR="00D33EFD" w:rsidRPr="0023367D" w:rsidRDefault="00335619" w:rsidP="00335619">
      <w:pPr>
        <w:spacing w:before="240"/>
        <w:rPr>
          <w:color w:val="000000"/>
          <w:sz w:val="20"/>
          <w:szCs w:val="20"/>
          <w:lang w:bidi="he-IL"/>
        </w:rPr>
      </w:pPr>
      <w:r w:rsidRPr="0023367D">
        <w:rPr>
          <w:color w:val="000000"/>
          <w:sz w:val="20"/>
          <w:szCs w:val="20"/>
          <w:lang w:bidi="he-IL"/>
        </w:rPr>
        <w:t xml:space="preserve">The figure is based on the results presented in </w:t>
      </w:r>
      <w:r w:rsidRPr="0023367D">
        <w:rPr>
          <w:bCs/>
          <w:color w:val="000000"/>
          <w:sz w:val="20"/>
          <w:szCs w:val="20"/>
          <w:lang w:bidi="he-IL"/>
        </w:rPr>
        <w:t>table 4</w:t>
      </w:r>
      <w:r w:rsidR="00D240E6">
        <w:rPr>
          <w:bCs/>
          <w:color w:val="000000"/>
          <w:sz w:val="20"/>
          <w:szCs w:val="20"/>
          <w:lang w:bidi="he-IL"/>
        </w:rPr>
        <w:t>, Panel A</w:t>
      </w:r>
      <w:r w:rsidRPr="0023367D">
        <w:rPr>
          <w:bCs/>
          <w:color w:val="000000"/>
          <w:sz w:val="20"/>
          <w:szCs w:val="20"/>
          <w:lang w:bidi="he-IL"/>
        </w:rPr>
        <w:t xml:space="preserve"> for the homogenous-liquid sample</w:t>
      </w:r>
      <w:r w:rsidRPr="0023367D">
        <w:rPr>
          <w:color w:val="000000"/>
          <w:sz w:val="20"/>
          <w:szCs w:val="20"/>
          <w:lang w:bidi="he-IL"/>
        </w:rPr>
        <w:t xml:space="preserve">. </w:t>
      </w:r>
    </w:p>
    <w:p w14:paraId="50DA8E9E" w14:textId="77777777" w:rsidR="00335619" w:rsidRPr="0023367D" w:rsidRDefault="00335619" w:rsidP="00D33EFD">
      <w:pPr>
        <w:rPr>
          <w:color w:val="000000"/>
          <w:sz w:val="20"/>
          <w:szCs w:val="20"/>
          <w:lang w:bidi="he-IL"/>
        </w:rPr>
      </w:pPr>
      <w:r w:rsidRPr="0023367D">
        <w:rPr>
          <w:color w:val="000000"/>
          <w:sz w:val="20"/>
          <w:szCs w:val="20"/>
          <w:lang w:bidi="he-IL"/>
        </w:rPr>
        <w:t xml:space="preserve">The valuation models are provided in section </w:t>
      </w:r>
      <w:r w:rsidR="00FE7AE8" w:rsidRPr="0023367D">
        <w:rPr>
          <w:color w:val="000000"/>
          <w:sz w:val="20"/>
          <w:szCs w:val="20"/>
          <w:lang w:bidi="he-IL"/>
        </w:rPr>
        <w:t>4</w:t>
      </w:r>
      <w:r w:rsidRPr="0023367D">
        <w:rPr>
          <w:color w:val="000000"/>
          <w:sz w:val="20"/>
          <w:szCs w:val="20"/>
          <w:lang w:bidi="he-IL"/>
        </w:rPr>
        <w:t>.2.1.</w:t>
      </w:r>
    </w:p>
    <w:p w14:paraId="6B9E26C0" w14:textId="77777777" w:rsidR="00D33EFD" w:rsidRDefault="00D33EFD" w:rsidP="00335619">
      <w:pPr>
        <w:rPr>
          <w:color w:val="000000"/>
          <w:sz w:val="20"/>
          <w:szCs w:val="20"/>
          <w:lang w:bidi="he-IL"/>
        </w:rPr>
      </w:pPr>
    </w:p>
    <w:p w14:paraId="2D418E69" w14:textId="77777777" w:rsidR="003F0E1F" w:rsidRPr="0023367D" w:rsidRDefault="003F0E1F" w:rsidP="003F0E1F">
      <w:pPr>
        <w:rPr>
          <w:sz w:val="20"/>
          <w:szCs w:val="20"/>
        </w:rPr>
      </w:pPr>
      <w:r>
        <w:rPr>
          <w:sz w:val="20"/>
          <w:szCs w:val="20"/>
        </w:rPr>
        <w:t>Estimating</w:t>
      </w:r>
      <w:r w:rsidRPr="0023367D">
        <w:rPr>
          <w:sz w:val="20"/>
          <w:szCs w:val="20"/>
        </w:rPr>
        <w:t xml:space="preserve"> a trend line regression of the form Y = a + </w:t>
      </w:r>
      <w:proofErr w:type="spellStart"/>
      <w:r w:rsidRPr="0023367D">
        <w:rPr>
          <w:sz w:val="20"/>
          <w:szCs w:val="20"/>
        </w:rPr>
        <w:t>bT</w:t>
      </w:r>
      <w:proofErr w:type="spellEnd"/>
      <w:r w:rsidRPr="0023367D">
        <w:rPr>
          <w:sz w:val="20"/>
          <w:szCs w:val="20"/>
        </w:rPr>
        <w:t xml:space="preserve"> + e, from the 39 annual observations where Y is the </w:t>
      </w:r>
      <w:r w:rsidR="00D240E6" w:rsidRPr="0023367D">
        <w:rPr>
          <w:color w:val="000000"/>
          <w:sz w:val="20"/>
          <w:szCs w:val="20"/>
          <w:lang w:bidi="he-IL"/>
        </w:rPr>
        <w:t>adjusted R</w:t>
      </w:r>
      <w:r w:rsidR="00D240E6" w:rsidRPr="0023367D">
        <w:rPr>
          <w:color w:val="000000"/>
          <w:sz w:val="20"/>
          <w:szCs w:val="20"/>
          <w:vertAlign w:val="superscript"/>
          <w:lang w:bidi="he-IL"/>
        </w:rPr>
        <w:t>2</w:t>
      </w:r>
      <w:r w:rsidR="00D240E6" w:rsidRPr="0023367D">
        <w:rPr>
          <w:color w:val="000000"/>
          <w:sz w:val="20"/>
          <w:szCs w:val="20"/>
          <w:vertAlign w:val="subscript"/>
          <w:lang w:bidi="he-IL"/>
        </w:rPr>
        <w:t>ACCT</w:t>
      </w:r>
      <w:r w:rsidR="00D240E6">
        <w:rPr>
          <w:color w:val="000000"/>
          <w:sz w:val="20"/>
          <w:szCs w:val="20"/>
          <w:vertAlign w:val="subscript"/>
          <w:lang w:bidi="he-IL"/>
        </w:rPr>
        <w:t xml:space="preserve"> </w:t>
      </w:r>
      <w:r w:rsidR="00D240E6" w:rsidRPr="0023367D">
        <w:rPr>
          <w:color w:val="000000"/>
          <w:sz w:val="20"/>
          <w:szCs w:val="20"/>
          <w:lang w:bidi="he-IL"/>
        </w:rPr>
        <w:t>a</w:t>
      </w:r>
      <w:r w:rsidR="00D240E6">
        <w:rPr>
          <w:color w:val="000000"/>
          <w:sz w:val="20"/>
          <w:szCs w:val="20"/>
          <w:lang w:bidi="he-IL"/>
        </w:rPr>
        <w:t>nd a</w:t>
      </w:r>
      <w:r w:rsidR="00D240E6" w:rsidRPr="0023367D">
        <w:rPr>
          <w:color w:val="000000"/>
          <w:sz w:val="20"/>
          <w:szCs w:val="20"/>
          <w:lang w:bidi="he-IL"/>
        </w:rPr>
        <w:t>djusted R</w:t>
      </w:r>
      <w:r w:rsidR="00D240E6" w:rsidRPr="0023367D">
        <w:rPr>
          <w:color w:val="000000"/>
          <w:sz w:val="20"/>
          <w:szCs w:val="20"/>
          <w:vertAlign w:val="superscript"/>
          <w:lang w:bidi="he-IL"/>
        </w:rPr>
        <w:t>2</w:t>
      </w:r>
      <w:r w:rsidR="00D240E6" w:rsidRPr="00B27FA3">
        <w:rPr>
          <w:color w:val="000000"/>
          <w:sz w:val="20"/>
          <w:szCs w:val="20"/>
          <w:lang w:bidi="he-IL"/>
        </w:rPr>
        <w:t xml:space="preserve"> </w:t>
      </w:r>
      <w:r w:rsidR="00D240E6">
        <w:rPr>
          <w:color w:val="000000"/>
          <w:sz w:val="20"/>
          <w:szCs w:val="20"/>
          <w:lang w:bidi="he-IL"/>
        </w:rPr>
        <w:t>for bond and equity valuation models, respectively,</w:t>
      </w:r>
      <w:r w:rsidRPr="0023367D">
        <w:rPr>
          <w:sz w:val="20"/>
          <w:szCs w:val="20"/>
        </w:rPr>
        <w:t xml:space="preserve"> and T is a year index, T=1, …, 39</w:t>
      </w:r>
      <w:r>
        <w:rPr>
          <w:sz w:val="20"/>
          <w:szCs w:val="20"/>
        </w:rPr>
        <w:t>, produces the following results.</w:t>
      </w:r>
      <w:r w:rsidRPr="0023367D">
        <w:rPr>
          <w:sz w:val="20"/>
          <w:szCs w:val="20"/>
        </w:rPr>
        <w:t xml:space="preserve"> </w:t>
      </w:r>
    </w:p>
    <w:p w14:paraId="470112F5" w14:textId="77777777" w:rsidR="00335619" w:rsidRPr="0023367D" w:rsidRDefault="00335619" w:rsidP="00335619">
      <w:pPr>
        <w:rPr>
          <w:color w:val="000000"/>
          <w:sz w:val="20"/>
          <w:szCs w:val="20"/>
          <w:lang w:bidi="he-IL"/>
        </w:rPr>
      </w:pPr>
      <w:r w:rsidRPr="0023367D">
        <w:rPr>
          <w:color w:val="000000"/>
          <w:sz w:val="20"/>
          <w:szCs w:val="20"/>
          <w:lang w:bidi="he-IL"/>
        </w:rPr>
        <w:t>The average annual increase in the adjusted R</w:t>
      </w:r>
      <w:r w:rsidRPr="0023367D">
        <w:rPr>
          <w:color w:val="000000"/>
          <w:sz w:val="20"/>
          <w:szCs w:val="20"/>
          <w:vertAlign w:val="superscript"/>
          <w:lang w:bidi="he-IL"/>
        </w:rPr>
        <w:t>2</w:t>
      </w:r>
      <w:r w:rsidRPr="0023367D">
        <w:rPr>
          <w:color w:val="000000"/>
          <w:sz w:val="20"/>
          <w:szCs w:val="20"/>
          <w:vertAlign w:val="subscript"/>
          <w:lang w:bidi="he-IL"/>
        </w:rPr>
        <w:t>ACCT</w:t>
      </w:r>
      <w:r w:rsidRPr="0023367D">
        <w:rPr>
          <w:color w:val="000000"/>
          <w:sz w:val="20"/>
          <w:szCs w:val="20"/>
          <w:lang w:bidi="he-IL"/>
        </w:rPr>
        <w:t xml:space="preserve"> is: </w:t>
      </w:r>
    </w:p>
    <w:p w14:paraId="0F411F6B" w14:textId="77777777" w:rsidR="00335619" w:rsidRPr="0023367D" w:rsidRDefault="00327EED" w:rsidP="00335619">
      <w:pPr>
        <w:ind w:left="720" w:hanging="450"/>
        <w:rPr>
          <w:color w:val="000000"/>
          <w:sz w:val="20"/>
          <w:szCs w:val="20"/>
          <w:lang w:bidi="he-IL"/>
        </w:rPr>
      </w:pPr>
      <w:r w:rsidRPr="0023367D">
        <w:rPr>
          <w:color w:val="000000"/>
          <w:sz w:val="20"/>
          <w:szCs w:val="20"/>
          <w:lang w:bidi="he-IL"/>
        </w:rPr>
        <w:t xml:space="preserve">  </w:t>
      </w:r>
      <w:r w:rsidR="00335619" w:rsidRPr="0023367D">
        <w:rPr>
          <w:color w:val="000000"/>
          <w:sz w:val="20"/>
          <w:szCs w:val="20"/>
          <w:lang w:bidi="he-IL"/>
        </w:rPr>
        <w:t>0.596% (t-stat of 3.96</w:t>
      </w:r>
      <w:r w:rsidR="00335619" w:rsidRPr="0023367D">
        <w:rPr>
          <w:color w:val="000000"/>
          <w:sz w:val="20"/>
          <w:szCs w:val="20"/>
          <w:vertAlign w:val="superscript"/>
          <w:lang w:bidi="he-IL"/>
        </w:rPr>
        <w:t>***</w:t>
      </w:r>
      <w:r w:rsidR="00335619" w:rsidRPr="0023367D">
        <w:rPr>
          <w:color w:val="000000"/>
          <w:sz w:val="20"/>
          <w:szCs w:val="20"/>
          <w:lang w:bidi="he-IL"/>
        </w:rPr>
        <w:t>) using bond valuation model (3)</w:t>
      </w:r>
      <w:r w:rsidR="003F0E1F">
        <w:rPr>
          <w:color w:val="000000"/>
          <w:sz w:val="20"/>
          <w:szCs w:val="20"/>
          <w:lang w:bidi="he-IL"/>
        </w:rPr>
        <w:t>,</w:t>
      </w:r>
      <w:r w:rsidR="00335619" w:rsidRPr="0023367D">
        <w:rPr>
          <w:color w:val="000000"/>
          <w:sz w:val="20"/>
          <w:szCs w:val="20"/>
          <w:lang w:bidi="he-IL"/>
        </w:rPr>
        <w:t xml:space="preserve"> </w:t>
      </w:r>
    </w:p>
    <w:p w14:paraId="505EFA40" w14:textId="77777777" w:rsidR="00335619" w:rsidRPr="0023367D" w:rsidRDefault="00327EED" w:rsidP="00335619">
      <w:pPr>
        <w:ind w:left="720" w:hanging="450"/>
        <w:rPr>
          <w:color w:val="000000"/>
          <w:sz w:val="20"/>
          <w:szCs w:val="20"/>
          <w:lang w:bidi="he-IL"/>
        </w:rPr>
      </w:pPr>
      <w:r w:rsidRPr="0023367D">
        <w:rPr>
          <w:color w:val="000000"/>
          <w:sz w:val="20"/>
          <w:szCs w:val="20"/>
          <w:lang w:bidi="he-IL"/>
        </w:rPr>
        <w:t xml:space="preserve">  </w:t>
      </w:r>
      <w:r w:rsidR="00335619" w:rsidRPr="0023367D">
        <w:rPr>
          <w:color w:val="000000"/>
          <w:sz w:val="20"/>
          <w:szCs w:val="20"/>
          <w:lang w:bidi="he-IL"/>
        </w:rPr>
        <w:t>0.915% (t-stat of 6.58</w:t>
      </w:r>
      <w:r w:rsidR="00335619" w:rsidRPr="0023367D">
        <w:rPr>
          <w:color w:val="000000"/>
          <w:sz w:val="20"/>
          <w:szCs w:val="20"/>
          <w:vertAlign w:val="superscript"/>
          <w:lang w:bidi="he-IL"/>
        </w:rPr>
        <w:t>***</w:t>
      </w:r>
      <w:r w:rsidR="00335619" w:rsidRPr="0023367D">
        <w:rPr>
          <w:color w:val="000000"/>
          <w:sz w:val="20"/>
          <w:szCs w:val="20"/>
          <w:lang w:bidi="he-IL"/>
        </w:rPr>
        <w:t xml:space="preserve">) using bond valuation model (A1) and </w:t>
      </w:r>
    </w:p>
    <w:p w14:paraId="66B353CC" w14:textId="77777777" w:rsidR="00335619" w:rsidRPr="0023367D" w:rsidRDefault="00327EED" w:rsidP="00335619">
      <w:pPr>
        <w:ind w:left="720" w:hanging="450"/>
        <w:rPr>
          <w:color w:val="000000"/>
          <w:sz w:val="20"/>
          <w:szCs w:val="20"/>
          <w:lang w:bidi="he-IL"/>
        </w:rPr>
      </w:pPr>
      <w:r w:rsidRPr="0023367D">
        <w:rPr>
          <w:color w:val="000000"/>
          <w:sz w:val="20"/>
          <w:szCs w:val="20"/>
          <w:lang w:bidi="he-IL"/>
        </w:rPr>
        <w:t xml:space="preserve"> </w:t>
      </w:r>
      <w:r w:rsidR="00335619" w:rsidRPr="0023367D">
        <w:rPr>
          <w:color w:val="000000"/>
          <w:sz w:val="20"/>
          <w:szCs w:val="20"/>
          <w:lang w:bidi="he-IL"/>
        </w:rPr>
        <w:t>-0.334% (t-stat -1.65) using equity valuation model (2).</w:t>
      </w:r>
    </w:p>
    <w:p w14:paraId="08A29E31" w14:textId="77777777" w:rsidR="003F0E1F" w:rsidRPr="0023367D" w:rsidRDefault="003F0E1F" w:rsidP="003F0E1F">
      <w:r>
        <w:rPr>
          <w:sz w:val="18"/>
          <w:szCs w:val="20"/>
        </w:rPr>
        <w:t>(</w:t>
      </w:r>
      <w:r w:rsidRPr="0023367D">
        <w:rPr>
          <w:sz w:val="18"/>
          <w:szCs w:val="20"/>
        </w:rPr>
        <w:t>Asterisks indicate significance at the 10% (</w:t>
      </w:r>
      <w:r w:rsidRPr="0023367D">
        <w:rPr>
          <w:sz w:val="14"/>
          <w:szCs w:val="20"/>
        </w:rPr>
        <w:t>*</w:t>
      </w:r>
      <w:r w:rsidRPr="0023367D">
        <w:rPr>
          <w:sz w:val="18"/>
          <w:szCs w:val="20"/>
        </w:rPr>
        <w:t>), 5% (</w:t>
      </w:r>
      <w:r w:rsidRPr="0023367D">
        <w:rPr>
          <w:sz w:val="14"/>
          <w:szCs w:val="20"/>
        </w:rPr>
        <w:t>**</w:t>
      </w:r>
      <w:r w:rsidRPr="0023367D">
        <w:rPr>
          <w:sz w:val="18"/>
          <w:szCs w:val="20"/>
        </w:rPr>
        <w:t>) and 1% (</w:t>
      </w:r>
      <w:r w:rsidRPr="0023367D">
        <w:rPr>
          <w:sz w:val="14"/>
          <w:szCs w:val="20"/>
        </w:rPr>
        <w:t>***</w:t>
      </w:r>
      <w:r w:rsidRPr="0023367D">
        <w:rPr>
          <w:sz w:val="18"/>
          <w:szCs w:val="20"/>
        </w:rPr>
        <w:t>) levels, respectively, using a two-tailed test</w:t>
      </w:r>
      <w:r>
        <w:rPr>
          <w:sz w:val="18"/>
          <w:szCs w:val="20"/>
        </w:rPr>
        <w:t>.</w:t>
      </w:r>
      <w:r w:rsidR="0043463F">
        <w:rPr>
          <w:sz w:val="18"/>
          <w:szCs w:val="20"/>
        </w:rPr>
        <w:t>)</w:t>
      </w:r>
      <w:r>
        <w:rPr>
          <w:sz w:val="18"/>
          <w:szCs w:val="20"/>
        </w:rPr>
        <w:t xml:space="preserve"> </w:t>
      </w:r>
      <w:r w:rsidRPr="0023367D">
        <w:rPr>
          <w:sz w:val="18"/>
          <w:szCs w:val="20"/>
          <w:vertAlign w:val="superscript"/>
        </w:rPr>
        <w:t xml:space="preserve"> </w:t>
      </w:r>
    </w:p>
    <w:p w14:paraId="619B728C" w14:textId="77777777" w:rsidR="00327EED" w:rsidRPr="0023367D" w:rsidRDefault="00327EED" w:rsidP="00335619">
      <w:pPr>
        <w:rPr>
          <w:sz w:val="20"/>
          <w:szCs w:val="20"/>
        </w:rPr>
      </w:pPr>
    </w:p>
    <w:p w14:paraId="23866045" w14:textId="77777777" w:rsidR="00335619" w:rsidRPr="0023367D" w:rsidRDefault="00335619" w:rsidP="00335619"/>
    <w:p w14:paraId="7527F0C2" w14:textId="77777777" w:rsidR="00335619" w:rsidRPr="0023367D" w:rsidRDefault="00335619" w:rsidP="00335619">
      <w:pPr>
        <w:ind w:hanging="90"/>
        <w:jc w:val="center"/>
        <w:outlineLvl w:val="0"/>
        <w:rPr>
          <w:b/>
          <w:bCs/>
        </w:rPr>
      </w:pPr>
      <w:r w:rsidRPr="0023367D">
        <w:rPr>
          <w:b/>
          <w:bCs/>
        </w:rPr>
        <w:br w:type="page"/>
      </w:r>
    </w:p>
    <w:p w14:paraId="184C3D70" w14:textId="77777777" w:rsidR="00D240E6" w:rsidRPr="0023367D" w:rsidRDefault="00D240E6" w:rsidP="00D240E6">
      <w:pPr>
        <w:ind w:hanging="90"/>
        <w:jc w:val="center"/>
        <w:outlineLvl w:val="0"/>
        <w:rPr>
          <w:b/>
          <w:bCs/>
        </w:rPr>
      </w:pPr>
      <w:r w:rsidRPr="0023367D">
        <w:rPr>
          <w:b/>
          <w:bCs/>
        </w:rPr>
        <w:t>Figure 2</w:t>
      </w:r>
    </w:p>
    <w:p w14:paraId="3FDDA803" w14:textId="77777777" w:rsidR="00D240E6" w:rsidRPr="0023367D" w:rsidRDefault="00D240E6" w:rsidP="00D240E6">
      <w:pPr>
        <w:jc w:val="center"/>
        <w:rPr>
          <w:b/>
          <w:bCs/>
        </w:rPr>
      </w:pPr>
      <w:r>
        <w:rPr>
          <w:b/>
          <w:bCs/>
        </w:rPr>
        <w:t xml:space="preserve">Annual </w:t>
      </w:r>
      <w:r w:rsidRPr="0023367D">
        <w:rPr>
          <w:b/>
          <w:bCs/>
        </w:rPr>
        <w:t xml:space="preserve">Association between Security </w:t>
      </w:r>
      <w:r>
        <w:rPr>
          <w:b/>
          <w:bCs/>
        </w:rPr>
        <w:t>Returns</w:t>
      </w:r>
      <w:r w:rsidRPr="0023367D">
        <w:rPr>
          <w:b/>
          <w:bCs/>
        </w:rPr>
        <w:t xml:space="preserve"> and Accounting Information:</w:t>
      </w:r>
    </w:p>
    <w:p w14:paraId="35834904" w14:textId="77777777" w:rsidR="00D240E6" w:rsidRPr="0023367D" w:rsidRDefault="00D240E6" w:rsidP="00D240E6">
      <w:pPr>
        <w:contextualSpacing/>
        <w:jc w:val="center"/>
        <w:rPr>
          <w:b/>
          <w:bCs/>
        </w:rPr>
      </w:pPr>
      <w:r w:rsidRPr="0023367D">
        <w:rPr>
          <w:b/>
        </w:rPr>
        <w:t>Adjusted R</w:t>
      </w:r>
      <w:r w:rsidRPr="0023367D">
        <w:rPr>
          <w:b/>
          <w:vertAlign w:val="superscript"/>
        </w:rPr>
        <w:t>2</w:t>
      </w:r>
      <w:r w:rsidRPr="0023367D">
        <w:rPr>
          <w:b/>
        </w:rPr>
        <w:t xml:space="preserve"> Using </w:t>
      </w:r>
      <w:r w:rsidRPr="0023367D">
        <w:rPr>
          <w:b/>
          <w:bCs/>
        </w:rPr>
        <w:t>Only Accounting-Based Variables</w:t>
      </w:r>
    </w:p>
    <w:p w14:paraId="0894F4B3" w14:textId="77777777" w:rsidR="00D240E6" w:rsidRPr="0023367D" w:rsidRDefault="00D240E6" w:rsidP="00D240E6">
      <w:pPr>
        <w:contextualSpacing/>
        <w:jc w:val="center"/>
        <w:rPr>
          <w:b/>
          <w:bCs/>
        </w:rPr>
      </w:pPr>
      <w:r w:rsidRPr="0023367D">
        <w:rPr>
          <w:b/>
          <w:bCs/>
        </w:rPr>
        <w:t xml:space="preserve"> (</w:t>
      </w:r>
      <w:r>
        <w:rPr>
          <w:b/>
          <w:bCs/>
        </w:rPr>
        <w:t>5</w:t>
      </w:r>
      <w:r w:rsidRPr="0023367D">
        <w:rPr>
          <w:b/>
          <w:bCs/>
        </w:rPr>
        <w:t xml:space="preserve">-year moving averages of </w:t>
      </w:r>
      <w:r w:rsidRPr="00D240E6">
        <w:rPr>
          <w:b/>
          <w:bCs/>
        </w:rPr>
        <w:t>annual</w:t>
      </w:r>
      <w:r w:rsidRPr="0023367D">
        <w:rPr>
          <w:b/>
          <w:bCs/>
          <w:i/>
        </w:rPr>
        <w:t xml:space="preserve"> </w:t>
      </w:r>
      <w:r w:rsidRPr="0023367D">
        <w:rPr>
          <w:b/>
          <w:bCs/>
        </w:rPr>
        <w:t>regressions)</w:t>
      </w:r>
    </w:p>
    <w:p w14:paraId="557C2D20" w14:textId="77777777" w:rsidR="00D240E6" w:rsidRPr="0023367D" w:rsidRDefault="00D240E6" w:rsidP="00D240E6">
      <w:pPr>
        <w:contextualSpacing/>
        <w:jc w:val="center"/>
        <w:rPr>
          <w:b/>
          <w:bCs/>
        </w:rPr>
      </w:pPr>
    </w:p>
    <w:p w14:paraId="17DC0403" w14:textId="7EC9B9A7" w:rsidR="00D240E6" w:rsidRPr="0023367D" w:rsidRDefault="001161C5" w:rsidP="00D240E6">
      <w:pPr>
        <w:ind w:left="360"/>
      </w:pPr>
      <w:r w:rsidRPr="00D57244">
        <w:rPr>
          <w:noProof/>
        </w:rPr>
        <w:drawing>
          <wp:inline distT="0" distB="0" distL="0" distR="0" wp14:anchorId="2ABB6C5A" wp14:editId="2AAB0ACA">
            <wp:extent cx="4832985" cy="5277485"/>
            <wp:effectExtent l="0" t="0" r="5715" b="18415"/>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92A354" w14:textId="77777777" w:rsidR="00D240E6" w:rsidRPr="0023367D" w:rsidRDefault="00D240E6" w:rsidP="00D240E6">
      <w:pPr>
        <w:spacing w:before="240"/>
        <w:rPr>
          <w:color w:val="000000"/>
          <w:sz w:val="20"/>
          <w:szCs w:val="20"/>
          <w:lang w:bidi="he-IL"/>
        </w:rPr>
      </w:pPr>
      <w:r w:rsidRPr="0023367D">
        <w:rPr>
          <w:color w:val="000000"/>
          <w:sz w:val="20"/>
          <w:szCs w:val="20"/>
          <w:lang w:bidi="he-IL"/>
        </w:rPr>
        <w:t xml:space="preserve">The figure is based on the results </w:t>
      </w:r>
      <w:r>
        <w:rPr>
          <w:color w:val="000000"/>
          <w:sz w:val="20"/>
          <w:szCs w:val="20"/>
          <w:lang w:bidi="he-IL"/>
        </w:rPr>
        <w:t xml:space="preserve">presented in Table 4, Panel B </w:t>
      </w:r>
      <w:r w:rsidRPr="0023367D">
        <w:rPr>
          <w:color w:val="000000"/>
          <w:sz w:val="20"/>
          <w:szCs w:val="20"/>
          <w:lang w:bidi="he-IL"/>
        </w:rPr>
        <w:t xml:space="preserve">for the </w:t>
      </w:r>
      <w:r>
        <w:rPr>
          <w:bCs/>
          <w:color w:val="000000"/>
          <w:sz w:val="20"/>
          <w:szCs w:val="20"/>
          <w:lang w:bidi="he-IL"/>
        </w:rPr>
        <w:t xml:space="preserve">homogenous-liquid </w:t>
      </w:r>
      <w:r w:rsidRPr="0023367D">
        <w:rPr>
          <w:bCs/>
          <w:color w:val="000000"/>
          <w:sz w:val="20"/>
          <w:szCs w:val="20"/>
          <w:lang w:bidi="he-IL"/>
        </w:rPr>
        <w:t>sample</w:t>
      </w:r>
      <w:r w:rsidRPr="0023367D">
        <w:rPr>
          <w:color w:val="000000"/>
          <w:sz w:val="20"/>
          <w:szCs w:val="20"/>
          <w:lang w:bidi="he-IL"/>
        </w:rPr>
        <w:t xml:space="preserve">. </w:t>
      </w:r>
    </w:p>
    <w:p w14:paraId="0A90CF38" w14:textId="77777777" w:rsidR="00D240E6" w:rsidRPr="0023367D" w:rsidRDefault="00D240E6" w:rsidP="00D240E6">
      <w:pPr>
        <w:rPr>
          <w:color w:val="000000"/>
          <w:sz w:val="20"/>
          <w:szCs w:val="20"/>
          <w:lang w:bidi="he-IL"/>
        </w:rPr>
      </w:pPr>
      <w:r w:rsidRPr="0023367D">
        <w:rPr>
          <w:color w:val="000000"/>
          <w:sz w:val="20"/>
          <w:szCs w:val="20"/>
          <w:lang w:bidi="he-IL"/>
        </w:rPr>
        <w:t xml:space="preserve">The </w:t>
      </w:r>
      <w:r>
        <w:rPr>
          <w:color w:val="000000"/>
          <w:sz w:val="20"/>
          <w:szCs w:val="20"/>
          <w:lang w:bidi="he-IL"/>
        </w:rPr>
        <w:t>return</w:t>
      </w:r>
      <w:r w:rsidRPr="0023367D">
        <w:rPr>
          <w:color w:val="000000"/>
          <w:sz w:val="20"/>
          <w:szCs w:val="20"/>
          <w:lang w:bidi="he-IL"/>
        </w:rPr>
        <w:t xml:space="preserve"> models are provided in section 4.2.</w:t>
      </w:r>
      <w:r>
        <w:rPr>
          <w:color w:val="000000"/>
          <w:sz w:val="20"/>
          <w:szCs w:val="20"/>
          <w:lang w:bidi="he-IL"/>
        </w:rPr>
        <w:t>2</w:t>
      </w:r>
      <w:r w:rsidRPr="0023367D">
        <w:rPr>
          <w:color w:val="000000"/>
          <w:sz w:val="20"/>
          <w:szCs w:val="20"/>
          <w:lang w:bidi="he-IL"/>
        </w:rPr>
        <w:t>.</w:t>
      </w:r>
    </w:p>
    <w:p w14:paraId="706A5B00" w14:textId="77777777" w:rsidR="00D240E6" w:rsidRPr="003F0E1F" w:rsidRDefault="00D240E6" w:rsidP="00D240E6">
      <w:pPr>
        <w:rPr>
          <w:color w:val="000000"/>
          <w:sz w:val="12"/>
          <w:szCs w:val="20"/>
          <w:lang w:bidi="he-IL"/>
        </w:rPr>
      </w:pPr>
    </w:p>
    <w:p w14:paraId="3B321007" w14:textId="77777777" w:rsidR="00D240E6" w:rsidRDefault="00D240E6" w:rsidP="00D240E6">
      <w:pPr>
        <w:rPr>
          <w:sz w:val="20"/>
          <w:szCs w:val="20"/>
        </w:rPr>
      </w:pPr>
      <w:r>
        <w:rPr>
          <w:sz w:val="20"/>
          <w:szCs w:val="20"/>
        </w:rPr>
        <w:t xml:space="preserve">Estimating </w:t>
      </w:r>
      <w:r w:rsidRPr="0023367D">
        <w:rPr>
          <w:sz w:val="20"/>
          <w:szCs w:val="20"/>
        </w:rPr>
        <w:t xml:space="preserve">a trend line regression of the form Y = a + </w:t>
      </w:r>
      <w:proofErr w:type="spellStart"/>
      <w:r w:rsidRPr="0023367D">
        <w:rPr>
          <w:sz w:val="20"/>
          <w:szCs w:val="20"/>
        </w:rPr>
        <w:t>bT</w:t>
      </w:r>
      <w:proofErr w:type="spellEnd"/>
      <w:r w:rsidRPr="0023367D">
        <w:rPr>
          <w:sz w:val="20"/>
          <w:szCs w:val="20"/>
        </w:rPr>
        <w:t xml:space="preserve"> + e, from the </w:t>
      </w:r>
      <w:r>
        <w:rPr>
          <w:sz w:val="20"/>
          <w:szCs w:val="20"/>
        </w:rPr>
        <w:t>39</w:t>
      </w:r>
      <w:r w:rsidRPr="0023367D">
        <w:rPr>
          <w:sz w:val="20"/>
          <w:szCs w:val="20"/>
        </w:rPr>
        <w:t xml:space="preserve"> </w:t>
      </w:r>
      <w:r>
        <w:rPr>
          <w:sz w:val="20"/>
          <w:szCs w:val="20"/>
        </w:rPr>
        <w:t>annual</w:t>
      </w:r>
      <w:r w:rsidRPr="0023367D">
        <w:rPr>
          <w:sz w:val="20"/>
          <w:szCs w:val="20"/>
        </w:rPr>
        <w:t xml:space="preserve"> observations where Y is the </w:t>
      </w:r>
      <w:r w:rsidRPr="0023367D">
        <w:rPr>
          <w:color w:val="000000"/>
          <w:sz w:val="20"/>
          <w:szCs w:val="20"/>
          <w:lang w:bidi="he-IL"/>
        </w:rPr>
        <w:t>adjusted R</w:t>
      </w:r>
      <w:r w:rsidRPr="0023367D">
        <w:rPr>
          <w:color w:val="000000"/>
          <w:sz w:val="20"/>
          <w:szCs w:val="20"/>
          <w:vertAlign w:val="superscript"/>
          <w:lang w:bidi="he-IL"/>
        </w:rPr>
        <w:t>2</w:t>
      </w:r>
      <w:r w:rsidRPr="0023367D">
        <w:rPr>
          <w:color w:val="000000"/>
          <w:sz w:val="20"/>
          <w:szCs w:val="20"/>
          <w:vertAlign w:val="subscript"/>
          <w:lang w:bidi="he-IL"/>
        </w:rPr>
        <w:t>ACCT</w:t>
      </w:r>
      <w:r>
        <w:rPr>
          <w:color w:val="000000"/>
          <w:sz w:val="20"/>
          <w:szCs w:val="20"/>
          <w:vertAlign w:val="subscript"/>
          <w:lang w:bidi="he-IL"/>
        </w:rPr>
        <w:t xml:space="preserve"> </w:t>
      </w:r>
      <w:r w:rsidRPr="0023367D">
        <w:rPr>
          <w:color w:val="000000"/>
          <w:sz w:val="20"/>
          <w:szCs w:val="20"/>
          <w:lang w:bidi="he-IL"/>
        </w:rPr>
        <w:t>a</w:t>
      </w:r>
      <w:r>
        <w:rPr>
          <w:color w:val="000000"/>
          <w:sz w:val="20"/>
          <w:szCs w:val="20"/>
          <w:lang w:bidi="he-IL"/>
        </w:rPr>
        <w:t>nd a</w:t>
      </w:r>
      <w:r w:rsidRPr="0023367D">
        <w:rPr>
          <w:color w:val="000000"/>
          <w:sz w:val="20"/>
          <w:szCs w:val="20"/>
          <w:lang w:bidi="he-IL"/>
        </w:rPr>
        <w:t>djusted R</w:t>
      </w:r>
      <w:r w:rsidRPr="0023367D">
        <w:rPr>
          <w:color w:val="000000"/>
          <w:sz w:val="20"/>
          <w:szCs w:val="20"/>
          <w:vertAlign w:val="superscript"/>
          <w:lang w:bidi="he-IL"/>
        </w:rPr>
        <w:t>2</w:t>
      </w:r>
      <w:r w:rsidRPr="00B27FA3">
        <w:rPr>
          <w:color w:val="000000"/>
          <w:sz w:val="20"/>
          <w:szCs w:val="20"/>
          <w:lang w:bidi="he-IL"/>
        </w:rPr>
        <w:t xml:space="preserve"> </w:t>
      </w:r>
      <w:r>
        <w:rPr>
          <w:color w:val="000000"/>
          <w:sz w:val="20"/>
          <w:szCs w:val="20"/>
          <w:lang w:bidi="he-IL"/>
        </w:rPr>
        <w:t>for bond and equity return models, respectively,</w:t>
      </w:r>
      <w:r w:rsidRPr="0023367D">
        <w:rPr>
          <w:color w:val="000000"/>
          <w:sz w:val="20"/>
          <w:szCs w:val="20"/>
          <w:lang w:bidi="he-IL"/>
        </w:rPr>
        <w:t xml:space="preserve"> </w:t>
      </w:r>
      <w:r w:rsidRPr="0023367D">
        <w:rPr>
          <w:sz w:val="20"/>
          <w:szCs w:val="20"/>
        </w:rPr>
        <w:t xml:space="preserve"> and T is a year index, T=1, …, </w:t>
      </w:r>
      <w:r>
        <w:rPr>
          <w:sz w:val="20"/>
          <w:szCs w:val="20"/>
        </w:rPr>
        <w:t>39, produces the following results</w:t>
      </w:r>
      <w:r w:rsidRPr="0023367D">
        <w:rPr>
          <w:sz w:val="20"/>
          <w:szCs w:val="20"/>
        </w:rPr>
        <w:t>.</w:t>
      </w:r>
    </w:p>
    <w:p w14:paraId="0A9DAE4B" w14:textId="77777777" w:rsidR="00D240E6" w:rsidRPr="0023367D" w:rsidRDefault="00D240E6" w:rsidP="00D240E6">
      <w:pPr>
        <w:rPr>
          <w:color w:val="000000"/>
          <w:sz w:val="20"/>
          <w:szCs w:val="20"/>
          <w:lang w:bidi="he-IL"/>
        </w:rPr>
      </w:pPr>
      <w:r w:rsidRPr="0023367D">
        <w:rPr>
          <w:color w:val="000000"/>
          <w:sz w:val="20"/>
          <w:szCs w:val="20"/>
          <w:lang w:bidi="he-IL"/>
        </w:rPr>
        <w:t>The average annual increase in the adjusted R</w:t>
      </w:r>
      <w:r w:rsidRPr="0023367D">
        <w:rPr>
          <w:color w:val="000000"/>
          <w:sz w:val="20"/>
          <w:szCs w:val="20"/>
          <w:vertAlign w:val="superscript"/>
          <w:lang w:bidi="he-IL"/>
        </w:rPr>
        <w:t>2</w:t>
      </w:r>
      <w:r w:rsidRPr="0023367D">
        <w:rPr>
          <w:color w:val="000000"/>
          <w:sz w:val="20"/>
          <w:szCs w:val="20"/>
          <w:vertAlign w:val="subscript"/>
          <w:lang w:bidi="he-IL"/>
        </w:rPr>
        <w:t>ACCT</w:t>
      </w:r>
      <w:r w:rsidRPr="0023367D">
        <w:rPr>
          <w:color w:val="000000"/>
          <w:sz w:val="20"/>
          <w:szCs w:val="20"/>
          <w:lang w:bidi="he-IL"/>
        </w:rPr>
        <w:t xml:space="preserve"> is:  </w:t>
      </w:r>
    </w:p>
    <w:p w14:paraId="5E342D3D" w14:textId="77777777" w:rsidR="00D240E6" w:rsidRPr="0023367D" w:rsidRDefault="00D240E6" w:rsidP="00D240E6">
      <w:pPr>
        <w:ind w:left="720" w:hanging="180"/>
        <w:rPr>
          <w:color w:val="000000"/>
          <w:sz w:val="20"/>
          <w:szCs w:val="20"/>
          <w:lang w:bidi="he-IL"/>
        </w:rPr>
      </w:pPr>
      <w:r w:rsidRPr="0023367D">
        <w:rPr>
          <w:color w:val="000000"/>
          <w:sz w:val="20"/>
          <w:szCs w:val="20"/>
          <w:lang w:bidi="he-IL"/>
        </w:rPr>
        <w:t xml:space="preserve"> 0.</w:t>
      </w:r>
      <w:r>
        <w:rPr>
          <w:color w:val="000000"/>
          <w:sz w:val="20"/>
          <w:szCs w:val="20"/>
          <w:lang w:bidi="he-IL"/>
        </w:rPr>
        <w:t>247</w:t>
      </w:r>
      <w:r w:rsidRPr="0023367D">
        <w:rPr>
          <w:color w:val="000000"/>
          <w:sz w:val="20"/>
          <w:szCs w:val="20"/>
          <w:lang w:bidi="he-IL"/>
        </w:rPr>
        <w:t xml:space="preserve">% (t-stat of </w:t>
      </w:r>
      <w:r>
        <w:rPr>
          <w:color w:val="000000"/>
          <w:sz w:val="20"/>
          <w:szCs w:val="20"/>
          <w:lang w:bidi="he-IL"/>
        </w:rPr>
        <w:t>1.70</w:t>
      </w:r>
      <w:r w:rsidRPr="0023367D">
        <w:rPr>
          <w:color w:val="000000"/>
          <w:sz w:val="20"/>
          <w:szCs w:val="20"/>
          <w:vertAlign w:val="superscript"/>
          <w:lang w:bidi="he-IL"/>
        </w:rPr>
        <w:t>*</w:t>
      </w:r>
      <w:r w:rsidRPr="0023367D">
        <w:rPr>
          <w:color w:val="000000"/>
          <w:sz w:val="20"/>
          <w:szCs w:val="20"/>
          <w:lang w:bidi="he-IL"/>
        </w:rPr>
        <w:t xml:space="preserve">) using bond </w:t>
      </w:r>
      <w:r>
        <w:rPr>
          <w:color w:val="000000"/>
          <w:sz w:val="20"/>
          <w:szCs w:val="20"/>
          <w:lang w:bidi="he-IL"/>
        </w:rPr>
        <w:t>return</w:t>
      </w:r>
      <w:r w:rsidRPr="0023367D">
        <w:rPr>
          <w:color w:val="000000"/>
          <w:sz w:val="20"/>
          <w:szCs w:val="20"/>
          <w:lang w:bidi="he-IL"/>
        </w:rPr>
        <w:t xml:space="preserve"> model (</w:t>
      </w:r>
      <w:r>
        <w:rPr>
          <w:color w:val="000000"/>
          <w:sz w:val="20"/>
          <w:szCs w:val="20"/>
          <w:lang w:bidi="he-IL"/>
        </w:rPr>
        <w:t>5</w:t>
      </w:r>
      <w:r w:rsidRPr="0023367D">
        <w:rPr>
          <w:color w:val="000000"/>
          <w:sz w:val="20"/>
          <w:szCs w:val="20"/>
          <w:lang w:bidi="he-IL"/>
        </w:rPr>
        <w:t>)</w:t>
      </w:r>
      <w:r>
        <w:rPr>
          <w:color w:val="000000"/>
          <w:sz w:val="20"/>
          <w:szCs w:val="20"/>
          <w:lang w:bidi="he-IL"/>
        </w:rPr>
        <w:t>,</w:t>
      </w:r>
      <w:r w:rsidRPr="0023367D">
        <w:rPr>
          <w:color w:val="000000"/>
          <w:sz w:val="20"/>
          <w:szCs w:val="20"/>
          <w:lang w:bidi="he-IL"/>
        </w:rPr>
        <w:t xml:space="preserve"> </w:t>
      </w:r>
    </w:p>
    <w:p w14:paraId="12B86DA1" w14:textId="77777777" w:rsidR="00D240E6" w:rsidRPr="0023367D" w:rsidRDefault="00D240E6" w:rsidP="00D240E6">
      <w:pPr>
        <w:ind w:left="720" w:hanging="180"/>
        <w:rPr>
          <w:color w:val="000000"/>
          <w:sz w:val="20"/>
          <w:szCs w:val="20"/>
          <w:lang w:bidi="he-IL"/>
        </w:rPr>
      </w:pPr>
      <w:r w:rsidRPr="0023367D">
        <w:rPr>
          <w:color w:val="000000"/>
          <w:sz w:val="20"/>
          <w:szCs w:val="20"/>
          <w:lang w:bidi="he-IL"/>
        </w:rPr>
        <w:t xml:space="preserve"> 0.</w:t>
      </w:r>
      <w:r>
        <w:rPr>
          <w:color w:val="000000"/>
          <w:sz w:val="20"/>
          <w:szCs w:val="20"/>
          <w:lang w:bidi="he-IL"/>
        </w:rPr>
        <w:t>515</w:t>
      </w:r>
      <w:r w:rsidRPr="0023367D">
        <w:rPr>
          <w:color w:val="000000"/>
          <w:sz w:val="20"/>
          <w:szCs w:val="20"/>
          <w:lang w:bidi="he-IL"/>
        </w:rPr>
        <w:t xml:space="preserve">% (t-stat of </w:t>
      </w:r>
      <w:r>
        <w:rPr>
          <w:color w:val="000000"/>
          <w:sz w:val="20"/>
          <w:szCs w:val="20"/>
          <w:lang w:bidi="he-IL"/>
        </w:rPr>
        <w:t>2.05</w:t>
      </w:r>
      <w:r w:rsidRPr="0023367D">
        <w:rPr>
          <w:color w:val="000000"/>
          <w:sz w:val="20"/>
          <w:szCs w:val="20"/>
          <w:vertAlign w:val="superscript"/>
          <w:lang w:bidi="he-IL"/>
        </w:rPr>
        <w:t>**</w:t>
      </w:r>
      <w:r w:rsidRPr="0023367D">
        <w:rPr>
          <w:color w:val="000000"/>
          <w:sz w:val="20"/>
          <w:szCs w:val="20"/>
          <w:lang w:bidi="he-IL"/>
        </w:rPr>
        <w:t xml:space="preserve">) using bond </w:t>
      </w:r>
      <w:r>
        <w:rPr>
          <w:color w:val="000000"/>
          <w:sz w:val="20"/>
          <w:szCs w:val="20"/>
          <w:lang w:bidi="he-IL"/>
        </w:rPr>
        <w:t>return</w:t>
      </w:r>
      <w:r w:rsidRPr="0023367D">
        <w:rPr>
          <w:color w:val="000000"/>
          <w:sz w:val="20"/>
          <w:szCs w:val="20"/>
          <w:lang w:bidi="he-IL"/>
        </w:rPr>
        <w:t xml:space="preserve"> model (A</w:t>
      </w:r>
      <w:r>
        <w:rPr>
          <w:color w:val="000000"/>
          <w:sz w:val="20"/>
          <w:szCs w:val="20"/>
          <w:lang w:bidi="he-IL"/>
        </w:rPr>
        <w:t>2</w:t>
      </w:r>
      <w:r w:rsidRPr="0023367D">
        <w:rPr>
          <w:color w:val="000000"/>
          <w:sz w:val="20"/>
          <w:szCs w:val="20"/>
          <w:lang w:bidi="he-IL"/>
        </w:rPr>
        <w:t>) and</w:t>
      </w:r>
    </w:p>
    <w:p w14:paraId="4852859E" w14:textId="77777777" w:rsidR="00D240E6" w:rsidRPr="0023367D" w:rsidRDefault="00D240E6" w:rsidP="00D240E6">
      <w:pPr>
        <w:ind w:left="720" w:hanging="180"/>
        <w:rPr>
          <w:color w:val="000000"/>
          <w:sz w:val="20"/>
          <w:szCs w:val="20"/>
          <w:lang w:bidi="he-IL"/>
        </w:rPr>
      </w:pPr>
      <w:r w:rsidRPr="0023367D">
        <w:rPr>
          <w:color w:val="000000"/>
          <w:sz w:val="20"/>
          <w:szCs w:val="20"/>
          <w:lang w:bidi="he-IL"/>
        </w:rPr>
        <w:t>-0.</w:t>
      </w:r>
      <w:r>
        <w:rPr>
          <w:color w:val="000000"/>
          <w:sz w:val="20"/>
          <w:szCs w:val="20"/>
          <w:lang w:bidi="he-IL"/>
        </w:rPr>
        <w:t>1</w:t>
      </w:r>
      <w:r w:rsidRPr="0023367D">
        <w:rPr>
          <w:color w:val="000000"/>
          <w:sz w:val="20"/>
          <w:szCs w:val="20"/>
          <w:lang w:bidi="he-IL"/>
        </w:rPr>
        <w:t>69% (t-stat -</w:t>
      </w:r>
      <w:r>
        <w:rPr>
          <w:color w:val="000000"/>
          <w:sz w:val="20"/>
          <w:szCs w:val="20"/>
          <w:lang w:bidi="he-IL"/>
        </w:rPr>
        <w:t>1.09</w:t>
      </w:r>
      <w:r w:rsidRPr="0023367D">
        <w:rPr>
          <w:color w:val="000000"/>
          <w:sz w:val="20"/>
          <w:szCs w:val="20"/>
          <w:lang w:bidi="he-IL"/>
        </w:rPr>
        <w:t xml:space="preserve">) using equity </w:t>
      </w:r>
      <w:r>
        <w:rPr>
          <w:color w:val="000000"/>
          <w:sz w:val="20"/>
          <w:szCs w:val="20"/>
          <w:lang w:bidi="he-IL"/>
        </w:rPr>
        <w:t>return</w:t>
      </w:r>
      <w:r w:rsidRPr="0023367D">
        <w:rPr>
          <w:color w:val="000000"/>
          <w:sz w:val="20"/>
          <w:szCs w:val="20"/>
          <w:lang w:bidi="he-IL"/>
        </w:rPr>
        <w:t xml:space="preserve"> model (</w:t>
      </w:r>
      <w:r>
        <w:rPr>
          <w:color w:val="000000"/>
          <w:sz w:val="20"/>
          <w:szCs w:val="20"/>
          <w:lang w:bidi="he-IL"/>
        </w:rPr>
        <w:t>4</w:t>
      </w:r>
      <w:r w:rsidRPr="0023367D">
        <w:rPr>
          <w:color w:val="000000"/>
          <w:sz w:val="20"/>
          <w:szCs w:val="20"/>
          <w:lang w:bidi="he-IL"/>
        </w:rPr>
        <w:t>)</w:t>
      </w:r>
      <w:r>
        <w:rPr>
          <w:color w:val="000000"/>
          <w:sz w:val="20"/>
          <w:szCs w:val="20"/>
          <w:lang w:bidi="he-IL"/>
        </w:rPr>
        <w:t xml:space="preserve">. </w:t>
      </w:r>
    </w:p>
    <w:p w14:paraId="20DCC6DB" w14:textId="77777777" w:rsidR="00D240E6" w:rsidRDefault="00D240E6" w:rsidP="00D240E6">
      <w:pPr>
        <w:outlineLvl w:val="0"/>
        <w:rPr>
          <w:b/>
          <w:bCs/>
          <w:color w:val="FF0000"/>
        </w:rPr>
      </w:pPr>
      <w:r>
        <w:rPr>
          <w:sz w:val="18"/>
          <w:szCs w:val="20"/>
        </w:rPr>
        <w:t>(</w:t>
      </w:r>
      <w:r w:rsidRPr="0023367D">
        <w:rPr>
          <w:sz w:val="18"/>
          <w:szCs w:val="20"/>
        </w:rPr>
        <w:t>Asterisks indicate significance at the 10% (</w:t>
      </w:r>
      <w:r w:rsidRPr="0023367D">
        <w:rPr>
          <w:sz w:val="14"/>
          <w:szCs w:val="20"/>
        </w:rPr>
        <w:t>*</w:t>
      </w:r>
      <w:r w:rsidRPr="0023367D">
        <w:rPr>
          <w:sz w:val="18"/>
          <w:szCs w:val="20"/>
        </w:rPr>
        <w:t>), 5% (</w:t>
      </w:r>
      <w:r w:rsidRPr="0023367D">
        <w:rPr>
          <w:sz w:val="14"/>
          <w:szCs w:val="20"/>
        </w:rPr>
        <w:t>**</w:t>
      </w:r>
      <w:r w:rsidRPr="0023367D">
        <w:rPr>
          <w:sz w:val="18"/>
          <w:szCs w:val="20"/>
        </w:rPr>
        <w:t>) and 1% (</w:t>
      </w:r>
      <w:r w:rsidRPr="0023367D">
        <w:rPr>
          <w:sz w:val="14"/>
          <w:szCs w:val="20"/>
        </w:rPr>
        <w:t>***</w:t>
      </w:r>
      <w:r w:rsidRPr="0023367D">
        <w:rPr>
          <w:sz w:val="18"/>
          <w:szCs w:val="20"/>
        </w:rPr>
        <w:t>) levels, respectively, using a two-tailed test</w:t>
      </w:r>
      <w:r>
        <w:rPr>
          <w:sz w:val="18"/>
          <w:szCs w:val="20"/>
        </w:rPr>
        <w:t xml:space="preserve">.) </w:t>
      </w:r>
      <w:r w:rsidRPr="0023367D">
        <w:rPr>
          <w:sz w:val="18"/>
          <w:szCs w:val="20"/>
          <w:vertAlign w:val="superscript"/>
        </w:rPr>
        <w:t xml:space="preserve"> </w:t>
      </w:r>
      <w:r w:rsidRPr="0023367D">
        <w:rPr>
          <w:b/>
          <w:bCs/>
          <w:color w:val="FF0000"/>
        </w:rPr>
        <w:t xml:space="preserve"> </w:t>
      </w:r>
    </w:p>
    <w:p w14:paraId="50C58BD6" w14:textId="77777777" w:rsidR="00B43FC2" w:rsidRPr="0023367D" w:rsidRDefault="00D240E6" w:rsidP="00D240E6">
      <w:pPr>
        <w:ind w:hanging="86"/>
        <w:jc w:val="center"/>
        <w:outlineLvl w:val="0"/>
        <w:rPr>
          <w:b/>
          <w:bCs/>
        </w:rPr>
      </w:pPr>
      <w:r>
        <w:rPr>
          <w:b/>
          <w:bCs/>
          <w:color w:val="FF0000"/>
        </w:rPr>
        <w:br w:type="page"/>
      </w:r>
      <w:r w:rsidR="00B43FC2" w:rsidRPr="0023367D">
        <w:rPr>
          <w:b/>
          <w:bCs/>
        </w:rPr>
        <w:t xml:space="preserve">Figure </w:t>
      </w:r>
      <w:r w:rsidR="00B43FC2">
        <w:rPr>
          <w:b/>
          <w:bCs/>
        </w:rPr>
        <w:t>3</w:t>
      </w:r>
    </w:p>
    <w:p w14:paraId="45926722" w14:textId="77777777" w:rsidR="00B43FC2" w:rsidRPr="0023367D" w:rsidRDefault="00F4216E" w:rsidP="00164FBB">
      <w:pPr>
        <w:contextualSpacing/>
        <w:jc w:val="center"/>
        <w:rPr>
          <w:b/>
          <w:bCs/>
        </w:rPr>
      </w:pPr>
      <w:r>
        <w:rPr>
          <w:b/>
          <w:bCs/>
        </w:rPr>
        <w:t xml:space="preserve">Time-series Behavior of </w:t>
      </w:r>
      <w:r w:rsidR="00B43FC2" w:rsidRPr="00A57903">
        <w:rPr>
          <w:b/>
          <w:bCs/>
        </w:rPr>
        <w:t xml:space="preserve">Individual Variables </w:t>
      </w:r>
      <w:r w:rsidR="00164FBB">
        <w:rPr>
          <w:b/>
          <w:bCs/>
        </w:rPr>
        <w:t xml:space="preserve">Hypothesized to </w:t>
      </w:r>
      <w:r w:rsidR="00B43FC2">
        <w:rPr>
          <w:b/>
          <w:bCs/>
        </w:rPr>
        <w:t>Influenc</w:t>
      </w:r>
      <w:r w:rsidR="00164FBB">
        <w:rPr>
          <w:b/>
          <w:bCs/>
        </w:rPr>
        <w:t>e</w:t>
      </w:r>
      <w:r w:rsidR="00B43FC2">
        <w:rPr>
          <w:b/>
          <w:bCs/>
        </w:rPr>
        <w:t xml:space="preserve"> the Accounting Information to </w:t>
      </w:r>
      <w:r w:rsidR="00B43FC2" w:rsidRPr="00A57903">
        <w:rPr>
          <w:b/>
          <w:bCs/>
        </w:rPr>
        <w:t>Bond Holders</w:t>
      </w:r>
    </w:p>
    <w:p w14:paraId="1C8B6DC1" w14:textId="77777777" w:rsidR="00B43FC2" w:rsidRDefault="00B43FC2" w:rsidP="00B43FC2">
      <w:pPr>
        <w:contextualSpacing/>
        <w:jc w:val="center"/>
        <w:rPr>
          <w:b/>
          <w:bCs/>
        </w:rPr>
      </w:pPr>
      <w:r w:rsidRPr="0023367D">
        <w:rPr>
          <w:b/>
          <w:bCs/>
        </w:rPr>
        <w:t xml:space="preserve"> (5-year moving averages)</w:t>
      </w:r>
      <w:r w:rsidRPr="00143D23">
        <w:rPr>
          <w:rFonts w:ascii="Times New Roman Bold" w:hAnsi="Times New Roman Bold"/>
          <w:b/>
          <w:bCs/>
          <w:vertAlign w:val="superscript"/>
        </w:rPr>
        <w:t xml:space="preserve"> </w:t>
      </w:r>
      <w:r>
        <w:rPr>
          <w:rFonts w:ascii="Times New Roman Bold" w:hAnsi="Times New Roman Bold"/>
          <w:b/>
          <w:bCs/>
          <w:vertAlign w:val="superscript"/>
        </w:rPr>
        <w:t>(a)</w:t>
      </w:r>
    </w:p>
    <w:p w14:paraId="2BFE35E5" w14:textId="77777777" w:rsidR="00B43FC2" w:rsidRPr="00A57903" w:rsidRDefault="00B43FC2" w:rsidP="00B43FC2">
      <w:pPr>
        <w:contextualSpacing/>
        <w:jc w:val="center"/>
        <w:rPr>
          <w:b/>
          <w:b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5B7DD4" w14:paraId="10140741" w14:textId="77777777" w:rsidTr="005B7DD4">
        <w:tc>
          <w:tcPr>
            <w:tcW w:w="4675" w:type="dxa"/>
            <w:shd w:val="clear" w:color="auto" w:fill="auto"/>
          </w:tcPr>
          <w:p w14:paraId="52664F2F" w14:textId="77777777" w:rsidR="00B43FC2" w:rsidRPr="005B7DD4" w:rsidRDefault="00B43FC2" w:rsidP="005B7DD4">
            <w:pPr>
              <w:spacing w:line="259" w:lineRule="auto"/>
              <w:rPr>
                <w:rFonts w:ascii="Calibri" w:eastAsia="Calibri" w:hAnsi="Calibri" w:cs="Arial"/>
                <w:sz w:val="20"/>
                <w:szCs w:val="20"/>
              </w:rPr>
            </w:pPr>
            <w:r w:rsidRPr="005B7DD4">
              <w:rPr>
                <w:rFonts w:ascii="Calibri" w:eastAsia="Calibri" w:hAnsi="Calibri" w:cs="Arial"/>
                <w:b/>
                <w:bCs/>
                <w:sz w:val="20"/>
                <w:szCs w:val="20"/>
              </w:rPr>
              <w:t>PROB</w:t>
            </w:r>
          </w:p>
        </w:tc>
        <w:tc>
          <w:tcPr>
            <w:tcW w:w="4675" w:type="dxa"/>
            <w:shd w:val="clear" w:color="auto" w:fill="auto"/>
          </w:tcPr>
          <w:p w14:paraId="39F8925F" w14:textId="77777777" w:rsidR="00B43FC2" w:rsidRPr="005B7DD4" w:rsidRDefault="00B43FC2" w:rsidP="005B7DD4">
            <w:pPr>
              <w:spacing w:line="259" w:lineRule="auto"/>
              <w:rPr>
                <w:rFonts w:ascii="Calibri" w:eastAsia="Calibri" w:hAnsi="Calibri" w:cs="Arial"/>
                <w:sz w:val="20"/>
                <w:szCs w:val="20"/>
              </w:rPr>
            </w:pPr>
            <w:proofErr w:type="spellStart"/>
            <w:r w:rsidRPr="005B7DD4">
              <w:rPr>
                <w:rFonts w:ascii="Calibri" w:eastAsia="Calibri" w:hAnsi="Calibri" w:cs="Arial"/>
                <w:b/>
                <w:bCs/>
                <w:sz w:val="20"/>
                <w:szCs w:val="20"/>
              </w:rPr>
              <w:t>NegCFO</w:t>
            </w:r>
            <w:proofErr w:type="spellEnd"/>
          </w:p>
        </w:tc>
      </w:tr>
      <w:tr w:rsidR="005B7DD4" w14:paraId="71293994" w14:textId="77777777" w:rsidTr="005B7DD4">
        <w:tc>
          <w:tcPr>
            <w:tcW w:w="4675" w:type="dxa"/>
            <w:shd w:val="clear" w:color="auto" w:fill="auto"/>
          </w:tcPr>
          <w:p w14:paraId="6B66F9B0" w14:textId="518CD2B9" w:rsidR="00B43FC2" w:rsidRPr="005B7DD4" w:rsidRDefault="001161C5" w:rsidP="005B7DD4">
            <w:pPr>
              <w:rPr>
                <w:rFonts w:ascii="Calibri" w:eastAsia="Calibri" w:hAnsi="Calibri" w:cs="Arial"/>
                <w:sz w:val="22"/>
                <w:szCs w:val="22"/>
              </w:rPr>
            </w:pPr>
            <w:r w:rsidRPr="005B7DD4">
              <w:rPr>
                <w:rFonts w:ascii="Calibri" w:eastAsia="Calibri" w:hAnsi="Calibri" w:cs="Arial"/>
                <w:noProof/>
                <w:sz w:val="22"/>
                <w:szCs w:val="22"/>
              </w:rPr>
              <w:drawing>
                <wp:inline distT="0" distB="0" distL="0" distR="0" wp14:anchorId="7338790E" wp14:editId="663D1CF5">
                  <wp:extent cx="2880360" cy="1729740"/>
                  <wp:effectExtent l="0" t="0" r="0" b="381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360" cy="1729740"/>
                          </a:xfrm>
                          <a:prstGeom prst="rect">
                            <a:avLst/>
                          </a:prstGeom>
                          <a:noFill/>
                          <a:ln>
                            <a:noFill/>
                          </a:ln>
                        </pic:spPr>
                      </pic:pic>
                    </a:graphicData>
                  </a:graphic>
                </wp:inline>
              </w:drawing>
            </w:r>
          </w:p>
        </w:tc>
        <w:tc>
          <w:tcPr>
            <w:tcW w:w="4675" w:type="dxa"/>
            <w:shd w:val="clear" w:color="auto" w:fill="auto"/>
          </w:tcPr>
          <w:p w14:paraId="6885D42A" w14:textId="6309F3C5" w:rsidR="00B43FC2" w:rsidRPr="005B7DD4" w:rsidRDefault="001161C5" w:rsidP="005B7DD4">
            <w:pPr>
              <w:rPr>
                <w:rFonts w:ascii="Calibri" w:eastAsia="Calibri" w:hAnsi="Calibri" w:cs="Arial"/>
                <w:sz w:val="22"/>
                <w:szCs w:val="22"/>
              </w:rPr>
            </w:pPr>
            <w:r w:rsidRPr="005B7DD4">
              <w:rPr>
                <w:rFonts w:ascii="Calibri" w:eastAsia="Calibri" w:hAnsi="Calibri" w:cs="Arial"/>
                <w:noProof/>
                <w:sz w:val="22"/>
                <w:szCs w:val="22"/>
              </w:rPr>
              <w:drawing>
                <wp:inline distT="0" distB="0" distL="0" distR="0" wp14:anchorId="58890F69" wp14:editId="79F5BABE">
                  <wp:extent cx="2880360" cy="1729740"/>
                  <wp:effectExtent l="0" t="0" r="0" b="381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360" cy="1729740"/>
                          </a:xfrm>
                          <a:prstGeom prst="rect">
                            <a:avLst/>
                          </a:prstGeom>
                          <a:noFill/>
                          <a:ln>
                            <a:noFill/>
                          </a:ln>
                        </pic:spPr>
                      </pic:pic>
                    </a:graphicData>
                  </a:graphic>
                </wp:inline>
              </w:drawing>
            </w:r>
          </w:p>
        </w:tc>
      </w:tr>
      <w:tr w:rsidR="005B7DD4" w:rsidRPr="00143D23" w14:paraId="154C3D71" w14:textId="77777777" w:rsidTr="005B7DD4">
        <w:tc>
          <w:tcPr>
            <w:tcW w:w="4675" w:type="dxa"/>
            <w:shd w:val="clear" w:color="auto" w:fill="auto"/>
          </w:tcPr>
          <w:p w14:paraId="5592D94D" w14:textId="77777777" w:rsidR="00B43FC2" w:rsidRPr="005B7DD4" w:rsidRDefault="00B43FC2" w:rsidP="005B7DD4">
            <w:pPr>
              <w:rPr>
                <w:rFonts w:ascii="Calibri" w:eastAsia="Calibri" w:hAnsi="Calibri" w:cs="Arial"/>
                <w:sz w:val="20"/>
                <w:szCs w:val="20"/>
              </w:rPr>
            </w:pPr>
            <w:r w:rsidRPr="005B7DD4">
              <w:rPr>
                <w:rFonts w:ascii="Calibri" w:eastAsia="Calibri" w:hAnsi="Calibri" w:cs="Arial"/>
                <w:b/>
                <w:bCs/>
                <w:sz w:val="20"/>
                <w:szCs w:val="20"/>
              </w:rPr>
              <w:t>CONSERV</w:t>
            </w:r>
          </w:p>
        </w:tc>
        <w:tc>
          <w:tcPr>
            <w:tcW w:w="4675" w:type="dxa"/>
            <w:shd w:val="clear" w:color="auto" w:fill="auto"/>
          </w:tcPr>
          <w:p w14:paraId="7DA74698" w14:textId="77777777" w:rsidR="00B43FC2" w:rsidRPr="005B7DD4" w:rsidRDefault="00B43FC2" w:rsidP="005B7DD4">
            <w:pPr>
              <w:rPr>
                <w:rFonts w:ascii="Calibri" w:eastAsia="Calibri" w:hAnsi="Calibri" w:cs="Arial"/>
                <w:sz w:val="20"/>
                <w:szCs w:val="20"/>
              </w:rPr>
            </w:pPr>
            <w:proofErr w:type="spellStart"/>
            <w:r w:rsidRPr="005B7DD4">
              <w:rPr>
                <w:rFonts w:ascii="Calibri" w:eastAsia="Calibri" w:hAnsi="Calibri" w:cs="Arial"/>
                <w:b/>
                <w:bCs/>
                <w:sz w:val="20"/>
                <w:szCs w:val="20"/>
              </w:rPr>
              <w:t>VRatio</w:t>
            </w:r>
            <w:proofErr w:type="spellEnd"/>
          </w:p>
        </w:tc>
      </w:tr>
      <w:tr w:rsidR="005B7DD4" w14:paraId="1FDD0030" w14:textId="77777777" w:rsidTr="005B7DD4">
        <w:tc>
          <w:tcPr>
            <w:tcW w:w="4675" w:type="dxa"/>
            <w:shd w:val="clear" w:color="auto" w:fill="auto"/>
          </w:tcPr>
          <w:p w14:paraId="28DDD438" w14:textId="4AF8A5FF" w:rsidR="00B43FC2" w:rsidRPr="005B7DD4" w:rsidRDefault="001161C5" w:rsidP="005B7DD4">
            <w:pPr>
              <w:rPr>
                <w:rFonts w:ascii="Calibri" w:eastAsia="Calibri" w:hAnsi="Calibri" w:cs="Arial"/>
                <w:sz w:val="22"/>
                <w:szCs w:val="22"/>
              </w:rPr>
            </w:pPr>
            <w:r w:rsidRPr="005B7DD4">
              <w:rPr>
                <w:rFonts w:ascii="Calibri" w:eastAsia="Calibri" w:hAnsi="Calibri" w:cs="Arial"/>
                <w:noProof/>
                <w:sz w:val="22"/>
                <w:szCs w:val="22"/>
              </w:rPr>
              <w:drawing>
                <wp:inline distT="0" distB="0" distL="0" distR="0" wp14:anchorId="1D211CC4" wp14:editId="66AE6229">
                  <wp:extent cx="2880360" cy="1729740"/>
                  <wp:effectExtent l="0" t="0" r="0" b="381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360" cy="1729740"/>
                          </a:xfrm>
                          <a:prstGeom prst="rect">
                            <a:avLst/>
                          </a:prstGeom>
                          <a:noFill/>
                          <a:ln>
                            <a:noFill/>
                          </a:ln>
                        </pic:spPr>
                      </pic:pic>
                    </a:graphicData>
                  </a:graphic>
                </wp:inline>
              </w:drawing>
            </w:r>
          </w:p>
        </w:tc>
        <w:tc>
          <w:tcPr>
            <w:tcW w:w="4675" w:type="dxa"/>
            <w:shd w:val="clear" w:color="auto" w:fill="auto"/>
          </w:tcPr>
          <w:p w14:paraId="61233CB6" w14:textId="157F67FE" w:rsidR="00B43FC2" w:rsidRPr="005B7DD4" w:rsidRDefault="001161C5" w:rsidP="005B7DD4">
            <w:pPr>
              <w:rPr>
                <w:rFonts w:ascii="Calibri" w:eastAsia="Calibri" w:hAnsi="Calibri" w:cs="Arial"/>
                <w:sz w:val="22"/>
                <w:szCs w:val="22"/>
              </w:rPr>
            </w:pPr>
            <w:r w:rsidRPr="005B7DD4">
              <w:rPr>
                <w:rFonts w:ascii="Calibri" w:eastAsia="Calibri" w:hAnsi="Calibri" w:cs="Arial"/>
                <w:noProof/>
                <w:sz w:val="22"/>
                <w:szCs w:val="22"/>
              </w:rPr>
              <w:drawing>
                <wp:inline distT="0" distB="0" distL="0" distR="0" wp14:anchorId="1A595B14" wp14:editId="29CF6C6D">
                  <wp:extent cx="2880360" cy="1729740"/>
                  <wp:effectExtent l="0" t="0" r="0" b="381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360" cy="1729740"/>
                          </a:xfrm>
                          <a:prstGeom prst="rect">
                            <a:avLst/>
                          </a:prstGeom>
                          <a:noFill/>
                          <a:ln>
                            <a:noFill/>
                          </a:ln>
                        </pic:spPr>
                      </pic:pic>
                    </a:graphicData>
                  </a:graphic>
                </wp:inline>
              </w:drawing>
            </w:r>
          </w:p>
        </w:tc>
      </w:tr>
      <w:tr w:rsidR="005B7DD4" w:rsidRPr="00143D23" w14:paraId="7F40D634" w14:textId="77777777" w:rsidTr="005B7DD4">
        <w:tc>
          <w:tcPr>
            <w:tcW w:w="4675" w:type="dxa"/>
            <w:shd w:val="clear" w:color="auto" w:fill="auto"/>
          </w:tcPr>
          <w:p w14:paraId="7C5D04C1" w14:textId="77777777" w:rsidR="00B43FC2" w:rsidRPr="005B7DD4" w:rsidRDefault="00B43FC2" w:rsidP="005B7DD4">
            <w:pPr>
              <w:rPr>
                <w:rFonts w:ascii="Calibri" w:eastAsia="Calibri" w:hAnsi="Calibri" w:cs="Arial"/>
                <w:sz w:val="20"/>
                <w:szCs w:val="20"/>
              </w:rPr>
            </w:pPr>
            <w:r w:rsidRPr="005B7DD4">
              <w:rPr>
                <w:rFonts w:ascii="Calibri" w:eastAsia="Calibri" w:hAnsi="Calibri" w:cs="Arial"/>
                <w:b/>
                <w:bCs/>
                <w:sz w:val="20"/>
                <w:szCs w:val="20"/>
              </w:rPr>
              <w:t>LOSS</w:t>
            </w:r>
          </w:p>
        </w:tc>
        <w:tc>
          <w:tcPr>
            <w:tcW w:w="4675" w:type="dxa"/>
            <w:shd w:val="clear" w:color="auto" w:fill="auto"/>
          </w:tcPr>
          <w:p w14:paraId="178C5FB8" w14:textId="77777777" w:rsidR="00B43FC2" w:rsidRPr="005B7DD4" w:rsidRDefault="00B43FC2" w:rsidP="005B7DD4">
            <w:pPr>
              <w:rPr>
                <w:rFonts w:ascii="Calibri" w:eastAsia="Calibri" w:hAnsi="Calibri" w:cs="Arial"/>
                <w:sz w:val="20"/>
                <w:szCs w:val="20"/>
              </w:rPr>
            </w:pPr>
            <w:r w:rsidRPr="005B7DD4">
              <w:rPr>
                <w:rFonts w:ascii="Calibri" w:eastAsia="Calibri" w:hAnsi="Calibri" w:cs="Arial"/>
                <w:b/>
                <w:bCs/>
                <w:sz w:val="20"/>
                <w:szCs w:val="20"/>
              </w:rPr>
              <w:t>Intangibles</w:t>
            </w:r>
            <w:r w:rsidRPr="005B7DD4">
              <w:rPr>
                <w:rFonts w:ascii="Calibri" w:eastAsia="Calibri" w:hAnsi="Calibri" w:cs="Arial"/>
                <w:sz w:val="20"/>
                <w:szCs w:val="20"/>
              </w:rPr>
              <w:t xml:space="preserve"> </w:t>
            </w:r>
          </w:p>
        </w:tc>
      </w:tr>
      <w:tr w:rsidR="005B7DD4" w14:paraId="6D9ADCE4" w14:textId="77777777" w:rsidTr="005B7DD4">
        <w:tc>
          <w:tcPr>
            <w:tcW w:w="4675" w:type="dxa"/>
            <w:shd w:val="clear" w:color="auto" w:fill="auto"/>
          </w:tcPr>
          <w:p w14:paraId="75668A37" w14:textId="41ECF125" w:rsidR="00B43FC2" w:rsidRPr="005B7DD4" w:rsidRDefault="001161C5" w:rsidP="005B7DD4">
            <w:pPr>
              <w:rPr>
                <w:rFonts w:ascii="Calibri" w:eastAsia="Calibri" w:hAnsi="Calibri" w:cs="Arial"/>
                <w:sz w:val="22"/>
                <w:szCs w:val="22"/>
              </w:rPr>
            </w:pPr>
            <w:r w:rsidRPr="005B7DD4">
              <w:rPr>
                <w:rFonts w:ascii="Calibri" w:eastAsia="Calibri" w:hAnsi="Calibri" w:cs="Arial"/>
                <w:noProof/>
                <w:sz w:val="22"/>
                <w:szCs w:val="22"/>
              </w:rPr>
              <w:drawing>
                <wp:inline distT="0" distB="0" distL="0" distR="0" wp14:anchorId="7107D9DE" wp14:editId="6B6CA46E">
                  <wp:extent cx="2880360" cy="1729740"/>
                  <wp:effectExtent l="0" t="0" r="0" b="381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360" cy="1729740"/>
                          </a:xfrm>
                          <a:prstGeom prst="rect">
                            <a:avLst/>
                          </a:prstGeom>
                          <a:noFill/>
                          <a:ln>
                            <a:noFill/>
                          </a:ln>
                        </pic:spPr>
                      </pic:pic>
                    </a:graphicData>
                  </a:graphic>
                </wp:inline>
              </w:drawing>
            </w:r>
          </w:p>
        </w:tc>
        <w:tc>
          <w:tcPr>
            <w:tcW w:w="4675" w:type="dxa"/>
            <w:shd w:val="clear" w:color="auto" w:fill="auto"/>
          </w:tcPr>
          <w:p w14:paraId="79D14D99" w14:textId="54886783" w:rsidR="00B43FC2" w:rsidRPr="005B7DD4" w:rsidRDefault="001161C5" w:rsidP="005B7DD4">
            <w:pPr>
              <w:rPr>
                <w:rFonts w:ascii="Calibri" w:eastAsia="Calibri" w:hAnsi="Calibri" w:cs="Arial"/>
                <w:sz w:val="22"/>
                <w:szCs w:val="22"/>
              </w:rPr>
            </w:pPr>
            <w:r w:rsidRPr="005B7DD4">
              <w:rPr>
                <w:rFonts w:ascii="Calibri" w:eastAsia="Calibri" w:hAnsi="Calibri" w:cs="Arial"/>
                <w:noProof/>
                <w:sz w:val="22"/>
                <w:szCs w:val="22"/>
              </w:rPr>
              <w:drawing>
                <wp:inline distT="0" distB="0" distL="0" distR="0" wp14:anchorId="553DFE0D" wp14:editId="21BC6C03">
                  <wp:extent cx="2880360" cy="1729740"/>
                  <wp:effectExtent l="0" t="0" r="0" b="381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360" cy="1729740"/>
                          </a:xfrm>
                          <a:prstGeom prst="rect">
                            <a:avLst/>
                          </a:prstGeom>
                          <a:noFill/>
                          <a:ln>
                            <a:noFill/>
                          </a:ln>
                        </pic:spPr>
                      </pic:pic>
                    </a:graphicData>
                  </a:graphic>
                </wp:inline>
              </w:drawing>
            </w:r>
          </w:p>
        </w:tc>
      </w:tr>
    </w:tbl>
    <w:p w14:paraId="69190FD6" w14:textId="77777777" w:rsidR="00B43FC2" w:rsidRPr="0013413D" w:rsidRDefault="00B43FC2" w:rsidP="007E293C">
      <w:pPr>
        <w:spacing w:before="120"/>
        <w:rPr>
          <w:sz w:val="18"/>
          <w:szCs w:val="18"/>
        </w:rPr>
      </w:pPr>
      <w:r w:rsidRPr="0023367D">
        <w:rPr>
          <w:color w:val="000000"/>
          <w:sz w:val="18"/>
          <w:szCs w:val="16"/>
          <w:vertAlign w:val="superscript"/>
        </w:rPr>
        <w:t>(</w:t>
      </w:r>
      <w:r w:rsidRPr="0013413D">
        <w:rPr>
          <w:color w:val="000000"/>
          <w:sz w:val="18"/>
          <w:szCs w:val="18"/>
          <w:vertAlign w:val="superscript"/>
        </w:rPr>
        <w:t>a)</w:t>
      </w:r>
      <w:r w:rsidRPr="0013413D">
        <w:rPr>
          <w:color w:val="000000"/>
          <w:sz w:val="18"/>
          <w:szCs w:val="18"/>
        </w:rPr>
        <w:t xml:space="preserve"> </w:t>
      </w:r>
      <w:r>
        <w:rPr>
          <w:color w:val="000000"/>
          <w:sz w:val="18"/>
          <w:szCs w:val="18"/>
        </w:rPr>
        <w:t xml:space="preserve">The 5-year moving average for </w:t>
      </w:r>
      <w:r w:rsidRPr="0013413D">
        <w:rPr>
          <w:sz w:val="18"/>
          <w:szCs w:val="18"/>
        </w:rPr>
        <w:t>variable</w:t>
      </w:r>
      <w:r>
        <w:rPr>
          <w:sz w:val="18"/>
          <w:szCs w:val="18"/>
        </w:rPr>
        <w:t xml:space="preserve">s PROB, CONSERV, </w:t>
      </w:r>
      <w:proofErr w:type="spellStart"/>
      <w:r>
        <w:rPr>
          <w:sz w:val="18"/>
          <w:szCs w:val="18"/>
        </w:rPr>
        <w:t>VRatio</w:t>
      </w:r>
      <w:proofErr w:type="spellEnd"/>
      <w:r>
        <w:rPr>
          <w:sz w:val="18"/>
          <w:szCs w:val="18"/>
        </w:rPr>
        <w:t xml:space="preserve"> and Intangibles </w:t>
      </w:r>
      <w:r w:rsidRPr="0013413D">
        <w:rPr>
          <w:sz w:val="18"/>
          <w:szCs w:val="18"/>
        </w:rPr>
        <w:t xml:space="preserve">is </w:t>
      </w:r>
      <w:r>
        <w:rPr>
          <w:sz w:val="18"/>
          <w:szCs w:val="18"/>
        </w:rPr>
        <w:t xml:space="preserve">computed over the annual cross-sectional means of these variables. </w:t>
      </w:r>
    </w:p>
    <w:p w14:paraId="01816C13" w14:textId="77777777" w:rsidR="00D240E6" w:rsidRDefault="00D240E6" w:rsidP="00335619">
      <w:pPr>
        <w:outlineLvl w:val="0"/>
        <w:rPr>
          <w:b/>
          <w:i/>
          <w:iCs/>
          <w:sz w:val="18"/>
          <w:szCs w:val="18"/>
        </w:rPr>
      </w:pPr>
    </w:p>
    <w:p w14:paraId="5D1BB485" w14:textId="77777777" w:rsidR="00335619" w:rsidRPr="0023367D" w:rsidRDefault="00D240E6" w:rsidP="00335619">
      <w:pPr>
        <w:outlineLvl w:val="0"/>
        <w:rPr>
          <w:b/>
          <w:bCs/>
          <w:color w:val="FF0000"/>
        </w:rPr>
      </w:pPr>
      <w:r w:rsidRPr="004A5C13">
        <w:rPr>
          <w:b/>
          <w:i/>
          <w:iCs/>
          <w:sz w:val="18"/>
          <w:szCs w:val="18"/>
        </w:rPr>
        <w:t>PROB</w:t>
      </w:r>
      <w:r w:rsidRPr="004A5C13">
        <w:rPr>
          <w:b/>
          <w:sz w:val="18"/>
          <w:szCs w:val="18"/>
        </w:rPr>
        <w:t xml:space="preserve"> </w:t>
      </w:r>
      <w:r w:rsidRPr="004A5C13">
        <w:rPr>
          <w:sz w:val="18"/>
          <w:szCs w:val="18"/>
        </w:rPr>
        <w:t xml:space="preserve">is an estimate of the probability of default based on the Black–Scholes–Merton option-pricing model. </w:t>
      </w:r>
      <w:proofErr w:type="spellStart"/>
      <w:r w:rsidRPr="004A5C13">
        <w:rPr>
          <w:b/>
          <w:i/>
          <w:iCs/>
          <w:sz w:val="18"/>
          <w:szCs w:val="18"/>
        </w:rPr>
        <w:t>NegCFO</w:t>
      </w:r>
      <w:proofErr w:type="spellEnd"/>
      <w:r w:rsidRPr="004A5C13">
        <w:rPr>
          <w:i/>
          <w:iCs/>
          <w:sz w:val="18"/>
          <w:szCs w:val="18"/>
        </w:rPr>
        <w:t xml:space="preserve"> </w:t>
      </w:r>
      <w:r w:rsidRPr="004A5C13">
        <w:rPr>
          <w:sz w:val="18"/>
          <w:szCs w:val="18"/>
        </w:rPr>
        <w:t xml:space="preserve">is the </w:t>
      </w:r>
      <w:r>
        <w:rPr>
          <w:sz w:val="18"/>
          <w:szCs w:val="18"/>
        </w:rPr>
        <w:t xml:space="preserve">frequency </w:t>
      </w:r>
      <w:r w:rsidRPr="004A5C13">
        <w:rPr>
          <w:sz w:val="18"/>
          <w:szCs w:val="18"/>
        </w:rPr>
        <w:t>of negative cash flows from operat</w:t>
      </w:r>
      <w:r>
        <w:rPr>
          <w:sz w:val="18"/>
          <w:szCs w:val="18"/>
        </w:rPr>
        <w:t>ions</w:t>
      </w:r>
      <w:r w:rsidRPr="004A5C13">
        <w:rPr>
          <w:sz w:val="18"/>
          <w:szCs w:val="18"/>
        </w:rPr>
        <w:t xml:space="preserve">. </w:t>
      </w:r>
      <w:r w:rsidRPr="004A5C13">
        <w:rPr>
          <w:b/>
          <w:i/>
          <w:iCs/>
          <w:sz w:val="18"/>
          <w:szCs w:val="18"/>
        </w:rPr>
        <w:t>CONSERV</w:t>
      </w:r>
      <w:r w:rsidRPr="004A5C13">
        <w:rPr>
          <w:i/>
          <w:iCs/>
          <w:sz w:val="18"/>
          <w:szCs w:val="18"/>
        </w:rPr>
        <w:t xml:space="preserve"> </w:t>
      </w:r>
      <w:r w:rsidRPr="004A5C13">
        <w:rPr>
          <w:sz w:val="18"/>
          <w:szCs w:val="18"/>
        </w:rPr>
        <w:t xml:space="preserve">is a measure of conservatism defined as the coefficient </w:t>
      </w:r>
      <w:r w:rsidRPr="004A5C13">
        <w:rPr>
          <w:rFonts w:ascii="Symbol" w:hAnsi="Symbol" w:cs="Symbol"/>
          <w:sz w:val="18"/>
          <w:szCs w:val="18"/>
          <w:lang w:bidi="he-IL"/>
        </w:rPr>
        <w:t></w:t>
      </w:r>
      <w:r w:rsidRPr="004A5C13">
        <w:rPr>
          <w:sz w:val="18"/>
          <w:szCs w:val="18"/>
          <w:vertAlign w:val="subscript"/>
          <w:lang w:val="fr-FR" w:bidi="he-IL"/>
        </w:rPr>
        <w:t>3</w:t>
      </w:r>
      <w:r w:rsidRPr="004A5C13">
        <w:rPr>
          <w:sz w:val="18"/>
          <w:szCs w:val="18"/>
        </w:rPr>
        <w:t xml:space="preserve"> in regression (6) estimated from the time-series of each firm-year t, from the 12-year period ending with year t. </w:t>
      </w:r>
      <w:r w:rsidRPr="004A5C13">
        <w:rPr>
          <w:sz w:val="18"/>
          <w:szCs w:val="18"/>
          <w:lang w:val="fr-FR" w:bidi="he-IL"/>
        </w:rPr>
        <w:t>T</w:t>
      </w:r>
      <w:r w:rsidRPr="004A5C13">
        <w:rPr>
          <w:sz w:val="18"/>
          <w:szCs w:val="18"/>
          <w:lang w:bidi="he-IL"/>
        </w:rPr>
        <w:t xml:space="preserve">he sign of the resulting coefficient is multiplied by negative one. </w:t>
      </w:r>
      <w:proofErr w:type="spellStart"/>
      <w:r w:rsidRPr="004A5C13">
        <w:rPr>
          <w:b/>
          <w:i/>
          <w:iCs/>
          <w:sz w:val="18"/>
          <w:szCs w:val="18"/>
        </w:rPr>
        <w:t>VRatio</w:t>
      </w:r>
      <w:proofErr w:type="spellEnd"/>
      <w:r w:rsidRPr="004A5C13">
        <w:rPr>
          <w:sz w:val="18"/>
          <w:szCs w:val="18"/>
        </w:rPr>
        <w:t xml:space="preserve"> is the volatility ratio from </w:t>
      </w:r>
      <w:proofErr w:type="spellStart"/>
      <w:r w:rsidRPr="0023367D">
        <w:rPr>
          <w:sz w:val="18"/>
          <w:szCs w:val="20"/>
        </w:rPr>
        <w:t>Demerjian</w:t>
      </w:r>
      <w:proofErr w:type="spellEnd"/>
      <w:r w:rsidRPr="0023367D">
        <w:rPr>
          <w:sz w:val="18"/>
          <w:szCs w:val="20"/>
        </w:rPr>
        <w:t xml:space="preserve"> (2011), computed for year t. </w:t>
      </w:r>
      <w:proofErr w:type="spellStart"/>
      <w:r w:rsidRPr="0023367D">
        <w:rPr>
          <w:sz w:val="18"/>
          <w:szCs w:val="20"/>
        </w:rPr>
        <w:t>VR</w:t>
      </w:r>
      <w:r>
        <w:rPr>
          <w:sz w:val="18"/>
          <w:szCs w:val="20"/>
        </w:rPr>
        <w:t>atio</w:t>
      </w:r>
      <w:proofErr w:type="spellEnd"/>
      <w:r w:rsidRPr="0023367D">
        <w:rPr>
          <w:sz w:val="18"/>
          <w:szCs w:val="20"/>
        </w:rPr>
        <w:t xml:space="preserve"> is </w:t>
      </w:r>
      <w:r w:rsidRPr="004A5C13">
        <w:rPr>
          <w:sz w:val="18"/>
          <w:szCs w:val="18"/>
        </w:rPr>
        <w:t>defined as the ratio of Book Value Volatility to Adjusted Net Income Volatility, where volatility is measured as the variance over a window of 60 quarters (5-years</w:t>
      </w:r>
      <w:r w:rsidRPr="001044CE">
        <w:rPr>
          <w:sz w:val="18"/>
          <w:szCs w:val="18"/>
        </w:rPr>
        <w:t>). Quarterly variables are annualized by summing the current and three prior q</w:t>
      </w:r>
      <w:r w:rsidRPr="00896837">
        <w:rPr>
          <w:sz w:val="18"/>
          <w:szCs w:val="18"/>
        </w:rPr>
        <w:t>uarterly observations. Book Value Volatility is</w:t>
      </w:r>
      <w:r w:rsidRPr="004A5C13">
        <w:rPr>
          <w:sz w:val="18"/>
          <w:szCs w:val="18"/>
        </w:rPr>
        <w:t xml:space="preserve"> the five-year standard deviation of changes in retained earnings plus dividends. Adjusted Net Income Volatility is the five-year standard deviation of Net Income minus Special Items and Non-Operating Income and Expense. </w:t>
      </w:r>
      <w:r w:rsidRPr="004A5C13">
        <w:rPr>
          <w:b/>
          <w:i/>
          <w:iCs/>
          <w:sz w:val="18"/>
          <w:szCs w:val="18"/>
        </w:rPr>
        <w:t xml:space="preserve">LOSS </w:t>
      </w:r>
      <w:r w:rsidRPr="004A5C13">
        <w:rPr>
          <w:iCs/>
          <w:sz w:val="18"/>
          <w:szCs w:val="18"/>
        </w:rPr>
        <w:t xml:space="preserve">is </w:t>
      </w:r>
      <w:r w:rsidRPr="004A5C13">
        <w:rPr>
          <w:sz w:val="18"/>
          <w:szCs w:val="18"/>
        </w:rPr>
        <w:t xml:space="preserve">the </w:t>
      </w:r>
      <w:r>
        <w:rPr>
          <w:sz w:val="18"/>
          <w:szCs w:val="18"/>
        </w:rPr>
        <w:t>frequency of loses (</w:t>
      </w:r>
      <w:r w:rsidRPr="004A5C13">
        <w:rPr>
          <w:sz w:val="18"/>
          <w:szCs w:val="18"/>
        </w:rPr>
        <w:t xml:space="preserve">negative </w:t>
      </w:r>
      <w:r w:rsidRPr="004A5C13">
        <w:rPr>
          <w:iCs/>
          <w:sz w:val="18"/>
          <w:szCs w:val="18"/>
        </w:rPr>
        <w:t>income from continuing operations</w:t>
      </w:r>
      <w:r>
        <w:rPr>
          <w:iCs/>
          <w:sz w:val="18"/>
          <w:szCs w:val="18"/>
        </w:rPr>
        <w:t>)</w:t>
      </w:r>
      <w:r w:rsidRPr="004A5C13">
        <w:rPr>
          <w:iCs/>
          <w:sz w:val="18"/>
          <w:szCs w:val="18"/>
        </w:rPr>
        <w:t xml:space="preserve">. </w:t>
      </w:r>
      <w:r w:rsidRPr="004A5C13">
        <w:rPr>
          <w:b/>
          <w:i/>
          <w:iCs/>
          <w:sz w:val="18"/>
          <w:szCs w:val="18"/>
        </w:rPr>
        <w:t>Intangibles</w:t>
      </w:r>
      <w:r w:rsidRPr="004A5C13">
        <w:rPr>
          <w:sz w:val="18"/>
          <w:szCs w:val="18"/>
        </w:rPr>
        <w:t xml:space="preserve"> is the ratio of intangible assets on the balance sheet plus an estimate of the unrecognized R&amp;D asset, deflated by total assets</w:t>
      </w:r>
      <w:r>
        <w:rPr>
          <w:sz w:val="18"/>
          <w:szCs w:val="18"/>
        </w:rPr>
        <w:t>.</w:t>
      </w:r>
    </w:p>
    <w:p w14:paraId="0AE94530" w14:textId="77777777" w:rsidR="00335619" w:rsidRPr="0023367D" w:rsidRDefault="00335619" w:rsidP="00335619">
      <w:pPr>
        <w:jc w:val="center"/>
        <w:outlineLvl w:val="0"/>
        <w:rPr>
          <w:b/>
          <w:bCs/>
        </w:rPr>
      </w:pPr>
      <w:r w:rsidRPr="0023367D" w:rsidDel="00426998">
        <w:rPr>
          <w:b/>
          <w:bCs/>
        </w:rPr>
        <w:t xml:space="preserve"> </w:t>
      </w:r>
    </w:p>
    <w:p w14:paraId="320FEC79" w14:textId="77777777" w:rsidR="00D240E6" w:rsidRDefault="00D240E6" w:rsidP="00335619">
      <w:pPr>
        <w:ind w:firstLine="720"/>
        <w:jc w:val="center"/>
        <w:rPr>
          <w:b/>
          <w:bCs/>
        </w:rPr>
      </w:pPr>
      <w:r>
        <w:rPr>
          <w:b/>
          <w:bCs/>
        </w:rPr>
        <w:t>Table 1</w:t>
      </w:r>
    </w:p>
    <w:p w14:paraId="27EFB3FA" w14:textId="77777777" w:rsidR="00335619" w:rsidRPr="0023367D" w:rsidRDefault="00335619" w:rsidP="00335619">
      <w:pPr>
        <w:ind w:firstLine="720"/>
        <w:jc w:val="center"/>
        <w:rPr>
          <w:b/>
          <w:bCs/>
        </w:rPr>
      </w:pPr>
      <w:r w:rsidRPr="0023367D">
        <w:rPr>
          <w:b/>
          <w:bCs/>
        </w:rPr>
        <w:t>Sample Selection Procedure</w:t>
      </w:r>
    </w:p>
    <w:p w14:paraId="31D84561" w14:textId="77777777" w:rsidR="00335619" w:rsidRPr="0023367D" w:rsidRDefault="00335619" w:rsidP="00335619">
      <w:pPr>
        <w:ind w:firstLine="720"/>
        <w:jc w:val="cente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3"/>
        <w:gridCol w:w="938"/>
        <w:gridCol w:w="1062"/>
        <w:gridCol w:w="1128"/>
        <w:gridCol w:w="1217"/>
      </w:tblGrid>
      <w:tr w:rsidR="00335619" w:rsidRPr="0023367D" w14:paraId="0E4BB409" w14:textId="77777777">
        <w:tc>
          <w:tcPr>
            <w:tcW w:w="4403" w:type="dxa"/>
            <w:tcBorders>
              <w:bottom w:val="single" w:sz="4" w:space="0" w:color="auto"/>
            </w:tcBorders>
            <w:shd w:val="clear" w:color="auto" w:fill="auto"/>
            <w:vAlign w:val="center"/>
          </w:tcPr>
          <w:p w14:paraId="50EA5F9F" w14:textId="77777777" w:rsidR="00335619" w:rsidRPr="0023367D" w:rsidRDefault="00335619" w:rsidP="00D958BD">
            <w:pPr>
              <w:spacing w:line="360" w:lineRule="auto"/>
              <w:jc w:val="center"/>
            </w:pPr>
            <w:r w:rsidRPr="0023367D">
              <w:t xml:space="preserve">Sample Composition, 1975 – </w:t>
            </w:r>
            <w:r w:rsidR="00D958BD" w:rsidRPr="0023367D">
              <w:t>20</w:t>
            </w:r>
            <w:r w:rsidR="00D958BD">
              <w:t>13</w:t>
            </w:r>
          </w:p>
        </w:tc>
        <w:tc>
          <w:tcPr>
            <w:tcW w:w="938" w:type="dxa"/>
            <w:tcBorders>
              <w:bottom w:val="single" w:sz="4" w:space="0" w:color="auto"/>
            </w:tcBorders>
            <w:vAlign w:val="center"/>
          </w:tcPr>
          <w:p w14:paraId="4A63383E" w14:textId="77777777" w:rsidR="00335619" w:rsidRPr="0023367D" w:rsidRDefault="00335619" w:rsidP="00335619">
            <w:pPr>
              <w:jc w:val="center"/>
            </w:pPr>
            <w:r w:rsidRPr="0023367D">
              <w:t>No. of Firms</w:t>
            </w:r>
          </w:p>
        </w:tc>
        <w:tc>
          <w:tcPr>
            <w:tcW w:w="1062" w:type="dxa"/>
            <w:tcBorders>
              <w:bottom w:val="single" w:sz="4" w:space="0" w:color="auto"/>
            </w:tcBorders>
            <w:vAlign w:val="center"/>
          </w:tcPr>
          <w:p w14:paraId="5B71886D" w14:textId="77777777" w:rsidR="00335619" w:rsidRPr="0023367D" w:rsidRDefault="00335619" w:rsidP="00335619">
            <w:pPr>
              <w:jc w:val="center"/>
            </w:pPr>
            <w:r w:rsidRPr="0023367D">
              <w:t>No. of Bonds</w:t>
            </w:r>
          </w:p>
        </w:tc>
        <w:tc>
          <w:tcPr>
            <w:tcW w:w="1128" w:type="dxa"/>
            <w:tcBorders>
              <w:bottom w:val="single" w:sz="4" w:space="0" w:color="auto"/>
            </w:tcBorders>
            <w:vAlign w:val="center"/>
          </w:tcPr>
          <w:p w14:paraId="2D8B98A3" w14:textId="77777777" w:rsidR="00335619" w:rsidRPr="0023367D" w:rsidRDefault="00335619" w:rsidP="00335619">
            <w:pPr>
              <w:jc w:val="center"/>
            </w:pPr>
            <w:r w:rsidRPr="0023367D">
              <w:t>No. of Firm-years</w:t>
            </w:r>
          </w:p>
        </w:tc>
        <w:tc>
          <w:tcPr>
            <w:tcW w:w="1217" w:type="dxa"/>
            <w:tcBorders>
              <w:bottom w:val="single" w:sz="4" w:space="0" w:color="auto"/>
            </w:tcBorders>
            <w:shd w:val="clear" w:color="auto" w:fill="auto"/>
            <w:vAlign w:val="center"/>
          </w:tcPr>
          <w:p w14:paraId="5F6B734A" w14:textId="77777777" w:rsidR="00335619" w:rsidRPr="0023367D" w:rsidRDefault="00335619" w:rsidP="00335619">
            <w:pPr>
              <w:jc w:val="center"/>
            </w:pPr>
            <w:r w:rsidRPr="0023367D">
              <w:t>No. of</w:t>
            </w:r>
          </w:p>
          <w:p w14:paraId="3832C210" w14:textId="77777777" w:rsidR="00335619" w:rsidRPr="0023367D" w:rsidRDefault="00335619" w:rsidP="00335619">
            <w:pPr>
              <w:jc w:val="center"/>
            </w:pPr>
            <w:r w:rsidRPr="0023367D">
              <w:t>Bond-years</w:t>
            </w:r>
          </w:p>
        </w:tc>
      </w:tr>
      <w:tr w:rsidR="00335619" w:rsidRPr="0023367D" w14:paraId="7F04F7DC" w14:textId="77777777" w:rsidTr="00327EED">
        <w:trPr>
          <w:trHeight w:val="494"/>
        </w:trPr>
        <w:tc>
          <w:tcPr>
            <w:tcW w:w="4403" w:type="dxa"/>
            <w:tcBorders>
              <w:bottom w:val="single" w:sz="4" w:space="0" w:color="auto"/>
            </w:tcBorders>
            <w:shd w:val="clear" w:color="auto" w:fill="auto"/>
            <w:vAlign w:val="center"/>
          </w:tcPr>
          <w:p w14:paraId="0946770B" w14:textId="77777777" w:rsidR="00335619" w:rsidRPr="0023367D" w:rsidRDefault="00335619" w:rsidP="00335619">
            <w:pPr>
              <w:spacing w:line="360" w:lineRule="auto"/>
            </w:pPr>
            <w:r w:rsidRPr="0023367D">
              <w:t>Initial Sample</w:t>
            </w:r>
          </w:p>
        </w:tc>
        <w:tc>
          <w:tcPr>
            <w:tcW w:w="938" w:type="dxa"/>
            <w:tcBorders>
              <w:bottom w:val="single" w:sz="4" w:space="0" w:color="auto"/>
            </w:tcBorders>
            <w:vAlign w:val="center"/>
          </w:tcPr>
          <w:p w14:paraId="6F519631" w14:textId="77777777" w:rsidR="00335619" w:rsidRPr="0023367D" w:rsidRDefault="00335619" w:rsidP="00335619">
            <w:pPr>
              <w:rPr>
                <w:color w:val="000000"/>
                <w:lang w:bidi="he-IL"/>
              </w:rPr>
            </w:pPr>
            <w:r w:rsidRPr="0023367D">
              <w:rPr>
                <w:color w:val="000000"/>
                <w:lang w:bidi="he-IL"/>
              </w:rPr>
              <w:t>4,313</w:t>
            </w:r>
          </w:p>
        </w:tc>
        <w:tc>
          <w:tcPr>
            <w:tcW w:w="1062" w:type="dxa"/>
            <w:tcBorders>
              <w:bottom w:val="single" w:sz="4" w:space="0" w:color="auto"/>
            </w:tcBorders>
            <w:vAlign w:val="center"/>
          </w:tcPr>
          <w:p w14:paraId="27FBD4A8" w14:textId="77777777" w:rsidR="00335619" w:rsidRPr="0023367D" w:rsidRDefault="00335619" w:rsidP="00335619">
            <w:pPr>
              <w:jc w:val="center"/>
              <w:rPr>
                <w:color w:val="000000"/>
              </w:rPr>
            </w:pPr>
            <w:r w:rsidRPr="0023367D">
              <w:rPr>
                <w:color w:val="000000"/>
              </w:rPr>
              <w:t>29,751</w:t>
            </w:r>
          </w:p>
        </w:tc>
        <w:tc>
          <w:tcPr>
            <w:tcW w:w="1128" w:type="dxa"/>
            <w:tcBorders>
              <w:bottom w:val="single" w:sz="4" w:space="0" w:color="auto"/>
            </w:tcBorders>
            <w:shd w:val="clear" w:color="auto" w:fill="auto"/>
            <w:vAlign w:val="center"/>
          </w:tcPr>
          <w:p w14:paraId="0319F871" w14:textId="77777777" w:rsidR="00335619" w:rsidRPr="0023367D" w:rsidRDefault="00335619" w:rsidP="00335619">
            <w:pPr>
              <w:jc w:val="center"/>
              <w:rPr>
                <w:color w:val="000000"/>
              </w:rPr>
            </w:pPr>
            <w:r w:rsidRPr="0023367D">
              <w:rPr>
                <w:color w:val="000000"/>
              </w:rPr>
              <w:t>41,317</w:t>
            </w:r>
          </w:p>
        </w:tc>
        <w:tc>
          <w:tcPr>
            <w:tcW w:w="1217" w:type="dxa"/>
            <w:tcBorders>
              <w:bottom w:val="single" w:sz="4" w:space="0" w:color="auto"/>
            </w:tcBorders>
            <w:shd w:val="clear" w:color="auto" w:fill="auto"/>
            <w:vAlign w:val="center"/>
          </w:tcPr>
          <w:p w14:paraId="165CBE80" w14:textId="77777777" w:rsidR="00335619" w:rsidRPr="0023367D" w:rsidRDefault="00335619" w:rsidP="00335619">
            <w:pPr>
              <w:jc w:val="center"/>
              <w:rPr>
                <w:color w:val="000000"/>
              </w:rPr>
            </w:pPr>
            <w:r w:rsidRPr="0023367D">
              <w:rPr>
                <w:color w:val="000000"/>
              </w:rPr>
              <w:t>190,750</w:t>
            </w:r>
          </w:p>
        </w:tc>
      </w:tr>
      <w:tr w:rsidR="00335619" w:rsidRPr="0023367D" w14:paraId="04AFBE26" w14:textId="77777777">
        <w:tc>
          <w:tcPr>
            <w:tcW w:w="4403" w:type="dxa"/>
            <w:tcBorders>
              <w:top w:val="single" w:sz="4" w:space="0" w:color="auto"/>
              <w:left w:val="single" w:sz="4" w:space="0" w:color="auto"/>
              <w:bottom w:val="nil"/>
              <w:right w:val="single" w:sz="4" w:space="0" w:color="auto"/>
            </w:tcBorders>
            <w:shd w:val="clear" w:color="auto" w:fill="auto"/>
            <w:vAlign w:val="center"/>
          </w:tcPr>
          <w:p w14:paraId="7CA5AF13" w14:textId="77777777" w:rsidR="00335619" w:rsidRPr="0023367D" w:rsidRDefault="00335619" w:rsidP="00335619">
            <w:pPr>
              <w:spacing w:line="360" w:lineRule="auto"/>
            </w:pPr>
            <w:r w:rsidRPr="0023367D">
              <w:t xml:space="preserve">    Minus observations that are missing:</w:t>
            </w:r>
          </w:p>
        </w:tc>
        <w:tc>
          <w:tcPr>
            <w:tcW w:w="938" w:type="dxa"/>
            <w:tcBorders>
              <w:top w:val="single" w:sz="4" w:space="0" w:color="auto"/>
              <w:left w:val="single" w:sz="4" w:space="0" w:color="auto"/>
              <w:bottom w:val="nil"/>
              <w:right w:val="single" w:sz="4" w:space="0" w:color="auto"/>
            </w:tcBorders>
            <w:vAlign w:val="center"/>
          </w:tcPr>
          <w:p w14:paraId="7B3A6B5A" w14:textId="77777777" w:rsidR="00335619" w:rsidRPr="0023367D" w:rsidRDefault="00335619" w:rsidP="00335619">
            <w:pPr>
              <w:spacing w:line="360" w:lineRule="auto"/>
              <w:jc w:val="center"/>
            </w:pPr>
          </w:p>
        </w:tc>
        <w:tc>
          <w:tcPr>
            <w:tcW w:w="1062" w:type="dxa"/>
            <w:tcBorders>
              <w:top w:val="single" w:sz="4" w:space="0" w:color="auto"/>
              <w:left w:val="single" w:sz="4" w:space="0" w:color="auto"/>
              <w:bottom w:val="nil"/>
              <w:right w:val="single" w:sz="4" w:space="0" w:color="auto"/>
            </w:tcBorders>
            <w:vAlign w:val="center"/>
          </w:tcPr>
          <w:p w14:paraId="0B355ADA" w14:textId="77777777" w:rsidR="00335619" w:rsidRPr="0023367D" w:rsidRDefault="00335619" w:rsidP="00335619">
            <w:pPr>
              <w:spacing w:line="360" w:lineRule="auto"/>
              <w:jc w:val="center"/>
            </w:pPr>
          </w:p>
        </w:tc>
        <w:tc>
          <w:tcPr>
            <w:tcW w:w="1128" w:type="dxa"/>
            <w:tcBorders>
              <w:top w:val="single" w:sz="4" w:space="0" w:color="auto"/>
              <w:left w:val="single" w:sz="4" w:space="0" w:color="auto"/>
              <w:bottom w:val="nil"/>
              <w:right w:val="single" w:sz="4" w:space="0" w:color="auto"/>
            </w:tcBorders>
            <w:vAlign w:val="center"/>
          </w:tcPr>
          <w:p w14:paraId="18EB1A1D" w14:textId="77777777" w:rsidR="00335619" w:rsidRPr="0023367D" w:rsidRDefault="00335619" w:rsidP="00335619">
            <w:pPr>
              <w:spacing w:line="360" w:lineRule="auto"/>
              <w:jc w:val="center"/>
            </w:pPr>
          </w:p>
        </w:tc>
        <w:tc>
          <w:tcPr>
            <w:tcW w:w="1217" w:type="dxa"/>
            <w:tcBorders>
              <w:top w:val="single" w:sz="4" w:space="0" w:color="auto"/>
              <w:left w:val="single" w:sz="4" w:space="0" w:color="auto"/>
              <w:bottom w:val="nil"/>
              <w:right w:val="single" w:sz="4" w:space="0" w:color="auto"/>
            </w:tcBorders>
            <w:shd w:val="clear" w:color="auto" w:fill="auto"/>
            <w:vAlign w:val="center"/>
          </w:tcPr>
          <w:p w14:paraId="0E5597DD" w14:textId="77777777" w:rsidR="00335619" w:rsidRPr="0023367D" w:rsidRDefault="00335619" w:rsidP="00335619">
            <w:pPr>
              <w:spacing w:line="360" w:lineRule="auto"/>
              <w:jc w:val="center"/>
            </w:pPr>
          </w:p>
        </w:tc>
      </w:tr>
      <w:tr w:rsidR="00335619" w:rsidRPr="0023367D" w14:paraId="0D767B20" w14:textId="77777777">
        <w:tc>
          <w:tcPr>
            <w:tcW w:w="4403" w:type="dxa"/>
            <w:tcBorders>
              <w:top w:val="nil"/>
              <w:left w:val="single" w:sz="4" w:space="0" w:color="auto"/>
              <w:bottom w:val="nil"/>
              <w:right w:val="single" w:sz="4" w:space="0" w:color="auto"/>
            </w:tcBorders>
            <w:shd w:val="clear" w:color="auto" w:fill="auto"/>
            <w:vAlign w:val="center"/>
          </w:tcPr>
          <w:p w14:paraId="651E6882" w14:textId="77777777" w:rsidR="00335619" w:rsidRPr="0023367D" w:rsidRDefault="00335619" w:rsidP="00335619">
            <w:pPr>
              <w:numPr>
                <w:ilvl w:val="0"/>
                <w:numId w:val="2"/>
              </w:numPr>
              <w:spacing w:line="360" w:lineRule="auto"/>
            </w:pPr>
            <w:r w:rsidRPr="0023367D">
              <w:t>annual raw returns</w:t>
            </w:r>
          </w:p>
        </w:tc>
        <w:tc>
          <w:tcPr>
            <w:tcW w:w="938" w:type="dxa"/>
            <w:tcBorders>
              <w:top w:val="nil"/>
              <w:left w:val="single" w:sz="4" w:space="0" w:color="auto"/>
              <w:bottom w:val="nil"/>
              <w:right w:val="single" w:sz="4" w:space="0" w:color="auto"/>
            </w:tcBorders>
            <w:vAlign w:val="center"/>
          </w:tcPr>
          <w:p w14:paraId="5A9C1F9D" w14:textId="77777777" w:rsidR="00335619" w:rsidRPr="0023367D" w:rsidRDefault="00335619" w:rsidP="00335619">
            <w:pPr>
              <w:spacing w:line="360" w:lineRule="auto"/>
              <w:jc w:val="center"/>
            </w:pPr>
          </w:p>
        </w:tc>
        <w:tc>
          <w:tcPr>
            <w:tcW w:w="1062" w:type="dxa"/>
            <w:tcBorders>
              <w:top w:val="nil"/>
              <w:left w:val="single" w:sz="4" w:space="0" w:color="auto"/>
              <w:bottom w:val="nil"/>
              <w:right w:val="single" w:sz="4" w:space="0" w:color="auto"/>
            </w:tcBorders>
            <w:vAlign w:val="center"/>
          </w:tcPr>
          <w:p w14:paraId="3275A274" w14:textId="77777777" w:rsidR="00335619" w:rsidRPr="0023367D" w:rsidRDefault="00335619" w:rsidP="00335619">
            <w:pPr>
              <w:spacing w:line="360" w:lineRule="auto"/>
              <w:jc w:val="center"/>
            </w:pPr>
          </w:p>
        </w:tc>
        <w:tc>
          <w:tcPr>
            <w:tcW w:w="1128" w:type="dxa"/>
            <w:tcBorders>
              <w:top w:val="nil"/>
              <w:left w:val="single" w:sz="4" w:space="0" w:color="auto"/>
              <w:bottom w:val="nil"/>
              <w:right w:val="single" w:sz="4" w:space="0" w:color="auto"/>
            </w:tcBorders>
            <w:vAlign w:val="center"/>
          </w:tcPr>
          <w:p w14:paraId="65E5FC81" w14:textId="77777777" w:rsidR="00335619" w:rsidRPr="0023367D" w:rsidRDefault="00335619" w:rsidP="00335619">
            <w:pPr>
              <w:spacing w:line="360" w:lineRule="auto"/>
              <w:jc w:val="center"/>
            </w:pPr>
          </w:p>
        </w:tc>
        <w:tc>
          <w:tcPr>
            <w:tcW w:w="1217" w:type="dxa"/>
            <w:tcBorders>
              <w:top w:val="nil"/>
              <w:left w:val="single" w:sz="4" w:space="0" w:color="auto"/>
              <w:bottom w:val="nil"/>
              <w:right w:val="single" w:sz="4" w:space="0" w:color="auto"/>
            </w:tcBorders>
            <w:shd w:val="clear" w:color="auto" w:fill="auto"/>
            <w:vAlign w:val="center"/>
          </w:tcPr>
          <w:p w14:paraId="4314BBD4" w14:textId="77777777" w:rsidR="00335619" w:rsidRPr="0023367D" w:rsidRDefault="00335619" w:rsidP="00335619">
            <w:pPr>
              <w:jc w:val="center"/>
            </w:pPr>
            <w:r w:rsidRPr="0023367D">
              <w:rPr>
                <w:color w:val="000000"/>
              </w:rPr>
              <w:t>(55,572)</w:t>
            </w:r>
          </w:p>
        </w:tc>
      </w:tr>
      <w:tr w:rsidR="00335619" w:rsidRPr="0023367D" w14:paraId="542C2C04" w14:textId="77777777">
        <w:tc>
          <w:tcPr>
            <w:tcW w:w="4403" w:type="dxa"/>
            <w:tcBorders>
              <w:top w:val="nil"/>
              <w:left w:val="single" w:sz="4" w:space="0" w:color="auto"/>
              <w:bottom w:val="nil"/>
              <w:right w:val="single" w:sz="4" w:space="0" w:color="auto"/>
            </w:tcBorders>
            <w:shd w:val="clear" w:color="auto" w:fill="auto"/>
            <w:vAlign w:val="center"/>
          </w:tcPr>
          <w:p w14:paraId="155E3C91" w14:textId="77777777" w:rsidR="00335619" w:rsidRPr="0023367D" w:rsidRDefault="00335619" w:rsidP="00335619">
            <w:pPr>
              <w:numPr>
                <w:ilvl w:val="0"/>
                <w:numId w:val="2"/>
              </w:numPr>
              <w:spacing w:line="360" w:lineRule="auto"/>
            </w:pPr>
            <w:r w:rsidRPr="0023367D">
              <w:t xml:space="preserve">earnings data for the last two years </w:t>
            </w:r>
          </w:p>
        </w:tc>
        <w:tc>
          <w:tcPr>
            <w:tcW w:w="938" w:type="dxa"/>
            <w:tcBorders>
              <w:top w:val="nil"/>
              <w:left w:val="single" w:sz="4" w:space="0" w:color="auto"/>
              <w:bottom w:val="nil"/>
              <w:right w:val="single" w:sz="4" w:space="0" w:color="auto"/>
            </w:tcBorders>
            <w:vAlign w:val="center"/>
          </w:tcPr>
          <w:p w14:paraId="5B463428" w14:textId="77777777" w:rsidR="00335619" w:rsidRPr="0023367D" w:rsidRDefault="00335619" w:rsidP="00335619">
            <w:pPr>
              <w:spacing w:line="360" w:lineRule="auto"/>
              <w:jc w:val="center"/>
            </w:pPr>
          </w:p>
        </w:tc>
        <w:tc>
          <w:tcPr>
            <w:tcW w:w="1062" w:type="dxa"/>
            <w:tcBorders>
              <w:top w:val="nil"/>
              <w:left w:val="single" w:sz="4" w:space="0" w:color="auto"/>
              <w:bottom w:val="nil"/>
              <w:right w:val="single" w:sz="4" w:space="0" w:color="auto"/>
            </w:tcBorders>
            <w:vAlign w:val="center"/>
          </w:tcPr>
          <w:p w14:paraId="2F4BC630" w14:textId="77777777" w:rsidR="00335619" w:rsidRPr="0023367D" w:rsidRDefault="00335619" w:rsidP="00335619">
            <w:pPr>
              <w:spacing w:line="360" w:lineRule="auto"/>
              <w:jc w:val="center"/>
            </w:pPr>
          </w:p>
        </w:tc>
        <w:tc>
          <w:tcPr>
            <w:tcW w:w="1128" w:type="dxa"/>
            <w:tcBorders>
              <w:top w:val="nil"/>
              <w:left w:val="single" w:sz="4" w:space="0" w:color="auto"/>
              <w:bottom w:val="nil"/>
              <w:right w:val="single" w:sz="4" w:space="0" w:color="auto"/>
            </w:tcBorders>
            <w:vAlign w:val="center"/>
          </w:tcPr>
          <w:p w14:paraId="08FEE93F" w14:textId="77777777" w:rsidR="00335619" w:rsidRPr="0023367D" w:rsidRDefault="00335619" w:rsidP="00335619">
            <w:pPr>
              <w:spacing w:line="360" w:lineRule="auto"/>
              <w:jc w:val="center"/>
            </w:pPr>
          </w:p>
        </w:tc>
        <w:tc>
          <w:tcPr>
            <w:tcW w:w="1217" w:type="dxa"/>
            <w:tcBorders>
              <w:top w:val="nil"/>
              <w:left w:val="single" w:sz="4" w:space="0" w:color="auto"/>
              <w:bottom w:val="nil"/>
              <w:right w:val="single" w:sz="4" w:space="0" w:color="auto"/>
            </w:tcBorders>
            <w:shd w:val="clear" w:color="auto" w:fill="auto"/>
            <w:vAlign w:val="center"/>
          </w:tcPr>
          <w:p w14:paraId="3646C624" w14:textId="77777777" w:rsidR="00335619" w:rsidRPr="0023367D" w:rsidRDefault="00335619" w:rsidP="00335619">
            <w:pPr>
              <w:spacing w:line="360" w:lineRule="auto"/>
              <w:jc w:val="center"/>
            </w:pPr>
            <w:r w:rsidRPr="0023367D">
              <w:t>(7,715)</w:t>
            </w:r>
          </w:p>
        </w:tc>
      </w:tr>
      <w:tr w:rsidR="00335619" w:rsidRPr="0023367D" w14:paraId="1DC05958" w14:textId="77777777">
        <w:tc>
          <w:tcPr>
            <w:tcW w:w="4403" w:type="dxa"/>
            <w:tcBorders>
              <w:top w:val="nil"/>
              <w:left w:val="single" w:sz="4" w:space="0" w:color="auto"/>
              <w:bottom w:val="nil"/>
              <w:right w:val="single" w:sz="4" w:space="0" w:color="auto"/>
            </w:tcBorders>
            <w:shd w:val="clear" w:color="auto" w:fill="auto"/>
            <w:vAlign w:val="center"/>
          </w:tcPr>
          <w:p w14:paraId="3DA18698" w14:textId="77777777" w:rsidR="00335619" w:rsidRPr="0023367D" w:rsidRDefault="00335619" w:rsidP="00335619">
            <w:pPr>
              <w:numPr>
                <w:ilvl w:val="0"/>
                <w:numId w:val="2"/>
              </w:numPr>
              <w:spacing w:line="360" w:lineRule="auto"/>
            </w:pPr>
            <w:r w:rsidRPr="0023367D">
              <w:t xml:space="preserve">annual Treasury bond matches </w:t>
            </w:r>
          </w:p>
        </w:tc>
        <w:tc>
          <w:tcPr>
            <w:tcW w:w="938" w:type="dxa"/>
            <w:tcBorders>
              <w:top w:val="nil"/>
              <w:left w:val="single" w:sz="4" w:space="0" w:color="auto"/>
              <w:bottom w:val="nil"/>
              <w:right w:val="single" w:sz="4" w:space="0" w:color="auto"/>
            </w:tcBorders>
            <w:vAlign w:val="center"/>
          </w:tcPr>
          <w:p w14:paraId="78B559B2" w14:textId="77777777" w:rsidR="00335619" w:rsidRPr="0023367D" w:rsidRDefault="00335619" w:rsidP="00335619">
            <w:pPr>
              <w:spacing w:line="360" w:lineRule="auto"/>
              <w:jc w:val="center"/>
              <w:rPr>
                <w:u w:val="single"/>
              </w:rPr>
            </w:pPr>
          </w:p>
        </w:tc>
        <w:tc>
          <w:tcPr>
            <w:tcW w:w="1062" w:type="dxa"/>
            <w:tcBorders>
              <w:top w:val="nil"/>
              <w:left w:val="single" w:sz="4" w:space="0" w:color="auto"/>
              <w:bottom w:val="nil"/>
              <w:right w:val="single" w:sz="4" w:space="0" w:color="auto"/>
            </w:tcBorders>
            <w:vAlign w:val="center"/>
          </w:tcPr>
          <w:p w14:paraId="603EF1C1" w14:textId="77777777" w:rsidR="00335619" w:rsidRPr="0023367D" w:rsidRDefault="00335619" w:rsidP="00335619">
            <w:pPr>
              <w:spacing w:line="360" w:lineRule="auto"/>
              <w:jc w:val="center"/>
              <w:rPr>
                <w:u w:val="single"/>
              </w:rPr>
            </w:pPr>
          </w:p>
        </w:tc>
        <w:tc>
          <w:tcPr>
            <w:tcW w:w="1128" w:type="dxa"/>
            <w:tcBorders>
              <w:top w:val="nil"/>
              <w:left w:val="single" w:sz="4" w:space="0" w:color="auto"/>
              <w:bottom w:val="nil"/>
              <w:right w:val="single" w:sz="4" w:space="0" w:color="auto"/>
            </w:tcBorders>
            <w:vAlign w:val="center"/>
          </w:tcPr>
          <w:p w14:paraId="69CD6F20" w14:textId="77777777" w:rsidR="00335619" w:rsidRPr="0023367D" w:rsidRDefault="00335619" w:rsidP="00335619">
            <w:pPr>
              <w:spacing w:line="360" w:lineRule="auto"/>
              <w:jc w:val="center"/>
              <w:rPr>
                <w:u w:val="single"/>
              </w:rPr>
            </w:pPr>
          </w:p>
        </w:tc>
        <w:tc>
          <w:tcPr>
            <w:tcW w:w="1217" w:type="dxa"/>
            <w:tcBorders>
              <w:top w:val="nil"/>
              <w:left w:val="single" w:sz="4" w:space="0" w:color="auto"/>
              <w:bottom w:val="nil"/>
              <w:right w:val="single" w:sz="4" w:space="0" w:color="auto"/>
            </w:tcBorders>
            <w:shd w:val="clear" w:color="auto" w:fill="auto"/>
            <w:vAlign w:val="center"/>
          </w:tcPr>
          <w:p w14:paraId="092CFBB1" w14:textId="77777777" w:rsidR="00335619" w:rsidRPr="0023367D" w:rsidRDefault="00335619" w:rsidP="00335619">
            <w:pPr>
              <w:spacing w:line="360" w:lineRule="auto"/>
              <w:jc w:val="center"/>
              <w:rPr>
                <w:u w:val="single"/>
              </w:rPr>
            </w:pPr>
            <w:r w:rsidRPr="0023367D">
              <w:rPr>
                <w:u w:val="single"/>
              </w:rPr>
              <w:t>(4,297)</w:t>
            </w:r>
          </w:p>
        </w:tc>
      </w:tr>
      <w:tr w:rsidR="00335619" w:rsidRPr="0023367D" w14:paraId="64BBA410" w14:textId="77777777">
        <w:tc>
          <w:tcPr>
            <w:tcW w:w="4403" w:type="dxa"/>
            <w:tcBorders>
              <w:top w:val="nil"/>
            </w:tcBorders>
            <w:shd w:val="clear" w:color="auto" w:fill="auto"/>
            <w:vAlign w:val="center"/>
          </w:tcPr>
          <w:p w14:paraId="7730469A" w14:textId="77777777" w:rsidR="00335619" w:rsidRPr="0023367D" w:rsidRDefault="00335619" w:rsidP="00335619">
            <w:r w:rsidRPr="0023367D">
              <w:t>Total number of bond-year observations with annual excess returns</w:t>
            </w:r>
          </w:p>
        </w:tc>
        <w:tc>
          <w:tcPr>
            <w:tcW w:w="938" w:type="dxa"/>
            <w:tcBorders>
              <w:top w:val="nil"/>
            </w:tcBorders>
            <w:vAlign w:val="center"/>
          </w:tcPr>
          <w:p w14:paraId="121186A5" w14:textId="77777777" w:rsidR="00335619" w:rsidRPr="0023367D" w:rsidRDefault="00335619" w:rsidP="00335619">
            <w:pPr>
              <w:jc w:val="center"/>
              <w:rPr>
                <w:color w:val="000000"/>
                <w:lang w:bidi="he-IL"/>
              </w:rPr>
            </w:pPr>
            <w:r w:rsidRPr="0023367D">
              <w:rPr>
                <w:color w:val="000000"/>
              </w:rPr>
              <w:t>3,535</w:t>
            </w:r>
          </w:p>
        </w:tc>
        <w:tc>
          <w:tcPr>
            <w:tcW w:w="1062" w:type="dxa"/>
            <w:tcBorders>
              <w:top w:val="nil"/>
            </w:tcBorders>
            <w:vAlign w:val="center"/>
          </w:tcPr>
          <w:p w14:paraId="456735CB" w14:textId="77777777" w:rsidR="00335619" w:rsidRPr="0023367D" w:rsidRDefault="00335619" w:rsidP="00335619">
            <w:pPr>
              <w:jc w:val="center"/>
              <w:rPr>
                <w:color w:val="000000"/>
              </w:rPr>
            </w:pPr>
            <w:r w:rsidRPr="0023367D">
              <w:rPr>
                <w:color w:val="000000"/>
              </w:rPr>
              <w:t>22,881</w:t>
            </w:r>
          </w:p>
        </w:tc>
        <w:tc>
          <w:tcPr>
            <w:tcW w:w="1128" w:type="dxa"/>
            <w:tcBorders>
              <w:top w:val="nil"/>
            </w:tcBorders>
            <w:vAlign w:val="center"/>
          </w:tcPr>
          <w:p w14:paraId="23877C06" w14:textId="77777777" w:rsidR="00335619" w:rsidRPr="0023367D" w:rsidRDefault="00335619" w:rsidP="00335619">
            <w:pPr>
              <w:jc w:val="center"/>
              <w:rPr>
                <w:color w:val="000000"/>
              </w:rPr>
            </w:pPr>
            <w:r w:rsidRPr="0023367D">
              <w:rPr>
                <w:color w:val="000000"/>
              </w:rPr>
              <w:t>28,503</w:t>
            </w:r>
          </w:p>
        </w:tc>
        <w:tc>
          <w:tcPr>
            <w:tcW w:w="1217" w:type="dxa"/>
            <w:tcBorders>
              <w:top w:val="nil"/>
            </w:tcBorders>
            <w:shd w:val="clear" w:color="auto" w:fill="auto"/>
            <w:vAlign w:val="center"/>
          </w:tcPr>
          <w:p w14:paraId="1FADAC67" w14:textId="77777777" w:rsidR="00335619" w:rsidRPr="0023367D" w:rsidRDefault="00335619" w:rsidP="00335619">
            <w:pPr>
              <w:jc w:val="center"/>
              <w:rPr>
                <w:color w:val="000000"/>
              </w:rPr>
            </w:pPr>
            <w:r w:rsidRPr="0023367D">
              <w:rPr>
                <w:color w:val="000000"/>
              </w:rPr>
              <w:t>123,166</w:t>
            </w:r>
          </w:p>
        </w:tc>
      </w:tr>
      <w:tr w:rsidR="00335619" w:rsidRPr="0023367D" w14:paraId="28D06758" w14:textId="77777777">
        <w:tc>
          <w:tcPr>
            <w:tcW w:w="4403" w:type="dxa"/>
            <w:shd w:val="clear" w:color="auto" w:fill="auto"/>
            <w:vAlign w:val="center"/>
          </w:tcPr>
          <w:p w14:paraId="0D91DFF1" w14:textId="77777777" w:rsidR="00335619" w:rsidRPr="0023367D" w:rsidRDefault="00335619" w:rsidP="00335619">
            <w:r w:rsidRPr="0023367D">
              <w:t xml:space="preserve">Minus observations that belong to private companies or are otherwise missing abnormal annual stock returns </w:t>
            </w:r>
          </w:p>
        </w:tc>
        <w:tc>
          <w:tcPr>
            <w:tcW w:w="938" w:type="dxa"/>
            <w:vAlign w:val="center"/>
          </w:tcPr>
          <w:p w14:paraId="3048EA22" w14:textId="77777777" w:rsidR="00335619" w:rsidRPr="0023367D" w:rsidRDefault="00335619" w:rsidP="00335619">
            <w:pPr>
              <w:spacing w:line="360" w:lineRule="auto"/>
              <w:jc w:val="center"/>
              <w:rPr>
                <w:u w:val="single"/>
              </w:rPr>
            </w:pPr>
          </w:p>
        </w:tc>
        <w:tc>
          <w:tcPr>
            <w:tcW w:w="1062" w:type="dxa"/>
            <w:vAlign w:val="center"/>
          </w:tcPr>
          <w:p w14:paraId="784ADC10" w14:textId="77777777" w:rsidR="00335619" w:rsidRPr="0023367D" w:rsidRDefault="00335619" w:rsidP="00335619">
            <w:pPr>
              <w:spacing w:line="360" w:lineRule="auto"/>
              <w:jc w:val="center"/>
              <w:rPr>
                <w:u w:val="single"/>
              </w:rPr>
            </w:pPr>
          </w:p>
        </w:tc>
        <w:tc>
          <w:tcPr>
            <w:tcW w:w="1128" w:type="dxa"/>
            <w:vAlign w:val="center"/>
          </w:tcPr>
          <w:p w14:paraId="6AE9371D" w14:textId="77777777" w:rsidR="00335619" w:rsidRPr="0023367D" w:rsidRDefault="00335619" w:rsidP="00335619">
            <w:pPr>
              <w:spacing w:line="360" w:lineRule="auto"/>
              <w:jc w:val="center"/>
              <w:rPr>
                <w:u w:val="single"/>
              </w:rPr>
            </w:pPr>
          </w:p>
        </w:tc>
        <w:tc>
          <w:tcPr>
            <w:tcW w:w="1217" w:type="dxa"/>
            <w:shd w:val="clear" w:color="auto" w:fill="auto"/>
            <w:vAlign w:val="center"/>
          </w:tcPr>
          <w:p w14:paraId="0FF4438E" w14:textId="77777777" w:rsidR="00335619" w:rsidRPr="0023367D" w:rsidRDefault="00335619" w:rsidP="00335619">
            <w:pPr>
              <w:spacing w:line="360" w:lineRule="auto"/>
              <w:jc w:val="center"/>
              <w:rPr>
                <w:u w:val="single"/>
              </w:rPr>
            </w:pPr>
            <w:r w:rsidRPr="0023367D">
              <w:rPr>
                <w:u w:val="single"/>
              </w:rPr>
              <w:t>(58,533)</w:t>
            </w:r>
          </w:p>
        </w:tc>
      </w:tr>
      <w:tr w:rsidR="00335619" w:rsidRPr="0023367D" w14:paraId="5830178B" w14:textId="77777777" w:rsidTr="00327EED">
        <w:trPr>
          <w:trHeight w:val="638"/>
        </w:trPr>
        <w:tc>
          <w:tcPr>
            <w:tcW w:w="4403" w:type="dxa"/>
            <w:shd w:val="clear" w:color="auto" w:fill="auto"/>
            <w:vAlign w:val="center"/>
          </w:tcPr>
          <w:p w14:paraId="5E195CC1" w14:textId="77777777" w:rsidR="00335619" w:rsidRPr="0023367D" w:rsidRDefault="00335619" w:rsidP="00335619">
            <w:r w:rsidRPr="0023367D">
              <w:t xml:space="preserve">Final sample </w:t>
            </w:r>
          </w:p>
        </w:tc>
        <w:tc>
          <w:tcPr>
            <w:tcW w:w="938" w:type="dxa"/>
            <w:vAlign w:val="center"/>
          </w:tcPr>
          <w:p w14:paraId="0E084463" w14:textId="77777777" w:rsidR="00335619" w:rsidRPr="0023367D" w:rsidRDefault="00335619" w:rsidP="00335619">
            <w:pPr>
              <w:jc w:val="center"/>
              <w:rPr>
                <w:color w:val="000000"/>
                <w:lang w:bidi="he-IL"/>
              </w:rPr>
            </w:pPr>
            <w:r w:rsidRPr="0023367D">
              <w:rPr>
                <w:color w:val="000000"/>
              </w:rPr>
              <w:t>2,754</w:t>
            </w:r>
          </w:p>
        </w:tc>
        <w:tc>
          <w:tcPr>
            <w:tcW w:w="1062" w:type="dxa"/>
            <w:vAlign w:val="center"/>
          </w:tcPr>
          <w:p w14:paraId="6E344F7F" w14:textId="77777777" w:rsidR="00335619" w:rsidRPr="0023367D" w:rsidRDefault="00335619" w:rsidP="00335619">
            <w:pPr>
              <w:jc w:val="center"/>
              <w:rPr>
                <w:color w:val="000000"/>
              </w:rPr>
            </w:pPr>
            <w:r w:rsidRPr="0023367D">
              <w:rPr>
                <w:color w:val="000000"/>
              </w:rPr>
              <w:t>13,910</w:t>
            </w:r>
          </w:p>
        </w:tc>
        <w:tc>
          <w:tcPr>
            <w:tcW w:w="1128" w:type="dxa"/>
            <w:vAlign w:val="center"/>
          </w:tcPr>
          <w:p w14:paraId="67DAAA8E" w14:textId="77777777" w:rsidR="00335619" w:rsidRPr="0023367D" w:rsidRDefault="00335619" w:rsidP="00335619">
            <w:pPr>
              <w:jc w:val="center"/>
              <w:rPr>
                <w:color w:val="000000"/>
              </w:rPr>
            </w:pPr>
            <w:r w:rsidRPr="0023367D">
              <w:rPr>
                <w:color w:val="000000"/>
              </w:rPr>
              <w:t>20,700</w:t>
            </w:r>
          </w:p>
        </w:tc>
        <w:tc>
          <w:tcPr>
            <w:tcW w:w="1217" w:type="dxa"/>
            <w:shd w:val="clear" w:color="auto" w:fill="auto"/>
            <w:vAlign w:val="center"/>
          </w:tcPr>
          <w:p w14:paraId="4ACDE752" w14:textId="77777777" w:rsidR="00335619" w:rsidRPr="0023367D" w:rsidRDefault="00335619" w:rsidP="00335619">
            <w:pPr>
              <w:jc w:val="center"/>
              <w:rPr>
                <w:color w:val="000000"/>
              </w:rPr>
            </w:pPr>
            <w:r w:rsidRPr="0023367D">
              <w:rPr>
                <w:color w:val="000000"/>
              </w:rPr>
              <w:t>64,633</w:t>
            </w:r>
          </w:p>
        </w:tc>
      </w:tr>
    </w:tbl>
    <w:p w14:paraId="480418C5" w14:textId="77777777" w:rsidR="00335619" w:rsidRPr="0023367D" w:rsidRDefault="00335619" w:rsidP="00335619">
      <w:pPr>
        <w:spacing w:line="276" w:lineRule="auto"/>
        <w:jc w:val="center"/>
        <w:outlineLvl w:val="0"/>
        <w:rPr>
          <w:b/>
          <w:bCs/>
        </w:rPr>
      </w:pPr>
      <w:r w:rsidRPr="0023367D">
        <w:rPr>
          <w:b/>
          <w:bCs/>
        </w:rPr>
        <w:br w:type="page"/>
        <w:t>Table 2</w:t>
      </w:r>
    </w:p>
    <w:p w14:paraId="60371F45" w14:textId="77777777" w:rsidR="00335619" w:rsidRPr="0023367D" w:rsidRDefault="00335619" w:rsidP="00335619">
      <w:pPr>
        <w:jc w:val="center"/>
        <w:outlineLvl w:val="0"/>
        <w:rPr>
          <w:b/>
          <w:bCs/>
        </w:rPr>
      </w:pPr>
      <w:r w:rsidRPr="0023367D">
        <w:rPr>
          <w:b/>
          <w:bCs/>
        </w:rPr>
        <w:t>Descriptive Statistics on the Firm Sample</w:t>
      </w:r>
    </w:p>
    <w:p w14:paraId="3DB794E0" w14:textId="77777777" w:rsidR="00335619" w:rsidRPr="0023367D" w:rsidRDefault="00335619" w:rsidP="00335619">
      <w:pPr>
        <w:jc w:val="center"/>
        <w:rPr>
          <w:b/>
          <w:bCs/>
        </w:rPr>
      </w:pPr>
    </w:p>
    <w:p w14:paraId="46D7240D" w14:textId="77777777" w:rsidR="00335619" w:rsidRPr="0023367D" w:rsidRDefault="00335619" w:rsidP="00335619">
      <w:pPr>
        <w:numPr>
          <w:ilvl w:val="0"/>
          <w:numId w:val="9"/>
        </w:numPr>
        <w:outlineLvl w:val="0"/>
        <w:rPr>
          <w:b/>
        </w:rPr>
      </w:pPr>
      <w:r w:rsidRPr="0023367D">
        <w:rPr>
          <w:b/>
        </w:rPr>
        <w:t>Distribution of Sample Observations by Year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gridCol w:w="1692"/>
        <w:gridCol w:w="1574"/>
        <w:gridCol w:w="3412"/>
      </w:tblGrid>
      <w:tr w:rsidR="00335619" w:rsidRPr="0023367D" w14:paraId="641EFDBB" w14:textId="77777777" w:rsidTr="007A2DFE">
        <w:trPr>
          <w:trHeight w:val="564"/>
          <w:jc w:val="center"/>
        </w:trPr>
        <w:tc>
          <w:tcPr>
            <w:tcW w:w="1475" w:type="pct"/>
            <w:shd w:val="clear" w:color="auto" w:fill="auto"/>
            <w:noWrap/>
            <w:vAlign w:val="center"/>
          </w:tcPr>
          <w:p w14:paraId="468ED5EC" w14:textId="77777777" w:rsidR="00335619" w:rsidRPr="0023367D" w:rsidRDefault="00335619" w:rsidP="007A2DFE">
            <w:pPr>
              <w:ind w:left="79"/>
              <w:jc w:val="center"/>
              <w:rPr>
                <w:rFonts w:eastAsia="Calibri"/>
                <w:sz w:val="22"/>
                <w:szCs w:val="22"/>
              </w:rPr>
            </w:pPr>
            <w:r w:rsidRPr="0023367D">
              <w:rPr>
                <w:rFonts w:eastAsia="Calibri"/>
                <w:sz w:val="22"/>
                <w:szCs w:val="22"/>
              </w:rPr>
              <w:t>Year</w:t>
            </w:r>
          </w:p>
        </w:tc>
        <w:tc>
          <w:tcPr>
            <w:tcW w:w="951" w:type="pct"/>
            <w:shd w:val="clear" w:color="auto" w:fill="auto"/>
            <w:noWrap/>
            <w:vAlign w:val="center"/>
          </w:tcPr>
          <w:p w14:paraId="70B19859" w14:textId="77777777" w:rsidR="00335619" w:rsidRPr="0023367D" w:rsidRDefault="00335619" w:rsidP="00335619">
            <w:pPr>
              <w:jc w:val="center"/>
              <w:rPr>
                <w:rFonts w:eastAsia="Calibri"/>
                <w:sz w:val="22"/>
                <w:szCs w:val="22"/>
              </w:rPr>
            </w:pPr>
            <w:r w:rsidRPr="0023367D">
              <w:rPr>
                <w:rFonts w:eastAsia="Calibri"/>
                <w:sz w:val="22"/>
                <w:szCs w:val="22"/>
              </w:rPr>
              <w:t>No. of</w:t>
            </w:r>
            <w:r w:rsidRPr="0023367D">
              <w:t xml:space="preserve"> </w:t>
            </w:r>
            <w:r w:rsidRPr="0023367D">
              <w:rPr>
                <w:rFonts w:eastAsia="Calibri"/>
                <w:sz w:val="22"/>
                <w:szCs w:val="22"/>
              </w:rPr>
              <w:t>Bonds</w:t>
            </w:r>
          </w:p>
        </w:tc>
        <w:tc>
          <w:tcPr>
            <w:tcW w:w="887" w:type="pct"/>
            <w:shd w:val="clear" w:color="auto" w:fill="auto"/>
            <w:noWrap/>
            <w:vAlign w:val="center"/>
          </w:tcPr>
          <w:p w14:paraId="682E7176" w14:textId="77777777" w:rsidR="00335619" w:rsidRPr="0023367D" w:rsidRDefault="00335619" w:rsidP="00335619">
            <w:pPr>
              <w:jc w:val="center"/>
              <w:rPr>
                <w:rFonts w:eastAsia="Calibri"/>
                <w:sz w:val="22"/>
                <w:szCs w:val="22"/>
              </w:rPr>
            </w:pPr>
            <w:r w:rsidRPr="0023367D">
              <w:rPr>
                <w:rFonts w:eastAsia="Calibri"/>
                <w:sz w:val="22"/>
                <w:szCs w:val="22"/>
              </w:rPr>
              <w:t>No. of Firms</w:t>
            </w:r>
          </w:p>
        </w:tc>
        <w:tc>
          <w:tcPr>
            <w:tcW w:w="1687" w:type="pct"/>
            <w:shd w:val="clear" w:color="auto" w:fill="auto"/>
            <w:noWrap/>
            <w:vAlign w:val="center"/>
          </w:tcPr>
          <w:p w14:paraId="58C3A1B2" w14:textId="77777777" w:rsidR="00335619" w:rsidRPr="0023367D" w:rsidRDefault="00335619" w:rsidP="00335619">
            <w:pPr>
              <w:jc w:val="center"/>
              <w:rPr>
                <w:rFonts w:eastAsia="Calibri"/>
                <w:sz w:val="22"/>
                <w:szCs w:val="22"/>
              </w:rPr>
            </w:pPr>
            <w:r w:rsidRPr="0023367D">
              <w:rPr>
                <w:rFonts w:eastAsia="Calibri"/>
                <w:sz w:val="22"/>
                <w:szCs w:val="22"/>
              </w:rPr>
              <w:t>Average Number of Bonds per Firm</w:t>
            </w:r>
          </w:p>
        </w:tc>
      </w:tr>
      <w:tr w:rsidR="00335619" w:rsidRPr="0023367D" w14:paraId="3090CFC9" w14:textId="77777777" w:rsidTr="007A2DFE">
        <w:trPr>
          <w:trHeight w:val="324"/>
          <w:jc w:val="center"/>
        </w:trPr>
        <w:tc>
          <w:tcPr>
            <w:tcW w:w="1475" w:type="pct"/>
            <w:shd w:val="clear" w:color="auto" w:fill="auto"/>
            <w:noWrap/>
            <w:vAlign w:val="center"/>
          </w:tcPr>
          <w:p w14:paraId="13F8E77F" w14:textId="77777777" w:rsidR="00335619" w:rsidRPr="0023367D" w:rsidRDefault="00335619" w:rsidP="007A2DFE">
            <w:pPr>
              <w:jc w:val="center"/>
              <w:rPr>
                <w:rFonts w:eastAsia="Calibri"/>
                <w:sz w:val="22"/>
                <w:szCs w:val="20"/>
              </w:rPr>
            </w:pPr>
            <w:r w:rsidRPr="0023367D">
              <w:rPr>
                <w:rFonts w:eastAsia="Calibri"/>
                <w:sz w:val="22"/>
                <w:szCs w:val="20"/>
              </w:rPr>
              <w:t>Full sample</w:t>
            </w:r>
          </w:p>
        </w:tc>
        <w:tc>
          <w:tcPr>
            <w:tcW w:w="951" w:type="pct"/>
            <w:shd w:val="clear" w:color="auto" w:fill="auto"/>
            <w:noWrap/>
            <w:vAlign w:val="center"/>
          </w:tcPr>
          <w:p w14:paraId="4ED5B094" w14:textId="77777777" w:rsidR="00335619" w:rsidRPr="0023367D" w:rsidRDefault="00335619" w:rsidP="00335619">
            <w:pPr>
              <w:jc w:val="center"/>
              <w:rPr>
                <w:rFonts w:eastAsia="Calibri"/>
                <w:sz w:val="22"/>
                <w:szCs w:val="20"/>
              </w:rPr>
            </w:pPr>
            <w:r w:rsidRPr="0023367D">
              <w:rPr>
                <w:rFonts w:eastAsia="Calibri"/>
                <w:sz w:val="22"/>
                <w:szCs w:val="20"/>
              </w:rPr>
              <w:t>64,633</w:t>
            </w:r>
          </w:p>
        </w:tc>
        <w:tc>
          <w:tcPr>
            <w:tcW w:w="887" w:type="pct"/>
            <w:shd w:val="clear" w:color="auto" w:fill="auto"/>
            <w:noWrap/>
            <w:vAlign w:val="center"/>
          </w:tcPr>
          <w:p w14:paraId="76E3F581" w14:textId="77777777" w:rsidR="00335619" w:rsidRPr="0023367D" w:rsidRDefault="00335619" w:rsidP="00335619">
            <w:pPr>
              <w:jc w:val="center"/>
              <w:rPr>
                <w:rFonts w:eastAsia="Calibri"/>
                <w:sz w:val="22"/>
                <w:szCs w:val="20"/>
              </w:rPr>
            </w:pPr>
            <w:r w:rsidRPr="0023367D">
              <w:rPr>
                <w:rFonts w:eastAsia="Calibri"/>
                <w:sz w:val="22"/>
                <w:szCs w:val="20"/>
              </w:rPr>
              <w:t>20,700</w:t>
            </w:r>
          </w:p>
        </w:tc>
        <w:tc>
          <w:tcPr>
            <w:tcW w:w="1687" w:type="pct"/>
            <w:shd w:val="clear" w:color="auto" w:fill="auto"/>
            <w:noWrap/>
            <w:vAlign w:val="center"/>
          </w:tcPr>
          <w:p w14:paraId="224E4A9B" w14:textId="77777777" w:rsidR="00335619" w:rsidRPr="0023367D" w:rsidRDefault="00335619" w:rsidP="00335619">
            <w:pPr>
              <w:jc w:val="center"/>
              <w:rPr>
                <w:rFonts w:eastAsia="Calibri"/>
                <w:sz w:val="22"/>
                <w:szCs w:val="20"/>
              </w:rPr>
            </w:pPr>
            <w:r w:rsidRPr="0023367D">
              <w:rPr>
                <w:rFonts w:eastAsia="Calibri"/>
                <w:sz w:val="22"/>
                <w:szCs w:val="20"/>
              </w:rPr>
              <w:t>3.12</w:t>
            </w:r>
          </w:p>
        </w:tc>
      </w:tr>
      <w:tr w:rsidR="00335619" w:rsidRPr="0023367D" w14:paraId="6FA1EE16" w14:textId="77777777" w:rsidTr="007A2DFE">
        <w:trPr>
          <w:trHeight w:val="324"/>
          <w:jc w:val="center"/>
        </w:trPr>
        <w:tc>
          <w:tcPr>
            <w:tcW w:w="1475" w:type="pct"/>
            <w:shd w:val="clear" w:color="auto" w:fill="auto"/>
            <w:noWrap/>
            <w:vAlign w:val="center"/>
          </w:tcPr>
          <w:p w14:paraId="3E8023B1" w14:textId="77777777" w:rsidR="00335619" w:rsidRPr="0023367D" w:rsidRDefault="00335619" w:rsidP="007A2DFE">
            <w:pPr>
              <w:ind w:left="720"/>
              <w:rPr>
                <w:rFonts w:eastAsia="Calibri"/>
                <w:sz w:val="20"/>
                <w:szCs w:val="20"/>
              </w:rPr>
            </w:pPr>
            <w:r w:rsidRPr="0023367D">
              <w:rPr>
                <w:rFonts w:eastAsia="Calibri"/>
                <w:sz w:val="22"/>
                <w:szCs w:val="20"/>
              </w:rPr>
              <w:t>By year:</w:t>
            </w:r>
          </w:p>
        </w:tc>
        <w:tc>
          <w:tcPr>
            <w:tcW w:w="951" w:type="pct"/>
            <w:shd w:val="clear" w:color="auto" w:fill="auto"/>
            <w:noWrap/>
            <w:vAlign w:val="center"/>
          </w:tcPr>
          <w:p w14:paraId="54E616B0" w14:textId="77777777" w:rsidR="00335619" w:rsidRPr="0023367D" w:rsidRDefault="00335619" w:rsidP="00335619">
            <w:pPr>
              <w:jc w:val="center"/>
              <w:rPr>
                <w:rFonts w:eastAsia="Calibri"/>
                <w:sz w:val="20"/>
                <w:szCs w:val="20"/>
              </w:rPr>
            </w:pPr>
          </w:p>
        </w:tc>
        <w:tc>
          <w:tcPr>
            <w:tcW w:w="887" w:type="pct"/>
            <w:shd w:val="clear" w:color="auto" w:fill="auto"/>
            <w:noWrap/>
            <w:vAlign w:val="center"/>
          </w:tcPr>
          <w:p w14:paraId="1A015287" w14:textId="77777777" w:rsidR="00335619" w:rsidRPr="0023367D" w:rsidRDefault="00335619" w:rsidP="00335619">
            <w:pPr>
              <w:jc w:val="center"/>
              <w:rPr>
                <w:rFonts w:eastAsia="Calibri"/>
                <w:sz w:val="20"/>
                <w:szCs w:val="20"/>
              </w:rPr>
            </w:pPr>
          </w:p>
        </w:tc>
        <w:tc>
          <w:tcPr>
            <w:tcW w:w="1687" w:type="pct"/>
            <w:shd w:val="clear" w:color="auto" w:fill="auto"/>
            <w:noWrap/>
            <w:vAlign w:val="center"/>
          </w:tcPr>
          <w:p w14:paraId="3FC7D0CC" w14:textId="77777777" w:rsidR="00335619" w:rsidRPr="0023367D" w:rsidRDefault="00335619" w:rsidP="00335619">
            <w:pPr>
              <w:jc w:val="center"/>
              <w:rPr>
                <w:rFonts w:eastAsia="Calibri"/>
                <w:sz w:val="20"/>
                <w:szCs w:val="20"/>
              </w:rPr>
            </w:pPr>
          </w:p>
        </w:tc>
      </w:tr>
      <w:tr w:rsidR="00335619" w:rsidRPr="0023367D" w14:paraId="4EE89F7B" w14:textId="77777777" w:rsidTr="007A2DFE">
        <w:trPr>
          <w:trHeight w:val="107"/>
          <w:jc w:val="center"/>
        </w:trPr>
        <w:tc>
          <w:tcPr>
            <w:tcW w:w="1475" w:type="pct"/>
            <w:shd w:val="clear" w:color="auto" w:fill="auto"/>
            <w:noWrap/>
            <w:vAlign w:val="center"/>
          </w:tcPr>
          <w:p w14:paraId="3237A2E0" w14:textId="77777777" w:rsidR="00335619" w:rsidRPr="0023367D" w:rsidRDefault="00335619" w:rsidP="007A2DFE">
            <w:pPr>
              <w:ind w:left="295"/>
              <w:jc w:val="center"/>
              <w:rPr>
                <w:rFonts w:eastAsia="Calibri"/>
                <w:sz w:val="22"/>
                <w:szCs w:val="22"/>
              </w:rPr>
            </w:pPr>
            <w:r w:rsidRPr="0023367D">
              <w:rPr>
                <w:rFonts w:eastAsia="Calibri"/>
                <w:sz w:val="22"/>
                <w:szCs w:val="22"/>
              </w:rPr>
              <w:t>1975</w:t>
            </w:r>
          </w:p>
        </w:tc>
        <w:tc>
          <w:tcPr>
            <w:tcW w:w="951" w:type="pct"/>
            <w:shd w:val="clear" w:color="auto" w:fill="auto"/>
            <w:noWrap/>
            <w:vAlign w:val="center"/>
          </w:tcPr>
          <w:p w14:paraId="1B703FF9" w14:textId="77777777" w:rsidR="00335619" w:rsidRPr="0023367D" w:rsidRDefault="00335619" w:rsidP="00335619">
            <w:pPr>
              <w:ind w:left="122"/>
              <w:jc w:val="center"/>
              <w:rPr>
                <w:rFonts w:eastAsia="Calibri"/>
                <w:sz w:val="22"/>
                <w:szCs w:val="22"/>
              </w:rPr>
            </w:pPr>
            <w:r w:rsidRPr="0023367D">
              <w:rPr>
                <w:rFonts w:eastAsia="Calibri"/>
                <w:sz w:val="22"/>
                <w:szCs w:val="22"/>
              </w:rPr>
              <w:t>857</w:t>
            </w:r>
          </w:p>
        </w:tc>
        <w:tc>
          <w:tcPr>
            <w:tcW w:w="887" w:type="pct"/>
            <w:shd w:val="clear" w:color="auto" w:fill="auto"/>
            <w:noWrap/>
            <w:vAlign w:val="center"/>
          </w:tcPr>
          <w:p w14:paraId="3C52E9B5" w14:textId="77777777" w:rsidR="00335619" w:rsidRPr="0023367D" w:rsidRDefault="00335619" w:rsidP="00335619">
            <w:pPr>
              <w:jc w:val="center"/>
              <w:rPr>
                <w:rFonts w:eastAsia="Calibri"/>
                <w:sz w:val="22"/>
                <w:szCs w:val="22"/>
              </w:rPr>
            </w:pPr>
            <w:r w:rsidRPr="0023367D">
              <w:rPr>
                <w:rFonts w:eastAsia="Calibri"/>
                <w:sz w:val="22"/>
                <w:szCs w:val="22"/>
              </w:rPr>
              <w:t>200</w:t>
            </w:r>
          </w:p>
        </w:tc>
        <w:tc>
          <w:tcPr>
            <w:tcW w:w="1687" w:type="pct"/>
            <w:shd w:val="clear" w:color="auto" w:fill="auto"/>
            <w:noWrap/>
            <w:vAlign w:val="center"/>
          </w:tcPr>
          <w:p w14:paraId="53DC8BB6" w14:textId="77777777" w:rsidR="00335619" w:rsidRPr="0023367D" w:rsidRDefault="00335619" w:rsidP="00335619">
            <w:pPr>
              <w:jc w:val="center"/>
              <w:rPr>
                <w:rFonts w:eastAsia="Calibri"/>
                <w:sz w:val="22"/>
                <w:szCs w:val="22"/>
              </w:rPr>
            </w:pPr>
            <w:r w:rsidRPr="0023367D">
              <w:rPr>
                <w:rFonts w:eastAsia="Calibri"/>
                <w:sz w:val="22"/>
                <w:szCs w:val="22"/>
              </w:rPr>
              <w:t>4.29</w:t>
            </w:r>
          </w:p>
        </w:tc>
      </w:tr>
      <w:tr w:rsidR="00335619" w:rsidRPr="0023367D" w14:paraId="79C7BE09" w14:textId="77777777" w:rsidTr="007A2DFE">
        <w:trPr>
          <w:trHeight w:val="101"/>
          <w:jc w:val="center"/>
        </w:trPr>
        <w:tc>
          <w:tcPr>
            <w:tcW w:w="1475" w:type="pct"/>
            <w:shd w:val="clear" w:color="auto" w:fill="auto"/>
            <w:noWrap/>
            <w:vAlign w:val="center"/>
          </w:tcPr>
          <w:p w14:paraId="4D3B0DC5" w14:textId="77777777" w:rsidR="00335619" w:rsidRPr="0023367D" w:rsidRDefault="00335619" w:rsidP="007A2DFE">
            <w:pPr>
              <w:ind w:left="295"/>
              <w:jc w:val="center"/>
              <w:rPr>
                <w:rFonts w:eastAsia="Calibri"/>
                <w:sz w:val="22"/>
                <w:szCs w:val="22"/>
              </w:rPr>
            </w:pPr>
            <w:r w:rsidRPr="0023367D">
              <w:rPr>
                <w:rFonts w:eastAsia="Calibri"/>
                <w:sz w:val="22"/>
                <w:szCs w:val="22"/>
              </w:rPr>
              <w:t>1976</w:t>
            </w:r>
          </w:p>
        </w:tc>
        <w:tc>
          <w:tcPr>
            <w:tcW w:w="951" w:type="pct"/>
            <w:shd w:val="clear" w:color="auto" w:fill="auto"/>
            <w:noWrap/>
            <w:vAlign w:val="center"/>
          </w:tcPr>
          <w:p w14:paraId="6D8C2178" w14:textId="77777777" w:rsidR="00335619" w:rsidRPr="0023367D" w:rsidRDefault="00335619" w:rsidP="00335619">
            <w:pPr>
              <w:jc w:val="center"/>
              <w:rPr>
                <w:rFonts w:eastAsia="Calibri"/>
                <w:sz w:val="22"/>
                <w:szCs w:val="22"/>
              </w:rPr>
            </w:pPr>
            <w:r w:rsidRPr="0023367D">
              <w:rPr>
                <w:rFonts w:eastAsia="Calibri"/>
                <w:sz w:val="22"/>
                <w:szCs w:val="22"/>
              </w:rPr>
              <w:t>1,029</w:t>
            </w:r>
          </w:p>
        </w:tc>
        <w:tc>
          <w:tcPr>
            <w:tcW w:w="887" w:type="pct"/>
            <w:shd w:val="clear" w:color="auto" w:fill="auto"/>
            <w:noWrap/>
            <w:vAlign w:val="center"/>
          </w:tcPr>
          <w:p w14:paraId="33ECEFCE" w14:textId="77777777" w:rsidR="00335619" w:rsidRPr="0023367D" w:rsidRDefault="00335619" w:rsidP="00335619">
            <w:pPr>
              <w:jc w:val="center"/>
              <w:rPr>
                <w:rFonts w:eastAsia="Calibri"/>
                <w:sz w:val="22"/>
                <w:szCs w:val="22"/>
              </w:rPr>
            </w:pPr>
            <w:r w:rsidRPr="0023367D">
              <w:rPr>
                <w:rFonts w:eastAsia="Calibri"/>
                <w:sz w:val="22"/>
                <w:szCs w:val="22"/>
              </w:rPr>
              <w:t>243</w:t>
            </w:r>
          </w:p>
        </w:tc>
        <w:tc>
          <w:tcPr>
            <w:tcW w:w="1687" w:type="pct"/>
            <w:shd w:val="clear" w:color="auto" w:fill="auto"/>
            <w:noWrap/>
            <w:vAlign w:val="center"/>
          </w:tcPr>
          <w:p w14:paraId="23B88B61" w14:textId="77777777" w:rsidR="00335619" w:rsidRPr="0023367D" w:rsidRDefault="00335619" w:rsidP="00335619">
            <w:pPr>
              <w:jc w:val="center"/>
              <w:rPr>
                <w:rFonts w:eastAsia="Calibri"/>
                <w:sz w:val="22"/>
                <w:szCs w:val="22"/>
              </w:rPr>
            </w:pPr>
            <w:r w:rsidRPr="0023367D">
              <w:rPr>
                <w:rFonts w:eastAsia="Calibri"/>
                <w:sz w:val="22"/>
                <w:szCs w:val="22"/>
              </w:rPr>
              <w:t>4.23</w:t>
            </w:r>
          </w:p>
        </w:tc>
      </w:tr>
      <w:tr w:rsidR="00335619" w:rsidRPr="0023367D" w14:paraId="0C75F59F" w14:textId="77777777" w:rsidTr="007A2DFE">
        <w:trPr>
          <w:trHeight w:val="101"/>
          <w:jc w:val="center"/>
        </w:trPr>
        <w:tc>
          <w:tcPr>
            <w:tcW w:w="1475" w:type="pct"/>
            <w:shd w:val="clear" w:color="auto" w:fill="auto"/>
            <w:noWrap/>
            <w:vAlign w:val="center"/>
          </w:tcPr>
          <w:p w14:paraId="7ED24924" w14:textId="77777777" w:rsidR="00335619" w:rsidRPr="0023367D" w:rsidRDefault="00335619" w:rsidP="007A2DFE">
            <w:pPr>
              <w:ind w:left="295"/>
              <w:jc w:val="center"/>
              <w:rPr>
                <w:rFonts w:eastAsia="Calibri"/>
                <w:sz w:val="22"/>
                <w:szCs w:val="22"/>
              </w:rPr>
            </w:pPr>
            <w:r w:rsidRPr="0023367D">
              <w:rPr>
                <w:rFonts w:eastAsia="Calibri"/>
                <w:sz w:val="22"/>
                <w:szCs w:val="22"/>
              </w:rPr>
              <w:t>1977</w:t>
            </w:r>
          </w:p>
        </w:tc>
        <w:tc>
          <w:tcPr>
            <w:tcW w:w="951" w:type="pct"/>
            <w:shd w:val="clear" w:color="auto" w:fill="auto"/>
            <w:noWrap/>
            <w:vAlign w:val="center"/>
          </w:tcPr>
          <w:p w14:paraId="644CDD3E" w14:textId="77777777" w:rsidR="00335619" w:rsidRPr="0023367D" w:rsidRDefault="00335619" w:rsidP="00335619">
            <w:pPr>
              <w:jc w:val="center"/>
              <w:rPr>
                <w:rFonts w:eastAsia="Calibri"/>
                <w:sz w:val="22"/>
                <w:szCs w:val="22"/>
              </w:rPr>
            </w:pPr>
            <w:r w:rsidRPr="0023367D">
              <w:rPr>
                <w:rFonts w:eastAsia="Calibri"/>
                <w:sz w:val="22"/>
                <w:szCs w:val="22"/>
              </w:rPr>
              <w:t>1,067</w:t>
            </w:r>
          </w:p>
        </w:tc>
        <w:tc>
          <w:tcPr>
            <w:tcW w:w="887" w:type="pct"/>
            <w:shd w:val="clear" w:color="auto" w:fill="auto"/>
            <w:noWrap/>
            <w:vAlign w:val="center"/>
          </w:tcPr>
          <w:p w14:paraId="73D07467" w14:textId="77777777" w:rsidR="00335619" w:rsidRPr="0023367D" w:rsidRDefault="00335619" w:rsidP="00335619">
            <w:pPr>
              <w:jc w:val="center"/>
              <w:rPr>
                <w:rFonts w:eastAsia="Calibri"/>
                <w:sz w:val="22"/>
                <w:szCs w:val="22"/>
              </w:rPr>
            </w:pPr>
            <w:r w:rsidRPr="0023367D">
              <w:rPr>
                <w:rFonts w:eastAsia="Calibri"/>
                <w:sz w:val="22"/>
                <w:szCs w:val="22"/>
              </w:rPr>
              <w:t>243</w:t>
            </w:r>
          </w:p>
        </w:tc>
        <w:tc>
          <w:tcPr>
            <w:tcW w:w="1687" w:type="pct"/>
            <w:shd w:val="clear" w:color="auto" w:fill="auto"/>
            <w:noWrap/>
            <w:vAlign w:val="center"/>
          </w:tcPr>
          <w:p w14:paraId="1F0E8E4D" w14:textId="77777777" w:rsidR="00335619" w:rsidRPr="0023367D" w:rsidRDefault="00335619" w:rsidP="00335619">
            <w:pPr>
              <w:jc w:val="center"/>
              <w:rPr>
                <w:rFonts w:eastAsia="Calibri"/>
                <w:sz w:val="22"/>
                <w:szCs w:val="22"/>
              </w:rPr>
            </w:pPr>
            <w:r w:rsidRPr="0023367D">
              <w:rPr>
                <w:rFonts w:eastAsia="Calibri"/>
                <w:sz w:val="22"/>
                <w:szCs w:val="22"/>
              </w:rPr>
              <w:t>4.39</w:t>
            </w:r>
          </w:p>
        </w:tc>
      </w:tr>
      <w:tr w:rsidR="00335619" w:rsidRPr="0023367D" w14:paraId="4F0A57CE" w14:textId="77777777" w:rsidTr="007A2DFE">
        <w:trPr>
          <w:trHeight w:val="101"/>
          <w:jc w:val="center"/>
        </w:trPr>
        <w:tc>
          <w:tcPr>
            <w:tcW w:w="1475" w:type="pct"/>
            <w:shd w:val="clear" w:color="auto" w:fill="auto"/>
            <w:noWrap/>
            <w:vAlign w:val="center"/>
          </w:tcPr>
          <w:p w14:paraId="245C797B" w14:textId="77777777" w:rsidR="00335619" w:rsidRPr="0023367D" w:rsidRDefault="00335619" w:rsidP="007A2DFE">
            <w:pPr>
              <w:ind w:left="295"/>
              <w:jc w:val="center"/>
              <w:rPr>
                <w:rFonts w:eastAsia="Calibri"/>
                <w:sz w:val="22"/>
                <w:szCs w:val="22"/>
              </w:rPr>
            </w:pPr>
            <w:r w:rsidRPr="0023367D">
              <w:rPr>
                <w:rFonts w:eastAsia="Calibri"/>
                <w:sz w:val="22"/>
                <w:szCs w:val="22"/>
              </w:rPr>
              <w:t>1978</w:t>
            </w:r>
          </w:p>
        </w:tc>
        <w:tc>
          <w:tcPr>
            <w:tcW w:w="951" w:type="pct"/>
            <w:shd w:val="clear" w:color="auto" w:fill="auto"/>
            <w:noWrap/>
            <w:vAlign w:val="center"/>
          </w:tcPr>
          <w:p w14:paraId="0AAD1750" w14:textId="77777777" w:rsidR="00335619" w:rsidRPr="0023367D" w:rsidRDefault="00335619" w:rsidP="00335619">
            <w:pPr>
              <w:ind w:left="122"/>
              <w:jc w:val="center"/>
              <w:rPr>
                <w:rFonts w:eastAsia="Calibri"/>
                <w:sz w:val="22"/>
                <w:szCs w:val="22"/>
              </w:rPr>
            </w:pPr>
            <w:r w:rsidRPr="0023367D">
              <w:rPr>
                <w:rFonts w:eastAsia="Calibri"/>
                <w:sz w:val="22"/>
                <w:szCs w:val="22"/>
              </w:rPr>
              <w:t>756</w:t>
            </w:r>
          </w:p>
        </w:tc>
        <w:tc>
          <w:tcPr>
            <w:tcW w:w="887" w:type="pct"/>
            <w:shd w:val="clear" w:color="auto" w:fill="auto"/>
            <w:noWrap/>
            <w:vAlign w:val="center"/>
          </w:tcPr>
          <w:p w14:paraId="2D64114F" w14:textId="77777777" w:rsidR="00335619" w:rsidRPr="0023367D" w:rsidRDefault="00335619" w:rsidP="00335619">
            <w:pPr>
              <w:jc w:val="center"/>
              <w:rPr>
                <w:rFonts w:eastAsia="Calibri"/>
                <w:sz w:val="22"/>
                <w:szCs w:val="22"/>
              </w:rPr>
            </w:pPr>
            <w:r w:rsidRPr="0023367D">
              <w:rPr>
                <w:rFonts w:eastAsia="Calibri"/>
                <w:sz w:val="22"/>
                <w:szCs w:val="22"/>
              </w:rPr>
              <w:t>216</w:t>
            </w:r>
          </w:p>
        </w:tc>
        <w:tc>
          <w:tcPr>
            <w:tcW w:w="1687" w:type="pct"/>
            <w:shd w:val="clear" w:color="auto" w:fill="auto"/>
            <w:noWrap/>
            <w:vAlign w:val="center"/>
          </w:tcPr>
          <w:p w14:paraId="72F8D4D8" w14:textId="77777777" w:rsidR="00335619" w:rsidRPr="0023367D" w:rsidRDefault="00335619" w:rsidP="00335619">
            <w:pPr>
              <w:jc w:val="center"/>
              <w:rPr>
                <w:rFonts w:eastAsia="Calibri"/>
                <w:sz w:val="22"/>
                <w:szCs w:val="22"/>
              </w:rPr>
            </w:pPr>
            <w:r w:rsidRPr="0023367D">
              <w:rPr>
                <w:rFonts w:eastAsia="Calibri"/>
                <w:sz w:val="22"/>
                <w:szCs w:val="22"/>
              </w:rPr>
              <w:t>3.50</w:t>
            </w:r>
          </w:p>
        </w:tc>
      </w:tr>
      <w:tr w:rsidR="00335619" w:rsidRPr="0023367D" w14:paraId="72AD678A" w14:textId="77777777" w:rsidTr="007A2DFE">
        <w:trPr>
          <w:trHeight w:val="101"/>
          <w:jc w:val="center"/>
        </w:trPr>
        <w:tc>
          <w:tcPr>
            <w:tcW w:w="1475" w:type="pct"/>
            <w:shd w:val="clear" w:color="auto" w:fill="auto"/>
            <w:noWrap/>
            <w:vAlign w:val="center"/>
          </w:tcPr>
          <w:p w14:paraId="5AD7650F" w14:textId="77777777" w:rsidR="00335619" w:rsidRPr="0023367D" w:rsidRDefault="00335619" w:rsidP="007A2DFE">
            <w:pPr>
              <w:ind w:left="295"/>
              <w:jc w:val="center"/>
              <w:rPr>
                <w:rFonts w:eastAsia="Calibri"/>
                <w:sz w:val="22"/>
                <w:szCs w:val="22"/>
              </w:rPr>
            </w:pPr>
            <w:r w:rsidRPr="0023367D">
              <w:rPr>
                <w:rFonts w:eastAsia="Calibri"/>
                <w:sz w:val="22"/>
                <w:szCs w:val="22"/>
              </w:rPr>
              <w:t>1979</w:t>
            </w:r>
          </w:p>
        </w:tc>
        <w:tc>
          <w:tcPr>
            <w:tcW w:w="951" w:type="pct"/>
            <w:shd w:val="clear" w:color="auto" w:fill="auto"/>
            <w:noWrap/>
            <w:vAlign w:val="center"/>
          </w:tcPr>
          <w:p w14:paraId="144CC785" w14:textId="77777777" w:rsidR="00335619" w:rsidRPr="0023367D" w:rsidRDefault="00335619" w:rsidP="00335619">
            <w:pPr>
              <w:ind w:left="122"/>
              <w:jc w:val="center"/>
              <w:rPr>
                <w:rFonts w:eastAsia="Calibri"/>
                <w:sz w:val="22"/>
                <w:szCs w:val="22"/>
              </w:rPr>
            </w:pPr>
            <w:r w:rsidRPr="0023367D">
              <w:rPr>
                <w:rFonts w:eastAsia="Calibri"/>
                <w:sz w:val="22"/>
                <w:szCs w:val="22"/>
              </w:rPr>
              <w:t>801</w:t>
            </w:r>
          </w:p>
        </w:tc>
        <w:tc>
          <w:tcPr>
            <w:tcW w:w="887" w:type="pct"/>
            <w:shd w:val="clear" w:color="auto" w:fill="auto"/>
            <w:noWrap/>
            <w:vAlign w:val="center"/>
          </w:tcPr>
          <w:p w14:paraId="608EEF57" w14:textId="77777777" w:rsidR="00335619" w:rsidRPr="0023367D" w:rsidRDefault="00335619" w:rsidP="00335619">
            <w:pPr>
              <w:jc w:val="center"/>
              <w:rPr>
                <w:rFonts w:eastAsia="Calibri"/>
                <w:sz w:val="22"/>
                <w:szCs w:val="22"/>
              </w:rPr>
            </w:pPr>
            <w:r w:rsidRPr="0023367D">
              <w:rPr>
                <w:rFonts w:eastAsia="Calibri"/>
                <w:sz w:val="22"/>
                <w:szCs w:val="22"/>
              </w:rPr>
              <w:t>221</w:t>
            </w:r>
          </w:p>
        </w:tc>
        <w:tc>
          <w:tcPr>
            <w:tcW w:w="1687" w:type="pct"/>
            <w:shd w:val="clear" w:color="auto" w:fill="auto"/>
            <w:noWrap/>
            <w:vAlign w:val="center"/>
          </w:tcPr>
          <w:p w14:paraId="6680B505" w14:textId="77777777" w:rsidR="00335619" w:rsidRPr="0023367D" w:rsidRDefault="00335619" w:rsidP="00335619">
            <w:pPr>
              <w:jc w:val="center"/>
              <w:rPr>
                <w:rFonts w:eastAsia="Calibri"/>
                <w:sz w:val="22"/>
                <w:szCs w:val="22"/>
              </w:rPr>
            </w:pPr>
            <w:r w:rsidRPr="0023367D">
              <w:rPr>
                <w:rFonts w:eastAsia="Calibri"/>
                <w:sz w:val="22"/>
                <w:szCs w:val="22"/>
              </w:rPr>
              <w:t>3.62</w:t>
            </w:r>
          </w:p>
        </w:tc>
      </w:tr>
      <w:tr w:rsidR="00335619" w:rsidRPr="0023367D" w14:paraId="49A1A310" w14:textId="77777777" w:rsidTr="007A2DFE">
        <w:trPr>
          <w:trHeight w:val="101"/>
          <w:jc w:val="center"/>
        </w:trPr>
        <w:tc>
          <w:tcPr>
            <w:tcW w:w="1475" w:type="pct"/>
            <w:shd w:val="clear" w:color="auto" w:fill="auto"/>
            <w:noWrap/>
            <w:vAlign w:val="center"/>
          </w:tcPr>
          <w:p w14:paraId="016A1A77" w14:textId="77777777" w:rsidR="00335619" w:rsidRPr="0023367D" w:rsidRDefault="00335619" w:rsidP="007A2DFE">
            <w:pPr>
              <w:ind w:left="295"/>
              <w:jc w:val="center"/>
              <w:rPr>
                <w:rFonts w:eastAsia="Calibri"/>
                <w:sz w:val="22"/>
                <w:szCs w:val="22"/>
              </w:rPr>
            </w:pPr>
            <w:r w:rsidRPr="0023367D">
              <w:rPr>
                <w:rFonts w:eastAsia="Calibri"/>
                <w:sz w:val="22"/>
                <w:szCs w:val="22"/>
              </w:rPr>
              <w:t>1980</w:t>
            </w:r>
          </w:p>
        </w:tc>
        <w:tc>
          <w:tcPr>
            <w:tcW w:w="951" w:type="pct"/>
            <w:shd w:val="clear" w:color="auto" w:fill="auto"/>
            <w:noWrap/>
            <w:vAlign w:val="center"/>
          </w:tcPr>
          <w:p w14:paraId="5E85E81F" w14:textId="77777777" w:rsidR="00335619" w:rsidRPr="0023367D" w:rsidRDefault="00335619" w:rsidP="00335619">
            <w:pPr>
              <w:ind w:left="122"/>
              <w:jc w:val="center"/>
              <w:rPr>
                <w:rFonts w:eastAsia="Calibri"/>
                <w:sz w:val="22"/>
                <w:szCs w:val="22"/>
              </w:rPr>
            </w:pPr>
            <w:r w:rsidRPr="0023367D">
              <w:rPr>
                <w:rFonts w:eastAsia="Calibri"/>
                <w:sz w:val="22"/>
                <w:szCs w:val="22"/>
              </w:rPr>
              <w:t>764</w:t>
            </w:r>
          </w:p>
        </w:tc>
        <w:tc>
          <w:tcPr>
            <w:tcW w:w="887" w:type="pct"/>
            <w:shd w:val="clear" w:color="auto" w:fill="auto"/>
            <w:noWrap/>
            <w:vAlign w:val="center"/>
          </w:tcPr>
          <w:p w14:paraId="5226E380" w14:textId="77777777" w:rsidR="00335619" w:rsidRPr="0023367D" w:rsidRDefault="00335619" w:rsidP="00335619">
            <w:pPr>
              <w:jc w:val="center"/>
              <w:rPr>
                <w:rFonts w:eastAsia="Calibri"/>
                <w:sz w:val="22"/>
                <w:szCs w:val="22"/>
              </w:rPr>
            </w:pPr>
            <w:r w:rsidRPr="0023367D">
              <w:rPr>
                <w:rFonts w:eastAsia="Calibri"/>
                <w:sz w:val="22"/>
                <w:szCs w:val="22"/>
              </w:rPr>
              <w:t>213</w:t>
            </w:r>
          </w:p>
        </w:tc>
        <w:tc>
          <w:tcPr>
            <w:tcW w:w="1687" w:type="pct"/>
            <w:shd w:val="clear" w:color="auto" w:fill="auto"/>
            <w:noWrap/>
            <w:vAlign w:val="center"/>
          </w:tcPr>
          <w:p w14:paraId="38F27C91" w14:textId="77777777" w:rsidR="00335619" w:rsidRPr="0023367D" w:rsidRDefault="00335619" w:rsidP="00335619">
            <w:pPr>
              <w:jc w:val="center"/>
              <w:rPr>
                <w:rFonts w:eastAsia="Calibri"/>
                <w:sz w:val="22"/>
                <w:szCs w:val="22"/>
              </w:rPr>
            </w:pPr>
            <w:r w:rsidRPr="0023367D">
              <w:rPr>
                <w:rFonts w:eastAsia="Calibri"/>
                <w:sz w:val="22"/>
                <w:szCs w:val="22"/>
              </w:rPr>
              <w:t>3.59</w:t>
            </w:r>
          </w:p>
        </w:tc>
      </w:tr>
      <w:tr w:rsidR="00335619" w:rsidRPr="0023367D" w14:paraId="753121D7" w14:textId="77777777" w:rsidTr="007A2DFE">
        <w:trPr>
          <w:trHeight w:val="101"/>
          <w:jc w:val="center"/>
        </w:trPr>
        <w:tc>
          <w:tcPr>
            <w:tcW w:w="1475" w:type="pct"/>
            <w:shd w:val="clear" w:color="auto" w:fill="auto"/>
            <w:noWrap/>
            <w:vAlign w:val="center"/>
          </w:tcPr>
          <w:p w14:paraId="58F9753A" w14:textId="77777777" w:rsidR="00335619" w:rsidRPr="0023367D" w:rsidRDefault="00335619" w:rsidP="007A2DFE">
            <w:pPr>
              <w:ind w:left="295"/>
              <w:jc w:val="center"/>
              <w:rPr>
                <w:rFonts w:eastAsia="Calibri"/>
                <w:sz w:val="22"/>
                <w:szCs w:val="22"/>
              </w:rPr>
            </w:pPr>
            <w:r w:rsidRPr="0023367D">
              <w:rPr>
                <w:rFonts w:eastAsia="Calibri"/>
                <w:sz w:val="22"/>
                <w:szCs w:val="22"/>
              </w:rPr>
              <w:t>1981</w:t>
            </w:r>
          </w:p>
        </w:tc>
        <w:tc>
          <w:tcPr>
            <w:tcW w:w="951" w:type="pct"/>
            <w:shd w:val="clear" w:color="auto" w:fill="auto"/>
            <w:noWrap/>
            <w:vAlign w:val="center"/>
          </w:tcPr>
          <w:p w14:paraId="751318CB" w14:textId="77777777" w:rsidR="00335619" w:rsidRPr="0023367D" w:rsidRDefault="00335619" w:rsidP="00335619">
            <w:pPr>
              <w:jc w:val="center"/>
              <w:rPr>
                <w:rFonts w:eastAsia="Calibri"/>
                <w:sz w:val="22"/>
                <w:szCs w:val="22"/>
              </w:rPr>
            </w:pPr>
            <w:r w:rsidRPr="0023367D">
              <w:rPr>
                <w:rFonts w:eastAsia="Calibri"/>
                <w:sz w:val="22"/>
                <w:szCs w:val="22"/>
              </w:rPr>
              <w:t>1,522</w:t>
            </w:r>
          </w:p>
        </w:tc>
        <w:tc>
          <w:tcPr>
            <w:tcW w:w="887" w:type="pct"/>
            <w:shd w:val="clear" w:color="auto" w:fill="auto"/>
            <w:noWrap/>
            <w:vAlign w:val="center"/>
          </w:tcPr>
          <w:p w14:paraId="78AB2512" w14:textId="77777777" w:rsidR="00335619" w:rsidRPr="0023367D" w:rsidRDefault="00335619" w:rsidP="00335619">
            <w:pPr>
              <w:jc w:val="center"/>
              <w:rPr>
                <w:rFonts w:eastAsia="Calibri"/>
                <w:sz w:val="22"/>
                <w:szCs w:val="22"/>
              </w:rPr>
            </w:pPr>
            <w:r w:rsidRPr="0023367D">
              <w:rPr>
                <w:rFonts w:eastAsia="Calibri"/>
                <w:sz w:val="22"/>
                <w:szCs w:val="22"/>
              </w:rPr>
              <w:t>480</w:t>
            </w:r>
          </w:p>
        </w:tc>
        <w:tc>
          <w:tcPr>
            <w:tcW w:w="1687" w:type="pct"/>
            <w:shd w:val="clear" w:color="auto" w:fill="auto"/>
            <w:noWrap/>
            <w:vAlign w:val="center"/>
          </w:tcPr>
          <w:p w14:paraId="58BA1128" w14:textId="77777777" w:rsidR="00335619" w:rsidRPr="0023367D" w:rsidRDefault="00335619" w:rsidP="00335619">
            <w:pPr>
              <w:jc w:val="center"/>
              <w:rPr>
                <w:rFonts w:eastAsia="Calibri"/>
                <w:sz w:val="22"/>
                <w:szCs w:val="22"/>
              </w:rPr>
            </w:pPr>
            <w:r w:rsidRPr="0023367D">
              <w:rPr>
                <w:rFonts w:eastAsia="Calibri"/>
                <w:sz w:val="22"/>
                <w:szCs w:val="22"/>
              </w:rPr>
              <w:t>3.17</w:t>
            </w:r>
          </w:p>
        </w:tc>
      </w:tr>
      <w:tr w:rsidR="00335619" w:rsidRPr="0023367D" w14:paraId="0DEC0CB3" w14:textId="77777777" w:rsidTr="007A2DFE">
        <w:trPr>
          <w:trHeight w:val="101"/>
          <w:jc w:val="center"/>
        </w:trPr>
        <w:tc>
          <w:tcPr>
            <w:tcW w:w="1475" w:type="pct"/>
            <w:shd w:val="clear" w:color="auto" w:fill="auto"/>
            <w:noWrap/>
            <w:vAlign w:val="center"/>
          </w:tcPr>
          <w:p w14:paraId="78EC2E09" w14:textId="77777777" w:rsidR="00335619" w:rsidRPr="0023367D" w:rsidRDefault="00335619" w:rsidP="007A2DFE">
            <w:pPr>
              <w:ind w:left="295"/>
              <w:jc w:val="center"/>
              <w:rPr>
                <w:rFonts w:eastAsia="Calibri"/>
                <w:sz w:val="22"/>
                <w:szCs w:val="22"/>
              </w:rPr>
            </w:pPr>
            <w:r w:rsidRPr="0023367D">
              <w:rPr>
                <w:rFonts w:eastAsia="Calibri"/>
                <w:sz w:val="22"/>
                <w:szCs w:val="22"/>
              </w:rPr>
              <w:t>1982</w:t>
            </w:r>
          </w:p>
        </w:tc>
        <w:tc>
          <w:tcPr>
            <w:tcW w:w="951" w:type="pct"/>
            <w:shd w:val="clear" w:color="auto" w:fill="auto"/>
            <w:noWrap/>
            <w:vAlign w:val="center"/>
          </w:tcPr>
          <w:p w14:paraId="17AF1611" w14:textId="77777777" w:rsidR="00335619" w:rsidRPr="0023367D" w:rsidRDefault="00335619" w:rsidP="00335619">
            <w:pPr>
              <w:jc w:val="center"/>
              <w:rPr>
                <w:rFonts w:eastAsia="Calibri"/>
                <w:sz w:val="22"/>
                <w:szCs w:val="22"/>
              </w:rPr>
            </w:pPr>
            <w:r w:rsidRPr="0023367D">
              <w:rPr>
                <w:rFonts w:eastAsia="Calibri"/>
                <w:sz w:val="22"/>
                <w:szCs w:val="22"/>
              </w:rPr>
              <w:t>1,507</w:t>
            </w:r>
          </w:p>
        </w:tc>
        <w:tc>
          <w:tcPr>
            <w:tcW w:w="887" w:type="pct"/>
            <w:shd w:val="clear" w:color="auto" w:fill="auto"/>
            <w:noWrap/>
            <w:vAlign w:val="center"/>
          </w:tcPr>
          <w:p w14:paraId="32EE5B53" w14:textId="77777777" w:rsidR="00335619" w:rsidRPr="0023367D" w:rsidRDefault="00335619" w:rsidP="00335619">
            <w:pPr>
              <w:jc w:val="center"/>
              <w:rPr>
                <w:rFonts w:eastAsia="Calibri"/>
                <w:sz w:val="22"/>
                <w:szCs w:val="22"/>
              </w:rPr>
            </w:pPr>
            <w:r w:rsidRPr="0023367D">
              <w:rPr>
                <w:rFonts w:eastAsia="Calibri"/>
                <w:sz w:val="22"/>
                <w:szCs w:val="22"/>
              </w:rPr>
              <w:t>468</w:t>
            </w:r>
          </w:p>
        </w:tc>
        <w:tc>
          <w:tcPr>
            <w:tcW w:w="1687" w:type="pct"/>
            <w:shd w:val="clear" w:color="auto" w:fill="auto"/>
            <w:noWrap/>
            <w:vAlign w:val="center"/>
          </w:tcPr>
          <w:p w14:paraId="7D324E20" w14:textId="77777777" w:rsidR="00335619" w:rsidRPr="0023367D" w:rsidRDefault="00335619" w:rsidP="00335619">
            <w:pPr>
              <w:jc w:val="center"/>
              <w:rPr>
                <w:rFonts w:eastAsia="Calibri"/>
                <w:sz w:val="22"/>
                <w:szCs w:val="22"/>
              </w:rPr>
            </w:pPr>
            <w:r w:rsidRPr="0023367D">
              <w:rPr>
                <w:rFonts w:eastAsia="Calibri"/>
                <w:sz w:val="22"/>
                <w:szCs w:val="22"/>
              </w:rPr>
              <w:t>3.22</w:t>
            </w:r>
          </w:p>
        </w:tc>
      </w:tr>
      <w:tr w:rsidR="00335619" w:rsidRPr="0023367D" w14:paraId="41E22586" w14:textId="77777777" w:rsidTr="007A2DFE">
        <w:trPr>
          <w:trHeight w:val="101"/>
          <w:jc w:val="center"/>
        </w:trPr>
        <w:tc>
          <w:tcPr>
            <w:tcW w:w="1475" w:type="pct"/>
            <w:shd w:val="clear" w:color="auto" w:fill="auto"/>
            <w:noWrap/>
            <w:vAlign w:val="center"/>
          </w:tcPr>
          <w:p w14:paraId="33AFF83C" w14:textId="77777777" w:rsidR="00335619" w:rsidRPr="0023367D" w:rsidRDefault="00335619" w:rsidP="007A2DFE">
            <w:pPr>
              <w:ind w:left="295"/>
              <w:jc w:val="center"/>
              <w:rPr>
                <w:rFonts w:eastAsia="Calibri"/>
                <w:sz w:val="22"/>
                <w:szCs w:val="22"/>
              </w:rPr>
            </w:pPr>
            <w:r w:rsidRPr="0023367D">
              <w:rPr>
                <w:rFonts w:eastAsia="Calibri"/>
                <w:sz w:val="22"/>
                <w:szCs w:val="22"/>
              </w:rPr>
              <w:t>1983</w:t>
            </w:r>
          </w:p>
        </w:tc>
        <w:tc>
          <w:tcPr>
            <w:tcW w:w="951" w:type="pct"/>
            <w:shd w:val="clear" w:color="auto" w:fill="auto"/>
            <w:noWrap/>
            <w:vAlign w:val="center"/>
          </w:tcPr>
          <w:p w14:paraId="00D2DB09" w14:textId="77777777" w:rsidR="00335619" w:rsidRPr="0023367D" w:rsidRDefault="00335619" w:rsidP="00335619">
            <w:pPr>
              <w:jc w:val="center"/>
              <w:rPr>
                <w:rFonts w:eastAsia="Calibri"/>
                <w:sz w:val="22"/>
                <w:szCs w:val="22"/>
              </w:rPr>
            </w:pPr>
            <w:r w:rsidRPr="0023367D">
              <w:rPr>
                <w:rFonts w:eastAsia="Calibri"/>
                <w:sz w:val="22"/>
                <w:szCs w:val="22"/>
              </w:rPr>
              <w:t>1,563</w:t>
            </w:r>
          </w:p>
        </w:tc>
        <w:tc>
          <w:tcPr>
            <w:tcW w:w="887" w:type="pct"/>
            <w:shd w:val="clear" w:color="auto" w:fill="auto"/>
            <w:noWrap/>
            <w:vAlign w:val="center"/>
          </w:tcPr>
          <w:p w14:paraId="34299574" w14:textId="77777777" w:rsidR="00335619" w:rsidRPr="0023367D" w:rsidRDefault="00335619" w:rsidP="00335619">
            <w:pPr>
              <w:jc w:val="center"/>
              <w:rPr>
                <w:rFonts w:eastAsia="Calibri"/>
                <w:sz w:val="22"/>
                <w:szCs w:val="22"/>
              </w:rPr>
            </w:pPr>
            <w:r w:rsidRPr="0023367D">
              <w:rPr>
                <w:rFonts w:eastAsia="Calibri"/>
                <w:sz w:val="22"/>
                <w:szCs w:val="22"/>
              </w:rPr>
              <w:t>505</w:t>
            </w:r>
          </w:p>
        </w:tc>
        <w:tc>
          <w:tcPr>
            <w:tcW w:w="1687" w:type="pct"/>
            <w:shd w:val="clear" w:color="auto" w:fill="auto"/>
            <w:noWrap/>
            <w:vAlign w:val="center"/>
          </w:tcPr>
          <w:p w14:paraId="3A574AEC" w14:textId="77777777" w:rsidR="00335619" w:rsidRPr="0023367D" w:rsidRDefault="00335619" w:rsidP="00335619">
            <w:pPr>
              <w:jc w:val="center"/>
              <w:rPr>
                <w:rFonts w:eastAsia="Calibri"/>
                <w:sz w:val="22"/>
                <w:szCs w:val="22"/>
              </w:rPr>
            </w:pPr>
            <w:r w:rsidRPr="0023367D">
              <w:rPr>
                <w:rFonts w:eastAsia="Calibri"/>
                <w:sz w:val="22"/>
                <w:szCs w:val="22"/>
              </w:rPr>
              <w:t>3.10</w:t>
            </w:r>
          </w:p>
        </w:tc>
      </w:tr>
      <w:tr w:rsidR="00335619" w:rsidRPr="0023367D" w14:paraId="3A66B15B" w14:textId="77777777" w:rsidTr="007A2DFE">
        <w:trPr>
          <w:trHeight w:val="101"/>
          <w:jc w:val="center"/>
        </w:trPr>
        <w:tc>
          <w:tcPr>
            <w:tcW w:w="1475" w:type="pct"/>
            <w:shd w:val="clear" w:color="auto" w:fill="auto"/>
            <w:noWrap/>
            <w:vAlign w:val="center"/>
          </w:tcPr>
          <w:p w14:paraId="1BC6697D" w14:textId="77777777" w:rsidR="00335619" w:rsidRPr="0023367D" w:rsidRDefault="00335619" w:rsidP="007A2DFE">
            <w:pPr>
              <w:ind w:left="295"/>
              <w:jc w:val="center"/>
              <w:rPr>
                <w:rFonts w:eastAsia="Calibri"/>
                <w:sz w:val="22"/>
                <w:szCs w:val="22"/>
              </w:rPr>
            </w:pPr>
            <w:r w:rsidRPr="0023367D">
              <w:rPr>
                <w:rFonts w:eastAsia="Calibri"/>
                <w:sz w:val="22"/>
                <w:szCs w:val="22"/>
              </w:rPr>
              <w:t>1984</w:t>
            </w:r>
          </w:p>
        </w:tc>
        <w:tc>
          <w:tcPr>
            <w:tcW w:w="951" w:type="pct"/>
            <w:shd w:val="clear" w:color="auto" w:fill="auto"/>
            <w:noWrap/>
            <w:vAlign w:val="center"/>
          </w:tcPr>
          <w:p w14:paraId="25C991CA" w14:textId="77777777" w:rsidR="00335619" w:rsidRPr="0023367D" w:rsidRDefault="00335619" w:rsidP="00335619">
            <w:pPr>
              <w:jc w:val="center"/>
              <w:rPr>
                <w:rFonts w:eastAsia="Calibri"/>
                <w:sz w:val="22"/>
                <w:szCs w:val="22"/>
              </w:rPr>
            </w:pPr>
            <w:r w:rsidRPr="0023367D">
              <w:rPr>
                <w:rFonts w:eastAsia="Calibri"/>
                <w:sz w:val="22"/>
                <w:szCs w:val="22"/>
              </w:rPr>
              <w:t>1,598</w:t>
            </w:r>
          </w:p>
        </w:tc>
        <w:tc>
          <w:tcPr>
            <w:tcW w:w="887" w:type="pct"/>
            <w:shd w:val="clear" w:color="auto" w:fill="auto"/>
            <w:noWrap/>
            <w:vAlign w:val="center"/>
          </w:tcPr>
          <w:p w14:paraId="40EAC0C2" w14:textId="77777777" w:rsidR="00335619" w:rsidRPr="0023367D" w:rsidRDefault="00335619" w:rsidP="00335619">
            <w:pPr>
              <w:jc w:val="center"/>
              <w:rPr>
                <w:rFonts w:eastAsia="Calibri"/>
                <w:sz w:val="22"/>
                <w:szCs w:val="22"/>
              </w:rPr>
            </w:pPr>
            <w:r w:rsidRPr="0023367D">
              <w:rPr>
                <w:rFonts w:eastAsia="Calibri"/>
                <w:sz w:val="22"/>
                <w:szCs w:val="22"/>
              </w:rPr>
              <w:t>528</w:t>
            </w:r>
          </w:p>
        </w:tc>
        <w:tc>
          <w:tcPr>
            <w:tcW w:w="1687" w:type="pct"/>
            <w:shd w:val="clear" w:color="auto" w:fill="auto"/>
            <w:noWrap/>
            <w:vAlign w:val="center"/>
          </w:tcPr>
          <w:p w14:paraId="08F1AC2B" w14:textId="77777777" w:rsidR="00335619" w:rsidRPr="0023367D" w:rsidRDefault="00335619" w:rsidP="00335619">
            <w:pPr>
              <w:jc w:val="center"/>
              <w:rPr>
                <w:rFonts w:eastAsia="Calibri"/>
                <w:sz w:val="22"/>
                <w:szCs w:val="22"/>
              </w:rPr>
            </w:pPr>
            <w:r w:rsidRPr="0023367D">
              <w:rPr>
                <w:rFonts w:eastAsia="Calibri"/>
                <w:sz w:val="22"/>
                <w:szCs w:val="22"/>
              </w:rPr>
              <w:t>3.03</w:t>
            </w:r>
          </w:p>
        </w:tc>
      </w:tr>
      <w:tr w:rsidR="00335619" w:rsidRPr="0023367D" w14:paraId="035A2BDA" w14:textId="77777777" w:rsidTr="007A2DFE">
        <w:trPr>
          <w:trHeight w:val="101"/>
          <w:jc w:val="center"/>
        </w:trPr>
        <w:tc>
          <w:tcPr>
            <w:tcW w:w="1475" w:type="pct"/>
            <w:shd w:val="clear" w:color="auto" w:fill="auto"/>
            <w:noWrap/>
            <w:vAlign w:val="center"/>
          </w:tcPr>
          <w:p w14:paraId="10AED1B2" w14:textId="77777777" w:rsidR="00335619" w:rsidRPr="0023367D" w:rsidRDefault="00335619" w:rsidP="007A2DFE">
            <w:pPr>
              <w:ind w:left="295"/>
              <w:jc w:val="center"/>
              <w:rPr>
                <w:rFonts w:eastAsia="Calibri"/>
                <w:sz w:val="22"/>
                <w:szCs w:val="22"/>
              </w:rPr>
            </w:pPr>
            <w:r w:rsidRPr="0023367D">
              <w:rPr>
                <w:rFonts w:eastAsia="Calibri"/>
                <w:sz w:val="22"/>
                <w:szCs w:val="22"/>
              </w:rPr>
              <w:t>1985</w:t>
            </w:r>
          </w:p>
        </w:tc>
        <w:tc>
          <w:tcPr>
            <w:tcW w:w="951" w:type="pct"/>
            <w:shd w:val="clear" w:color="auto" w:fill="auto"/>
            <w:noWrap/>
            <w:vAlign w:val="center"/>
          </w:tcPr>
          <w:p w14:paraId="1DAF40C7" w14:textId="77777777" w:rsidR="00335619" w:rsidRPr="0023367D" w:rsidRDefault="00335619" w:rsidP="00335619">
            <w:pPr>
              <w:jc w:val="center"/>
              <w:rPr>
                <w:rFonts w:eastAsia="Calibri"/>
                <w:sz w:val="22"/>
                <w:szCs w:val="22"/>
              </w:rPr>
            </w:pPr>
            <w:r w:rsidRPr="0023367D">
              <w:rPr>
                <w:rFonts w:eastAsia="Calibri"/>
                <w:sz w:val="22"/>
                <w:szCs w:val="22"/>
              </w:rPr>
              <w:t>1,478</w:t>
            </w:r>
          </w:p>
        </w:tc>
        <w:tc>
          <w:tcPr>
            <w:tcW w:w="887" w:type="pct"/>
            <w:shd w:val="clear" w:color="auto" w:fill="auto"/>
            <w:noWrap/>
            <w:vAlign w:val="center"/>
          </w:tcPr>
          <w:p w14:paraId="6754E516" w14:textId="77777777" w:rsidR="00335619" w:rsidRPr="0023367D" w:rsidRDefault="00335619" w:rsidP="00335619">
            <w:pPr>
              <w:jc w:val="center"/>
              <w:rPr>
                <w:rFonts w:eastAsia="Calibri"/>
                <w:sz w:val="22"/>
                <w:szCs w:val="22"/>
              </w:rPr>
            </w:pPr>
            <w:r w:rsidRPr="0023367D">
              <w:rPr>
                <w:rFonts w:eastAsia="Calibri"/>
                <w:sz w:val="22"/>
                <w:szCs w:val="22"/>
              </w:rPr>
              <w:t>499</w:t>
            </w:r>
          </w:p>
        </w:tc>
        <w:tc>
          <w:tcPr>
            <w:tcW w:w="1687" w:type="pct"/>
            <w:shd w:val="clear" w:color="auto" w:fill="auto"/>
            <w:noWrap/>
            <w:vAlign w:val="center"/>
          </w:tcPr>
          <w:p w14:paraId="3EE5722E" w14:textId="77777777" w:rsidR="00335619" w:rsidRPr="0023367D" w:rsidRDefault="00335619" w:rsidP="00335619">
            <w:pPr>
              <w:jc w:val="center"/>
              <w:rPr>
                <w:rFonts w:eastAsia="Calibri"/>
                <w:sz w:val="22"/>
                <w:szCs w:val="22"/>
              </w:rPr>
            </w:pPr>
            <w:r w:rsidRPr="0023367D">
              <w:rPr>
                <w:rFonts w:eastAsia="Calibri"/>
                <w:sz w:val="22"/>
                <w:szCs w:val="22"/>
              </w:rPr>
              <w:t>2.96</w:t>
            </w:r>
          </w:p>
        </w:tc>
      </w:tr>
      <w:tr w:rsidR="00335619" w:rsidRPr="0023367D" w14:paraId="7C048B7F" w14:textId="77777777" w:rsidTr="007A2DFE">
        <w:trPr>
          <w:trHeight w:val="101"/>
          <w:jc w:val="center"/>
        </w:trPr>
        <w:tc>
          <w:tcPr>
            <w:tcW w:w="1475" w:type="pct"/>
            <w:shd w:val="clear" w:color="auto" w:fill="auto"/>
            <w:noWrap/>
            <w:vAlign w:val="center"/>
          </w:tcPr>
          <w:p w14:paraId="3550F535" w14:textId="77777777" w:rsidR="00335619" w:rsidRPr="0023367D" w:rsidRDefault="00335619" w:rsidP="007A2DFE">
            <w:pPr>
              <w:ind w:left="295"/>
              <w:jc w:val="center"/>
              <w:rPr>
                <w:rFonts w:eastAsia="Calibri"/>
                <w:sz w:val="22"/>
                <w:szCs w:val="22"/>
              </w:rPr>
            </w:pPr>
            <w:r w:rsidRPr="0023367D">
              <w:rPr>
                <w:rFonts w:eastAsia="Calibri"/>
                <w:sz w:val="22"/>
                <w:szCs w:val="22"/>
              </w:rPr>
              <w:t>1986</w:t>
            </w:r>
          </w:p>
        </w:tc>
        <w:tc>
          <w:tcPr>
            <w:tcW w:w="951" w:type="pct"/>
            <w:shd w:val="clear" w:color="auto" w:fill="auto"/>
            <w:noWrap/>
            <w:vAlign w:val="center"/>
          </w:tcPr>
          <w:p w14:paraId="7DDBAFC4" w14:textId="77777777" w:rsidR="00335619" w:rsidRPr="0023367D" w:rsidRDefault="00335619" w:rsidP="00335619">
            <w:pPr>
              <w:jc w:val="center"/>
              <w:rPr>
                <w:rFonts w:eastAsia="Calibri"/>
                <w:sz w:val="22"/>
                <w:szCs w:val="22"/>
              </w:rPr>
            </w:pPr>
            <w:r w:rsidRPr="0023367D">
              <w:rPr>
                <w:rFonts w:eastAsia="Calibri"/>
                <w:sz w:val="22"/>
                <w:szCs w:val="22"/>
              </w:rPr>
              <w:t>1,427</w:t>
            </w:r>
          </w:p>
        </w:tc>
        <w:tc>
          <w:tcPr>
            <w:tcW w:w="887" w:type="pct"/>
            <w:shd w:val="clear" w:color="auto" w:fill="auto"/>
            <w:noWrap/>
            <w:vAlign w:val="center"/>
          </w:tcPr>
          <w:p w14:paraId="6FF2F746" w14:textId="77777777" w:rsidR="00335619" w:rsidRPr="0023367D" w:rsidRDefault="00335619" w:rsidP="00335619">
            <w:pPr>
              <w:jc w:val="center"/>
              <w:rPr>
                <w:rFonts w:eastAsia="Calibri"/>
                <w:sz w:val="22"/>
                <w:szCs w:val="22"/>
              </w:rPr>
            </w:pPr>
            <w:r w:rsidRPr="0023367D">
              <w:rPr>
                <w:rFonts w:eastAsia="Calibri"/>
                <w:sz w:val="22"/>
                <w:szCs w:val="22"/>
              </w:rPr>
              <w:t>500</w:t>
            </w:r>
          </w:p>
        </w:tc>
        <w:tc>
          <w:tcPr>
            <w:tcW w:w="1687" w:type="pct"/>
            <w:shd w:val="clear" w:color="auto" w:fill="auto"/>
            <w:noWrap/>
            <w:vAlign w:val="center"/>
          </w:tcPr>
          <w:p w14:paraId="5705290C" w14:textId="77777777" w:rsidR="00335619" w:rsidRPr="0023367D" w:rsidRDefault="00335619" w:rsidP="00335619">
            <w:pPr>
              <w:jc w:val="center"/>
              <w:rPr>
                <w:rFonts w:eastAsia="Calibri"/>
                <w:sz w:val="22"/>
                <w:szCs w:val="22"/>
              </w:rPr>
            </w:pPr>
            <w:r w:rsidRPr="0023367D">
              <w:rPr>
                <w:rFonts w:eastAsia="Calibri"/>
                <w:sz w:val="22"/>
                <w:szCs w:val="22"/>
              </w:rPr>
              <w:t>2.85</w:t>
            </w:r>
          </w:p>
        </w:tc>
      </w:tr>
      <w:tr w:rsidR="00335619" w:rsidRPr="0023367D" w14:paraId="3BA5F354" w14:textId="77777777" w:rsidTr="007A2DFE">
        <w:trPr>
          <w:trHeight w:val="101"/>
          <w:jc w:val="center"/>
        </w:trPr>
        <w:tc>
          <w:tcPr>
            <w:tcW w:w="1475" w:type="pct"/>
            <w:shd w:val="clear" w:color="auto" w:fill="auto"/>
            <w:noWrap/>
            <w:vAlign w:val="center"/>
          </w:tcPr>
          <w:p w14:paraId="556874AE" w14:textId="77777777" w:rsidR="00335619" w:rsidRPr="0023367D" w:rsidRDefault="00335619" w:rsidP="007A2DFE">
            <w:pPr>
              <w:ind w:left="295"/>
              <w:jc w:val="center"/>
              <w:rPr>
                <w:rFonts w:eastAsia="Calibri"/>
                <w:sz w:val="22"/>
                <w:szCs w:val="22"/>
              </w:rPr>
            </w:pPr>
            <w:r w:rsidRPr="0023367D">
              <w:rPr>
                <w:rFonts w:eastAsia="Calibri"/>
                <w:sz w:val="22"/>
                <w:szCs w:val="22"/>
              </w:rPr>
              <w:t>1987</w:t>
            </w:r>
          </w:p>
        </w:tc>
        <w:tc>
          <w:tcPr>
            <w:tcW w:w="951" w:type="pct"/>
            <w:shd w:val="clear" w:color="auto" w:fill="auto"/>
            <w:noWrap/>
            <w:vAlign w:val="center"/>
          </w:tcPr>
          <w:p w14:paraId="235126A2" w14:textId="77777777" w:rsidR="00335619" w:rsidRPr="0023367D" w:rsidRDefault="00335619" w:rsidP="00335619">
            <w:pPr>
              <w:jc w:val="center"/>
              <w:rPr>
                <w:rFonts w:eastAsia="Calibri"/>
                <w:sz w:val="22"/>
                <w:szCs w:val="22"/>
              </w:rPr>
            </w:pPr>
            <w:r w:rsidRPr="0023367D">
              <w:rPr>
                <w:rFonts w:eastAsia="Calibri"/>
                <w:sz w:val="22"/>
                <w:szCs w:val="22"/>
              </w:rPr>
              <w:t>1,423</w:t>
            </w:r>
          </w:p>
        </w:tc>
        <w:tc>
          <w:tcPr>
            <w:tcW w:w="887" w:type="pct"/>
            <w:shd w:val="clear" w:color="auto" w:fill="auto"/>
            <w:noWrap/>
            <w:vAlign w:val="center"/>
          </w:tcPr>
          <w:p w14:paraId="7B43CC25" w14:textId="77777777" w:rsidR="00335619" w:rsidRPr="0023367D" w:rsidRDefault="00335619" w:rsidP="00335619">
            <w:pPr>
              <w:jc w:val="center"/>
              <w:rPr>
                <w:rFonts w:eastAsia="Calibri"/>
                <w:sz w:val="22"/>
                <w:szCs w:val="22"/>
              </w:rPr>
            </w:pPr>
            <w:r w:rsidRPr="0023367D">
              <w:rPr>
                <w:rFonts w:eastAsia="Calibri"/>
                <w:sz w:val="22"/>
                <w:szCs w:val="22"/>
              </w:rPr>
              <w:t>496</w:t>
            </w:r>
          </w:p>
        </w:tc>
        <w:tc>
          <w:tcPr>
            <w:tcW w:w="1687" w:type="pct"/>
            <w:shd w:val="clear" w:color="auto" w:fill="auto"/>
            <w:noWrap/>
            <w:vAlign w:val="center"/>
          </w:tcPr>
          <w:p w14:paraId="72FBA997" w14:textId="77777777" w:rsidR="00335619" w:rsidRPr="0023367D" w:rsidRDefault="00335619" w:rsidP="00335619">
            <w:pPr>
              <w:jc w:val="center"/>
              <w:rPr>
                <w:rFonts w:eastAsia="Calibri"/>
                <w:sz w:val="22"/>
                <w:szCs w:val="22"/>
              </w:rPr>
            </w:pPr>
            <w:r w:rsidRPr="0023367D">
              <w:rPr>
                <w:rFonts w:eastAsia="Calibri"/>
                <w:sz w:val="22"/>
                <w:szCs w:val="22"/>
              </w:rPr>
              <w:t>2.87</w:t>
            </w:r>
          </w:p>
        </w:tc>
      </w:tr>
      <w:tr w:rsidR="00335619" w:rsidRPr="0023367D" w14:paraId="427815A6" w14:textId="77777777" w:rsidTr="007A2DFE">
        <w:trPr>
          <w:trHeight w:val="101"/>
          <w:jc w:val="center"/>
        </w:trPr>
        <w:tc>
          <w:tcPr>
            <w:tcW w:w="1475" w:type="pct"/>
            <w:shd w:val="clear" w:color="auto" w:fill="auto"/>
            <w:noWrap/>
            <w:vAlign w:val="center"/>
          </w:tcPr>
          <w:p w14:paraId="68749F86" w14:textId="77777777" w:rsidR="00335619" w:rsidRPr="0023367D" w:rsidRDefault="00335619" w:rsidP="007A2DFE">
            <w:pPr>
              <w:ind w:left="295"/>
              <w:jc w:val="center"/>
              <w:rPr>
                <w:rFonts w:eastAsia="Calibri"/>
                <w:sz w:val="22"/>
                <w:szCs w:val="22"/>
              </w:rPr>
            </w:pPr>
            <w:r w:rsidRPr="0023367D">
              <w:rPr>
                <w:rFonts w:eastAsia="Calibri"/>
                <w:sz w:val="22"/>
                <w:szCs w:val="22"/>
              </w:rPr>
              <w:t>1988</w:t>
            </w:r>
          </w:p>
        </w:tc>
        <w:tc>
          <w:tcPr>
            <w:tcW w:w="951" w:type="pct"/>
            <w:shd w:val="clear" w:color="auto" w:fill="auto"/>
            <w:noWrap/>
            <w:vAlign w:val="center"/>
          </w:tcPr>
          <w:p w14:paraId="5D18D8DB" w14:textId="77777777" w:rsidR="00335619" w:rsidRPr="0023367D" w:rsidRDefault="00335619" w:rsidP="00335619">
            <w:pPr>
              <w:jc w:val="center"/>
              <w:rPr>
                <w:rFonts w:eastAsia="Calibri"/>
                <w:sz w:val="22"/>
                <w:szCs w:val="22"/>
              </w:rPr>
            </w:pPr>
            <w:r w:rsidRPr="0023367D">
              <w:rPr>
                <w:rFonts w:eastAsia="Calibri"/>
                <w:sz w:val="22"/>
                <w:szCs w:val="22"/>
              </w:rPr>
              <w:t>1,398</w:t>
            </w:r>
          </w:p>
        </w:tc>
        <w:tc>
          <w:tcPr>
            <w:tcW w:w="887" w:type="pct"/>
            <w:shd w:val="clear" w:color="auto" w:fill="auto"/>
            <w:noWrap/>
            <w:vAlign w:val="center"/>
          </w:tcPr>
          <w:p w14:paraId="1D442918" w14:textId="77777777" w:rsidR="00335619" w:rsidRPr="0023367D" w:rsidRDefault="00335619" w:rsidP="00335619">
            <w:pPr>
              <w:jc w:val="center"/>
              <w:rPr>
                <w:rFonts w:eastAsia="Calibri"/>
                <w:sz w:val="22"/>
                <w:szCs w:val="22"/>
              </w:rPr>
            </w:pPr>
            <w:r w:rsidRPr="0023367D">
              <w:rPr>
                <w:rFonts w:eastAsia="Calibri"/>
                <w:sz w:val="22"/>
                <w:szCs w:val="22"/>
              </w:rPr>
              <w:t>496</w:t>
            </w:r>
          </w:p>
        </w:tc>
        <w:tc>
          <w:tcPr>
            <w:tcW w:w="1687" w:type="pct"/>
            <w:shd w:val="clear" w:color="auto" w:fill="auto"/>
            <w:noWrap/>
            <w:vAlign w:val="center"/>
          </w:tcPr>
          <w:p w14:paraId="5AE947E5" w14:textId="77777777" w:rsidR="00335619" w:rsidRPr="0023367D" w:rsidRDefault="00335619" w:rsidP="00335619">
            <w:pPr>
              <w:jc w:val="center"/>
              <w:rPr>
                <w:rFonts w:eastAsia="Calibri"/>
                <w:sz w:val="22"/>
                <w:szCs w:val="22"/>
              </w:rPr>
            </w:pPr>
            <w:r w:rsidRPr="0023367D">
              <w:rPr>
                <w:rFonts w:eastAsia="Calibri"/>
                <w:sz w:val="22"/>
                <w:szCs w:val="22"/>
              </w:rPr>
              <w:t>2.82</w:t>
            </w:r>
          </w:p>
        </w:tc>
      </w:tr>
      <w:tr w:rsidR="00335619" w:rsidRPr="0023367D" w14:paraId="191AE502" w14:textId="77777777" w:rsidTr="007A2DFE">
        <w:trPr>
          <w:trHeight w:val="101"/>
          <w:jc w:val="center"/>
        </w:trPr>
        <w:tc>
          <w:tcPr>
            <w:tcW w:w="1475" w:type="pct"/>
            <w:shd w:val="clear" w:color="auto" w:fill="auto"/>
            <w:noWrap/>
            <w:vAlign w:val="center"/>
          </w:tcPr>
          <w:p w14:paraId="13E36C01" w14:textId="77777777" w:rsidR="00335619" w:rsidRPr="0023367D" w:rsidRDefault="00335619" w:rsidP="007A2DFE">
            <w:pPr>
              <w:ind w:left="295"/>
              <w:jc w:val="center"/>
              <w:rPr>
                <w:rFonts w:eastAsia="Calibri"/>
                <w:sz w:val="22"/>
                <w:szCs w:val="22"/>
              </w:rPr>
            </w:pPr>
            <w:r w:rsidRPr="0023367D">
              <w:rPr>
                <w:rFonts w:eastAsia="Calibri"/>
                <w:sz w:val="22"/>
                <w:szCs w:val="22"/>
              </w:rPr>
              <w:t>1989</w:t>
            </w:r>
          </w:p>
        </w:tc>
        <w:tc>
          <w:tcPr>
            <w:tcW w:w="951" w:type="pct"/>
            <w:shd w:val="clear" w:color="auto" w:fill="auto"/>
            <w:noWrap/>
            <w:vAlign w:val="center"/>
          </w:tcPr>
          <w:p w14:paraId="16B32F05" w14:textId="77777777" w:rsidR="00335619" w:rsidRPr="0023367D" w:rsidRDefault="00335619" w:rsidP="00335619">
            <w:pPr>
              <w:jc w:val="center"/>
              <w:rPr>
                <w:rFonts w:eastAsia="Calibri"/>
                <w:sz w:val="22"/>
                <w:szCs w:val="22"/>
              </w:rPr>
            </w:pPr>
            <w:r w:rsidRPr="0023367D">
              <w:rPr>
                <w:rFonts w:eastAsia="Calibri"/>
                <w:sz w:val="22"/>
                <w:szCs w:val="22"/>
              </w:rPr>
              <w:t>1,418</w:t>
            </w:r>
          </w:p>
        </w:tc>
        <w:tc>
          <w:tcPr>
            <w:tcW w:w="887" w:type="pct"/>
            <w:shd w:val="clear" w:color="auto" w:fill="auto"/>
            <w:noWrap/>
            <w:vAlign w:val="center"/>
          </w:tcPr>
          <w:p w14:paraId="731F7F52" w14:textId="77777777" w:rsidR="00335619" w:rsidRPr="0023367D" w:rsidRDefault="00335619" w:rsidP="00335619">
            <w:pPr>
              <w:jc w:val="center"/>
              <w:rPr>
                <w:rFonts w:eastAsia="Calibri"/>
                <w:sz w:val="22"/>
                <w:szCs w:val="22"/>
              </w:rPr>
            </w:pPr>
            <w:r w:rsidRPr="0023367D">
              <w:rPr>
                <w:rFonts w:eastAsia="Calibri"/>
                <w:sz w:val="22"/>
                <w:szCs w:val="22"/>
              </w:rPr>
              <w:t>496</w:t>
            </w:r>
          </w:p>
        </w:tc>
        <w:tc>
          <w:tcPr>
            <w:tcW w:w="1687" w:type="pct"/>
            <w:shd w:val="clear" w:color="auto" w:fill="auto"/>
            <w:noWrap/>
            <w:vAlign w:val="center"/>
          </w:tcPr>
          <w:p w14:paraId="1A6468F3" w14:textId="77777777" w:rsidR="00335619" w:rsidRPr="0023367D" w:rsidRDefault="00335619" w:rsidP="00335619">
            <w:pPr>
              <w:jc w:val="center"/>
              <w:rPr>
                <w:rFonts w:eastAsia="Calibri"/>
                <w:sz w:val="22"/>
                <w:szCs w:val="22"/>
              </w:rPr>
            </w:pPr>
            <w:r w:rsidRPr="0023367D">
              <w:rPr>
                <w:rFonts w:eastAsia="Calibri"/>
                <w:sz w:val="22"/>
                <w:szCs w:val="22"/>
              </w:rPr>
              <w:t>2.86</w:t>
            </w:r>
          </w:p>
        </w:tc>
      </w:tr>
      <w:tr w:rsidR="00335619" w:rsidRPr="0023367D" w14:paraId="322BC79E" w14:textId="77777777" w:rsidTr="007A2DFE">
        <w:trPr>
          <w:trHeight w:val="101"/>
          <w:jc w:val="center"/>
        </w:trPr>
        <w:tc>
          <w:tcPr>
            <w:tcW w:w="1475" w:type="pct"/>
            <w:shd w:val="clear" w:color="auto" w:fill="auto"/>
            <w:noWrap/>
            <w:vAlign w:val="center"/>
          </w:tcPr>
          <w:p w14:paraId="37D03014" w14:textId="77777777" w:rsidR="00335619" w:rsidRPr="0023367D" w:rsidRDefault="00335619" w:rsidP="007A2DFE">
            <w:pPr>
              <w:ind w:left="295"/>
              <w:jc w:val="center"/>
              <w:rPr>
                <w:rFonts w:eastAsia="Calibri"/>
                <w:sz w:val="22"/>
                <w:szCs w:val="22"/>
              </w:rPr>
            </w:pPr>
            <w:r w:rsidRPr="0023367D">
              <w:rPr>
                <w:rFonts w:eastAsia="Calibri"/>
                <w:sz w:val="22"/>
                <w:szCs w:val="22"/>
              </w:rPr>
              <w:t>1990</w:t>
            </w:r>
          </w:p>
        </w:tc>
        <w:tc>
          <w:tcPr>
            <w:tcW w:w="951" w:type="pct"/>
            <w:shd w:val="clear" w:color="auto" w:fill="auto"/>
            <w:noWrap/>
            <w:vAlign w:val="center"/>
          </w:tcPr>
          <w:p w14:paraId="48D14B81" w14:textId="77777777" w:rsidR="00335619" w:rsidRPr="0023367D" w:rsidRDefault="00335619" w:rsidP="00335619">
            <w:pPr>
              <w:jc w:val="center"/>
              <w:rPr>
                <w:rFonts w:eastAsia="Calibri"/>
                <w:sz w:val="22"/>
                <w:szCs w:val="22"/>
              </w:rPr>
            </w:pPr>
            <w:r w:rsidRPr="0023367D">
              <w:rPr>
                <w:rFonts w:eastAsia="Calibri"/>
                <w:sz w:val="22"/>
                <w:szCs w:val="22"/>
              </w:rPr>
              <w:t>1,437</w:t>
            </w:r>
          </w:p>
        </w:tc>
        <w:tc>
          <w:tcPr>
            <w:tcW w:w="887" w:type="pct"/>
            <w:shd w:val="clear" w:color="auto" w:fill="auto"/>
            <w:noWrap/>
            <w:vAlign w:val="center"/>
          </w:tcPr>
          <w:p w14:paraId="204A5E58" w14:textId="77777777" w:rsidR="00335619" w:rsidRPr="0023367D" w:rsidRDefault="00335619" w:rsidP="00335619">
            <w:pPr>
              <w:jc w:val="center"/>
              <w:rPr>
                <w:rFonts w:eastAsia="Calibri"/>
                <w:sz w:val="22"/>
                <w:szCs w:val="22"/>
              </w:rPr>
            </w:pPr>
            <w:r w:rsidRPr="0023367D">
              <w:rPr>
                <w:rFonts w:eastAsia="Calibri"/>
                <w:sz w:val="22"/>
                <w:szCs w:val="22"/>
              </w:rPr>
              <w:t>501</w:t>
            </w:r>
          </w:p>
        </w:tc>
        <w:tc>
          <w:tcPr>
            <w:tcW w:w="1687" w:type="pct"/>
            <w:shd w:val="clear" w:color="auto" w:fill="auto"/>
            <w:noWrap/>
            <w:vAlign w:val="center"/>
          </w:tcPr>
          <w:p w14:paraId="60121E93" w14:textId="77777777" w:rsidR="00335619" w:rsidRPr="0023367D" w:rsidRDefault="00335619" w:rsidP="00335619">
            <w:pPr>
              <w:jc w:val="center"/>
              <w:rPr>
                <w:rFonts w:eastAsia="Calibri"/>
                <w:sz w:val="22"/>
                <w:szCs w:val="22"/>
              </w:rPr>
            </w:pPr>
            <w:r w:rsidRPr="0023367D">
              <w:rPr>
                <w:rFonts w:eastAsia="Calibri"/>
                <w:sz w:val="22"/>
                <w:szCs w:val="22"/>
              </w:rPr>
              <w:t>2.87</w:t>
            </w:r>
          </w:p>
        </w:tc>
      </w:tr>
      <w:tr w:rsidR="00335619" w:rsidRPr="0023367D" w14:paraId="0A583FF0" w14:textId="77777777" w:rsidTr="007A2DFE">
        <w:trPr>
          <w:trHeight w:val="101"/>
          <w:jc w:val="center"/>
        </w:trPr>
        <w:tc>
          <w:tcPr>
            <w:tcW w:w="1475" w:type="pct"/>
            <w:shd w:val="clear" w:color="auto" w:fill="auto"/>
            <w:noWrap/>
            <w:vAlign w:val="center"/>
          </w:tcPr>
          <w:p w14:paraId="5495C68C" w14:textId="77777777" w:rsidR="00335619" w:rsidRPr="0023367D" w:rsidRDefault="00335619" w:rsidP="007A2DFE">
            <w:pPr>
              <w:ind w:left="295"/>
              <w:jc w:val="center"/>
              <w:rPr>
                <w:rFonts w:eastAsia="Calibri"/>
                <w:sz w:val="22"/>
                <w:szCs w:val="22"/>
              </w:rPr>
            </w:pPr>
            <w:r w:rsidRPr="0023367D">
              <w:rPr>
                <w:rFonts w:eastAsia="Calibri"/>
                <w:sz w:val="22"/>
                <w:szCs w:val="22"/>
              </w:rPr>
              <w:t>1991</w:t>
            </w:r>
          </w:p>
        </w:tc>
        <w:tc>
          <w:tcPr>
            <w:tcW w:w="951" w:type="pct"/>
            <w:shd w:val="clear" w:color="auto" w:fill="auto"/>
            <w:noWrap/>
            <w:vAlign w:val="center"/>
          </w:tcPr>
          <w:p w14:paraId="10EED403" w14:textId="77777777" w:rsidR="00335619" w:rsidRPr="0023367D" w:rsidRDefault="00335619" w:rsidP="00335619">
            <w:pPr>
              <w:jc w:val="center"/>
              <w:rPr>
                <w:rFonts w:eastAsia="Calibri"/>
                <w:sz w:val="22"/>
                <w:szCs w:val="22"/>
              </w:rPr>
            </w:pPr>
            <w:r w:rsidRPr="0023367D">
              <w:rPr>
                <w:rFonts w:eastAsia="Calibri"/>
                <w:sz w:val="22"/>
                <w:szCs w:val="22"/>
              </w:rPr>
              <w:t>1,437</w:t>
            </w:r>
          </w:p>
        </w:tc>
        <w:tc>
          <w:tcPr>
            <w:tcW w:w="887" w:type="pct"/>
            <w:shd w:val="clear" w:color="auto" w:fill="auto"/>
            <w:noWrap/>
            <w:vAlign w:val="center"/>
          </w:tcPr>
          <w:p w14:paraId="354820D3" w14:textId="77777777" w:rsidR="00335619" w:rsidRPr="0023367D" w:rsidRDefault="00335619" w:rsidP="00335619">
            <w:pPr>
              <w:jc w:val="center"/>
              <w:rPr>
                <w:rFonts w:eastAsia="Calibri"/>
                <w:sz w:val="22"/>
                <w:szCs w:val="22"/>
              </w:rPr>
            </w:pPr>
            <w:r w:rsidRPr="0023367D">
              <w:rPr>
                <w:rFonts w:eastAsia="Calibri"/>
                <w:sz w:val="22"/>
                <w:szCs w:val="22"/>
              </w:rPr>
              <w:t>495</w:t>
            </w:r>
          </w:p>
        </w:tc>
        <w:tc>
          <w:tcPr>
            <w:tcW w:w="1687" w:type="pct"/>
            <w:shd w:val="clear" w:color="auto" w:fill="auto"/>
            <w:noWrap/>
            <w:vAlign w:val="center"/>
          </w:tcPr>
          <w:p w14:paraId="2B201F29" w14:textId="77777777" w:rsidR="00335619" w:rsidRPr="0023367D" w:rsidRDefault="00335619" w:rsidP="00335619">
            <w:pPr>
              <w:jc w:val="center"/>
              <w:rPr>
                <w:rFonts w:eastAsia="Calibri"/>
                <w:sz w:val="22"/>
                <w:szCs w:val="22"/>
              </w:rPr>
            </w:pPr>
            <w:r w:rsidRPr="0023367D">
              <w:rPr>
                <w:rFonts w:eastAsia="Calibri"/>
                <w:sz w:val="22"/>
                <w:szCs w:val="22"/>
              </w:rPr>
              <w:t>2.90</w:t>
            </w:r>
          </w:p>
        </w:tc>
      </w:tr>
      <w:tr w:rsidR="00335619" w:rsidRPr="0023367D" w14:paraId="4FD1E40F" w14:textId="77777777" w:rsidTr="007A2DFE">
        <w:trPr>
          <w:trHeight w:val="101"/>
          <w:jc w:val="center"/>
        </w:trPr>
        <w:tc>
          <w:tcPr>
            <w:tcW w:w="1475" w:type="pct"/>
            <w:shd w:val="clear" w:color="auto" w:fill="auto"/>
            <w:noWrap/>
            <w:vAlign w:val="center"/>
          </w:tcPr>
          <w:p w14:paraId="76999E12" w14:textId="77777777" w:rsidR="00335619" w:rsidRPr="0023367D" w:rsidRDefault="00335619" w:rsidP="007A2DFE">
            <w:pPr>
              <w:ind w:left="295"/>
              <w:jc w:val="center"/>
              <w:rPr>
                <w:rFonts w:eastAsia="Calibri"/>
                <w:sz w:val="22"/>
                <w:szCs w:val="22"/>
              </w:rPr>
            </w:pPr>
            <w:r w:rsidRPr="0023367D">
              <w:rPr>
                <w:rFonts w:eastAsia="Calibri"/>
                <w:sz w:val="22"/>
                <w:szCs w:val="22"/>
              </w:rPr>
              <w:t>1992</w:t>
            </w:r>
          </w:p>
        </w:tc>
        <w:tc>
          <w:tcPr>
            <w:tcW w:w="951" w:type="pct"/>
            <w:shd w:val="clear" w:color="auto" w:fill="auto"/>
            <w:noWrap/>
            <w:vAlign w:val="center"/>
          </w:tcPr>
          <w:p w14:paraId="7E52081B" w14:textId="77777777" w:rsidR="00335619" w:rsidRPr="0023367D" w:rsidRDefault="00335619" w:rsidP="00335619">
            <w:pPr>
              <w:jc w:val="center"/>
              <w:rPr>
                <w:rFonts w:eastAsia="Calibri"/>
                <w:sz w:val="22"/>
                <w:szCs w:val="22"/>
              </w:rPr>
            </w:pPr>
            <w:r w:rsidRPr="0023367D">
              <w:rPr>
                <w:rFonts w:eastAsia="Calibri"/>
                <w:sz w:val="22"/>
                <w:szCs w:val="22"/>
              </w:rPr>
              <w:t>1,356</w:t>
            </w:r>
          </w:p>
        </w:tc>
        <w:tc>
          <w:tcPr>
            <w:tcW w:w="887" w:type="pct"/>
            <w:shd w:val="clear" w:color="auto" w:fill="auto"/>
            <w:noWrap/>
            <w:vAlign w:val="center"/>
          </w:tcPr>
          <w:p w14:paraId="2C0DDF7B" w14:textId="77777777" w:rsidR="00335619" w:rsidRPr="0023367D" w:rsidRDefault="00335619" w:rsidP="00335619">
            <w:pPr>
              <w:jc w:val="center"/>
              <w:rPr>
                <w:rFonts w:eastAsia="Calibri"/>
                <w:sz w:val="22"/>
                <w:szCs w:val="22"/>
              </w:rPr>
            </w:pPr>
            <w:r w:rsidRPr="0023367D">
              <w:rPr>
                <w:rFonts w:eastAsia="Calibri"/>
                <w:sz w:val="22"/>
                <w:szCs w:val="22"/>
              </w:rPr>
              <w:t>464</w:t>
            </w:r>
          </w:p>
        </w:tc>
        <w:tc>
          <w:tcPr>
            <w:tcW w:w="1687" w:type="pct"/>
            <w:shd w:val="clear" w:color="auto" w:fill="auto"/>
            <w:noWrap/>
            <w:vAlign w:val="center"/>
          </w:tcPr>
          <w:p w14:paraId="2B434C46" w14:textId="77777777" w:rsidR="00335619" w:rsidRPr="0023367D" w:rsidRDefault="00335619" w:rsidP="00335619">
            <w:pPr>
              <w:jc w:val="center"/>
              <w:rPr>
                <w:rFonts w:eastAsia="Calibri"/>
                <w:sz w:val="22"/>
                <w:szCs w:val="22"/>
              </w:rPr>
            </w:pPr>
            <w:r w:rsidRPr="0023367D">
              <w:rPr>
                <w:rFonts w:eastAsia="Calibri"/>
                <w:sz w:val="22"/>
                <w:szCs w:val="22"/>
              </w:rPr>
              <w:t>2.92</w:t>
            </w:r>
          </w:p>
        </w:tc>
      </w:tr>
      <w:tr w:rsidR="00335619" w:rsidRPr="0023367D" w14:paraId="662FC9E0" w14:textId="77777777" w:rsidTr="007A2DFE">
        <w:trPr>
          <w:trHeight w:val="101"/>
          <w:jc w:val="center"/>
        </w:trPr>
        <w:tc>
          <w:tcPr>
            <w:tcW w:w="1475" w:type="pct"/>
            <w:shd w:val="clear" w:color="auto" w:fill="auto"/>
            <w:noWrap/>
            <w:vAlign w:val="center"/>
          </w:tcPr>
          <w:p w14:paraId="4226E9FE" w14:textId="77777777" w:rsidR="00335619" w:rsidRPr="0023367D" w:rsidRDefault="00335619" w:rsidP="007A2DFE">
            <w:pPr>
              <w:ind w:left="295"/>
              <w:jc w:val="center"/>
              <w:rPr>
                <w:rFonts w:eastAsia="Calibri"/>
                <w:sz w:val="22"/>
                <w:szCs w:val="22"/>
              </w:rPr>
            </w:pPr>
            <w:r w:rsidRPr="0023367D">
              <w:rPr>
                <w:rFonts w:eastAsia="Calibri"/>
                <w:sz w:val="22"/>
                <w:szCs w:val="22"/>
              </w:rPr>
              <w:t>1993</w:t>
            </w:r>
          </w:p>
        </w:tc>
        <w:tc>
          <w:tcPr>
            <w:tcW w:w="951" w:type="pct"/>
            <w:shd w:val="clear" w:color="auto" w:fill="auto"/>
            <w:noWrap/>
            <w:vAlign w:val="center"/>
          </w:tcPr>
          <w:p w14:paraId="69EB873E" w14:textId="77777777" w:rsidR="00335619" w:rsidRPr="0023367D" w:rsidRDefault="00335619" w:rsidP="00335619">
            <w:pPr>
              <w:jc w:val="center"/>
              <w:rPr>
                <w:rFonts w:eastAsia="Calibri"/>
                <w:sz w:val="22"/>
                <w:szCs w:val="22"/>
              </w:rPr>
            </w:pPr>
            <w:r w:rsidRPr="0023367D">
              <w:rPr>
                <w:rFonts w:eastAsia="Calibri"/>
                <w:sz w:val="22"/>
                <w:szCs w:val="22"/>
              </w:rPr>
              <w:t>1,332</w:t>
            </w:r>
          </w:p>
        </w:tc>
        <w:tc>
          <w:tcPr>
            <w:tcW w:w="887" w:type="pct"/>
            <w:shd w:val="clear" w:color="auto" w:fill="auto"/>
            <w:noWrap/>
            <w:vAlign w:val="center"/>
          </w:tcPr>
          <w:p w14:paraId="0BB04ACA" w14:textId="77777777" w:rsidR="00335619" w:rsidRPr="0023367D" w:rsidRDefault="00335619" w:rsidP="00335619">
            <w:pPr>
              <w:jc w:val="center"/>
              <w:rPr>
                <w:rFonts w:eastAsia="Calibri"/>
                <w:sz w:val="22"/>
                <w:szCs w:val="22"/>
              </w:rPr>
            </w:pPr>
            <w:r w:rsidRPr="0023367D">
              <w:rPr>
                <w:rFonts w:eastAsia="Calibri"/>
                <w:sz w:val="22"/>
                <w:szCs w:val="22"/>
              </w:rPr>
              <w:t>477</w:t>
            </w:r>
          </w:p>
        </w:tc>
        <w:tc>
          <w:tcPr>
            <w:tcW w:w="1687" w:type="pct"/>
            <w:shd w:val="clear" w:color="auto" w:fill="auto"/>
            <w:noWrap/>
            <w:vAlign w:val="center"/>
          </w:tcPr>
          <w:p w14:paraId="0531E521" w14:textId="77777777" w:rsidR="00335619" w:rsidRPr="0023367D" w:rsidRDefault="00335619" w:rsidP="00335619">
            <w:pPr>
              <w:jc w:val="center"/>
              <w:rPr>
                <w:rFonts w:eastAsia="Calibri"/>
                <w:sz w:val="22"/>
                <w:szCs w:val="22"/>
              </w:rPr>
            </w:pPr>
            <w:r w:rsidRPr="0023367D">
              <w:rPr>
                <w:rFonts w:eastAsia="Calibri"/>
                <w:sz w:val="22"/>
                <w:szCs w:val="22"/>
              </w:rPr>
              <w:t>2.79</w:t>
            </w:r>
          </w:p>
        </w:tc>
      </w:tr>
      <w:tr w:rsidR="00335619" w:rsidRPr="0023367D" w14:paraId="11EAFCE5" w14:textId="77777777" w:rsidTr="007A2DFE">
        <w:trPr>
          <w:trHeight w:val="101"/>
          <w:jc w:val="center"/>
        </w:trPr>
        <w:tc>
          <w:tcPr>
            <w:tcW w:w="1475" w:type="pct"/>
            <w:shd w:val="clear" w:color="auto" w:fill="auto"/>
            <w:noWrap/>
            <w:vAlign w:val="center"/>
          </w:tcPr>
          <w:p w14:paraId="52607AA1" w14:textId="77777777" w:rsidR="00335619" w:rsidRPr="0023367D" w:rsidRDefault="00335619" w:rsidP="007A2DFE">
            <w:pPr>
              <w:ind w:left="295"/>
              <w:jc w:val="center"/>
              <w:rPr>
                <w:rFonts w:eastAsia="Calibri"/>
                <w:sz w:val="22"/>
                <w:szCs w:val="22"/>
              </w:rPr>
            </w:pPr>
            <w:r w:rsidRPr="0023367D">
              <w:rPr>
                <w:rFonts w:eastAsia="Calibri"/>
                <w:sz w:val="22"/>
                <w:szCs w:val="22"/>
              </w:rPr>
              <w:t>1994</w:t>
            </w:r>
          </w:p>
        </w:tc>
        <w:tc>
          <w:tcPr>
            <w:tcW w:w="951" w:type="pct"/>
            <w:shd w:val="clear" w:color="auto" w:fill="auto"/>
            <w:noWrap/>
            <w:vAlign w:val="center"/>
          </w:tcPr>
          <w:p w14:paraId="5A4D4DAD" w14:textId="77777777" w:rsidR="00335619" w:rsidRPr="0023367D" w:rsidRDefault="00335619" w:rsidP="00335619">
            <w:pPr>
              <w:jc w:val="center"/>
              <w:rPr>
                <w:rFonts w:eastAsia="Calibri"/>
                <w:sz w:val="22"/>
                <w:szCs w:val="22"/>
              </w:rPr>
            </w:pPr>
            <w:r w:rsidRPr="0023367D">
              <w:rPr>
                <w:rFonts w:eastAsia="Calibri"/>
                <w:sz w:val="22"/>
                <w:szCs w:val="22"/>
              </w:rPr>
              <w:t>1,526</w:t>
            </w:r>
          </w:p>
        </w:tc>
        <w:tc>
          <w:tcPr>
            <w:tcW w:w="887" w:type="pct"/>
            <w:shd w:val="clear" w:color="auto" w:fill="auto"/>
            <w:noWrap/>
            <w:vAlign w:val="center"/>
          </w:tcPr>
          <w:p w14:paraId="62A9C1DC" w14:textId="77777777" w:rsidR="00335619" w:rsidRPr="0023367D" w:rsidRDefault="00335619" w:rsidP="00335619">
            <w:pPr>
              <w:jc w:val="center"/>
              <w:rPr>
                <w:rFonts w:eastAsia="Calibri"/>
                <w:sz w:val="22"/>
                <w:szCs w:val="22"/>
              </w:rPr>
            </w:pPr>
            <w:r w:rsidRPr="0023367D">
              <w:rPr>
                <w:rFonts w:eastAsia="Calibri"/>
                <w:sz w:val="22"/>
                <w:szCs w:val="22"/>
              </w:rPr>
              <w:t>526</w:t>
            </w:r>
          </w:p>
        </w:tc>
        <w:tc>
          <w:tcPr>
            <w:tcW w:w="1687" w:type="pct"/>
            <w:shd w:val="clear" w:color="auto" w:fill="auto"/>
            <w:noWrap/>
            <w:vAlign w:val="center"/>
          </w:tcPr>
          <w:p w14:paraId="257EF0DC" w14:textId="77777777" w:rsidR="00335619" w:rsidRPr="0023367D" w:rsidRDefault="00335619" w:rsidP="00335619">
            <w:pPr>
              <w:jc w:val="center"/>
              <w:rPr>
                <w:rFonts w:eastAsia="Calibri"/>
                <w:sz w:val="22"/>
                <w:szCs w:val="22"/>
              </w:rPr>
            </w:pPr>
            <w:r w:rsidRPr="0023367D">
              <w:rPr>
                <w:rFonts w:eastAsia="Calibri"/>
                <w:sz w:val="22"/>
                <w:szCs w:val="22"/>
              </w:rPr>
              <w:t>2.90</w:t>
            </w:r>
          </w:p>
        </w:tc>
      </w:tr>
      <w:tr w:rsidR="00335619" w:rsidRPr="0023367D" w14:paraId="5CCACD9D" w14:textId="77777777" w:rsidTr="007A2DFE">
        <w:trPr>
          <w:trHeight w:val="101"/>
          <w:jc w:val="center"/>
        </w:trPr>
        <w:tc>
          <w:tcPr>
            <w:tcW w:w="1475" w:type="pct"/>
            <w:shd w:val="clear" w:color="auto" w:fill="auto"/>
            <w:noWrap/>
            <w:vAlign w:val="center"/>
          </w:tcPr>
          <w:p w14:paraId="7EF48FEA" w14:textId="77777777" w:rsidR="00335619" w:rsidRPr="0023367D" w:rsidRDefault="00335619" w:rsidP="007A2DFE">
            <w:pPr>
              <w:ind w:left="295"/>
              <w:jc w:val="center"/>
              <w:rPr>
                <w:rFonts w:eastAsia="Calibri"/>
                <w:sz w:val="22"/>
                <w:szCs w:val="22"/>
              </w:rPr>
            </w:pPr>
            <w:r w:rsidRPr="0023367D">
              <w:rPr>
                <w:rFonts w:eastAsia="Calibri"/>
                <w:sz w:val="22"/>
                <w:szCs w:val="22"/>
              </w:rPr>
              <w:t>1995</w:t>
            </w:r>
          </w:p>
        </w:tc>
        <w:tc>
          <w:tcPr>
            <w:tcW w:w="951" w:type="pct"/>
            <w:shd w:val="clear" w:color="auto" w:fill="auto"/>
            <w:noWrap/>
            <w:vAlign w:val="center"/>
          </w:tcPr>
          <w:p w14:paraId="07420317" w14:textId="77777777" w:rsidR="00335619" w:rsidRPr="0023367D" w:rsidRDefault="00335619" w:rsidP="00335619">
            <w:pPr>
              <w:jc w:val="center"/>
              <w:rPr>
                <w:rFonts w:eastAsia="Calibri"/>
                <w:sz w:val="22"/>
                <w:szCs w:val="22"/>
              </w:rPr>
            </w:pPr>
            <w:r w:rsidRPr="0023367D">
              <w:rPr>
                <w:rFonts w:eastAsia="Calibri"/>
                <w:sz w:val="22"/>
                <w:szCs w:val="22"/>
              </w:rPr>
              <w:t>1,531</w:t>
            </w:r>
          </w:p>
        </w:tc>
        <w:tc>
          <w:tcPr>
            <w:tcW w:w="887" w:type="pct"/>
            <w:shd w:val="clear" w:color="auto" w:fill="auto"/>
            <w:noWrap/>
            <w:vAlign w:val="center"/>
          </w:tcPr>
          <w:p w14:paraId="0A7D3F3C" w14:textId="77777777" w:rsidR="00335619" w:rsidRPr="0023367D" w:rsidRDefault="00335619" w:rsidP="00335619">
            <w:pPr>
              <w:jc w:val="center"/>
              <w:rPr>
                <w:rFonts w:eastAsia="Calibri"/>
                <w:sz w:val="22"/>
                <w:szCs w:val="22"/>
              </w:rPr>
            </w:pPr>
            <w:r w:rsidRPr="0023367D">
              <w:rPr>
                <w:rFonts w:eastAsia="Calibri"/>
                <w:sz w:val="22"/>
                <w:szCs w:val="22"/>
              </w:rPr>
              <w:t>550</w:t>
            </w:r>
          </w:p>
        </w:tc>
        <w:tc>
          <w:tcPr>
            <w:tcW w:w="1687" w:type="pct"/>
            <w:shd w:val="clear" w:color="auto" w:fill="auto"/>
            <w:noWrap/>
            <w:vAlign w:val="center"/>
          </w:tcPr>
          <w:p w14:paraId="01EF84EB" w14:textId="77777777" w:rsidR="00335619" w:rsidRPr="0023367D" w:rsidRDefault="00335619" w:rsidP="00335619">
            <w:pPr>
              <w:jc w:val="center"/>
              <w:rPr>
                <w:rFonts w:eastAsia="Calibri"/>
                <w:sz w:val="22"/>
                <w:szCs w:val="22"/>
              </w:rPr>
            </w:pPr>
            <w:r w:rsidRPr="0023367D">
              <w:rPr>
                <w:rFonts w:eastAsia="Calibri"/>
                <w:sz w:val="22"/>
                <w:szCs w:val="22"/>
              </w:rPr>
              <w:t>2.78</w:t>
            </w:r>
          </w:p>
        </w:tc>
      </w:tr>
      <w:tr w:rsidR="00335619" w:rsidRPr="0023367D" w14:paraId="16828574" w14:textId="77777777" w:rsidTr="007A2DFE">
        <w:trPr>
          <w:trHeight w:val="101"/>
          <w:jc w:val="center"/>
        </w:trPr>
        <w:tc>
          <w:tcPr>
            <w:tcW w:w="1475" w:type="pct"/>
            <w:shd w:val="clear" w:color="auto" w:fill="auto"/>
            <w:noWrap/>
            <w:vAlign w:val="center"/>
          </w:tcPr>
          <w:p w14:paraId="6B3EDA40" w14:textId="77777777" w:rsidR="00335619" w:rsidRPr="0023367D" w:rsidRDefault="00335619" w:rsidP="007A2DFE">
            <w:pPr>
              <w:ind w:left="295"/>
              <w:jc w:val="center"/>
              <w:rPr>
                <w:rFonts w:eastAsia="Calibri"/>
                <w:sz w:val="22"/>
                <w:szCs w:val="22"/>
              </w:rPr>
            </w:pPr>
            <w:r w:rsidRPr="0023367D">
              <w:rPr>
                <w:rFonts w:eastAsia="Calibri"/>
                <w:sz w:val="22"/>
                <w:szCs w:val="22"/>
              </w:rPr>
              <w:t>1996</w:t>
            </w:r>
          </w:p>
        </w:tc>
        <w:tc>
          <w:tcPr>
            <w:tcW w:w="951" w:type="pct"/>
            <w:shd w:val="clear" w:color="auto" w:fill="auto"/>
            <w:noWrap/>
            <w:vAlign w:val="center"/>
          </w:tcPr>
          <w:p w14:paraId="6547AE67" w14:textId="77777777" w:rsidR="00335619" w:rsidRPr="0023367D" w:rsidRDefault="00335619" w:rsidP="00335619">
            <w:pPr>
              <w:jc w:val="center"/>
              <w:rPr>
                <w:rFonts w:eastAsia="Calibri"/>
                <w:sz w:val="22"/>
                <w:szCs w:val="22"/>
              </w:rPr>
            </w:pPr>
            <w:r w:rsidRPr="0023367D">
              <w:rPr>
                <w:rFonts w:eastAsia="Calibri"/>
                <w:sz w:val="22"/>
                <w:szCs w:val="22"/>
              </w:rPr>
              <w:t>1,695</w:t>
            </w:r>
          </w:p>
        </w:tc>
        <w:tc>
          <w:tcPr>
            <w:tcW w:w="887" w:type="pct"/>
            <w:shd w:val="clear" w:color="auto" w:fill="auto"/>
            <w:noWrap/>
            <w:vAlign w:val="center"/>
          </w:tcPr>
          <w:p w14:paraId="09FA87A7" w14:textId="77777777" w:rsidR="00335619" w:rsidRPr="0023367D" w:rsidRDefault="00335619" w:rsidP="00335619">
            <w:pPr>
              <w:jc w:val="center"/>
              <w:rPr>
                <w:rFonts w:eastAsia="Calibri"/>
                <w:sz w:val="22"/>
                <w:szCs w:val="22"/>
              </w:rPr>
            </w:pPr>
            <w:r w:rsidRPr="0023367D">
              <w:rPr>
                <w:rFonts w:eastAsia="Calibri"/>
                <w:sz w:val="22"/>
                <w:szCs w:val="22"/>
              </w:rPr>
              <w:t>596</w:t>
            </w:r>
          </w:p>
        </w:tc>
        <w:tc>
          <w:tcPr>
            <w:tcW w:w="1687" w:type="pct"/>
            <w:shd w:val="clear" w:color="auto" w:fill="auto"/>
            <w:noWrap/>
            <w:vAlign w:val="center"/>
          </w:tcPr>
          <w:p w14:paraId="6B32CA29" w14:textId="77777777" w:rsidR="00335619" w:rsidRPr="0023367D" w:rsidRDefault="00335619" w:rsidP="00335619">
            <w:pPr>
              <w:jc w:val="center"/>
              <w:rPr>
                <w:rFonts w:eastAsia="Calibri"/>
                <w:sz w:val="22"/>
                <w:szCs w:val="22"/>
              </w:rPr>
            </w:pPr>
            <w:r w:rsidRPr="0023367D">
              <w:rPr>
                <w:rFonts w:eastAsia="Calibri"/>
                <w:sz w:val="22"/>
                <w:szCs w:val="22"/>
              </w:rPr>
              <w:t>2.84</w:t>
            </w:r>
          </w:p>
        </w:tc>
      </w:tr>
      <w:tr w:rsidR="00335619" w:rsidRPr="0023367D" w14:paraId="093E7ABB" w14:textId="77777777" w:rsidTr="007A2DFE">
        <w:trPr>
          <w:trHeight w:val="101"/>
          <w:jc w:val="center"/>
        </w:trPr>
        <w:tc>
          <w:tcPr>
            <w:tcW w:w="1475" w:type="pct"/>
            <w:shd w:val="clear" w:color="auto" w:fill="auto"/>
            <w:noWrap/>
            <w:vAlign w:val="center"/>
          </w:tcPr>
          <w:p w14:paraId="28465EAD" w14:textId="77777777" w:rsidR="00335619" w:rsidRPr="0023367D" w:rsidRDefault="00335619" w:rsidP="007A2DFE">
            <w:pPr>
              <w:ind w:left="295"/>
              <w:jc w:val="center"/>
              <w:rPr>
                <w:rFonts w:eastAsia="Calibri"/>
                <w:sz w:val="22"/>
                <w:szCs w:val="22"/>
              </w:rPr>
            </w:pPr>
            <w:r w:rsidRPr="0023367D">
              <w:rPr>
                <w:rFonts w:eastAsia="Calibri"/>
                <w:sz w:val="22"/>
                <w:szCs w:val="22"/>
              </w:rPr>
              <w:t>1997</w:t>
            </w:r>
          </w:p>
        </w:tc>
        <w:tc>
          <w:tcPr>
            <w:tcW w:w="951" w:type="pct"/>
            <w:shd w:val="clear" w:color="auto" w:fill="auto"/>
            <w:noWrap/>
            <w:vAlign w:val="center"/>
          </w:tcPr>
          <w:p w14:paraId="2EAADAC8" w14:textId="77777777" w:rsidR="00335619" w:rsidRPr="0023367D" w:rsidRDefault="00335619" w:rsidP="00335619">
            <w:pPr>
              <w:jc w:val="center"/>
              <w:rPr>
                <w:rFonts w:eastAsia="Calibri"/>
                <w:sz w:val="22"/>
                <w:szCs w:val="22"/>
              </w:rPr>
            </w:pPr>
            <w:r w:rsidRPr="0023367D">
              <w:rPr>
                <w:rFonts w:eastAsia="Calibri"/>
                <w:sz w:val="22"/>
                <w:szCs w:val="22"/>
              </w:rPr>
              <w:t>1,903</w:t>
            </w:r>
          </w:p>
        </w:tc>
        <w:tc>
          <w:tcPr>
            <w:tcW w:w="887" w:type="pct"/>
            <w:shd w:val="clear" w:color="auto" w:fill="auto"/>
            <w:noWrap/>
            <w:vAlign w:val="center"/>
          </w:tcPr>
          <w:p w14:paraId="6B97EC84" w14:textId="77777777" w:rsidR="00335619" w:rsidRPr="0023367D" w:rsidRDefault="00335619" w:rsidP="00335619">
            <w:pPr>
              <w:jc w:val="center"/>
              <w:rPr>
                <w:rFonts w:eastAsia="Calibri"/>
                <w:sz w:val="22"/>
                <w:szCs w:val="22"/>
              </w:rPr>
            </w:pPr>
            <w:r w:rsidRPr="0023367D">
              <w:rPr>
                <w:rFonts w:eastAsia="Calibri"/>
                <w:sz w:val="22"/>
                <w:szCs w:val="22"/>
              </w:rPr>
              <w:t>639</w:t>
            </w:r>
          </w:p>
        </w:tc>
        <w:tc>
          <w:tcPr>
            <w:tcW w:w="1687" w:type="pct"/>
            <w:shd w:val="clear" w:color="auto" w:fill="auto"/>
            <w:noWrap/>
            <w:vAlign w:val="center"/>
          </w:tcPr>
          <w:p w14:paraId="3E597731" w14:textId="77777777" w:rsidR="00335619" w:rsidRPr="0023367D" w:rsidRDefault="00335619" w:rsidP="00335619">
            <w:pPr>
              <w:jc w:val="center"/>
              <w:rPr>
                <w:rFonts w:eastAsia="Calibri"/>
                <w:sz w:val="22"/>
                <w:szCs w:val="22"/>
              </w:rPr>
            </w:pPr>
            <w:r w:rsidRPr="0023367D">
              <w:rPr>
                <w:rFonts w:eastAsia="Calibri"/>
                <w:sz w:val="22"/>
                <w:szCs w:val="22"/>
              </w:rPr>
              <w:t>2.98</w:t>
            </w:r>
          </w:p>
        </w:tc>
      </w:tr>
      <w:tr w:rsidR="00335619" w:rsidRPr="0023367D" w14:paraId="6A801B51" w14:textId="77777777" w:rsidTr="007A2DFE">
        <w:trPr>
          <w:trHeight w:val="101"/>
          <w:jc w:val="center"/>
        </w:trPr>
        <w:tc>
          <w:tcPr>
            <w:tcW w:w="1475" w:type="pct"/>
            <w:shd w:val="clear" w:color="auto" w:fill="auto"/>
            <w:noWrap/>
            <w:vAlign w:val="center"/>
          </w:tcPr>
          <w:p w14:paraId="3CF708F0" w14:textId="77777777" w:rsidR="00335619" w:rsidRPr="0023367D" w:rsidRDefault="00335619" w:rsidP="007A2DFE">
            <w:pPr>
              <w:ind w:left="295"/>
              <w:jc w:val="center"/>
              <w:rPr>
                <w:rFonts w:eastAsia="Calibri"/>
                <w:sz w:val="22"/>
                <w:szCs w:val="22"/>
              </w:rPr>
            </w:pPr>
            <w:r w:rsidRPr="0023367D">
              <w:rPr>
                <w:rFonts w:eastAsia="Calibri"/>
                <w:sz w:val="22"/>
                <w:szCs w:val="22"/>
              </w:rPr>
              <w:t>1998</w:t>
            </w:r>
          </w:p>
        </w:tc>
        <w:tc>
          <w:tcPr>
            <w:tcW w:w="951" w:type="pct"/>
            <w:shd w:val="clear" w:color="auto" w:fill="auto"/>
            <w:noWrap/>
            <w:vAlign w:val="center"/>
          </w:tcPr>
          <w:p w14:paraId="6C1EB115" w14:textId="77777777" w:rsidR="00335619" w:rsidRPr="0023367D" w:rsidRDefault="00335619" w:rsidP="00335619">
            <w:pPr>
              <w:jc w:val="center"/>
              <w:rPr>
                <w:rFonts w:eastAsia="Calibri"/>
                <w:sz w:val="22"/>
                <w:szCs w:val="22"/>
              </w:rPr>
            </w:pPr>
            <w:r w:rsidRPr="0023367D">
              <w:rPr>
                <w:rFonts w:eastAsia="Calibri"/>
                <w:sz w:val="22"/>
                <w:szCs w:val="22"/>
              </w:rPr>
              <w:t>2,183</w:t>
            </w:r>
          </w:p>
        </w:tc>
        <w:tc>
          <w:tcPr>
            <w:tcW w:w="887" w:type="pct"/>
            <w:shd w:val="clear" w:color="auto" w:fill="auto"/>
            <w:noWrap/>
            <w:vAlign w:val="center"/>
          </w:tcPr>
          <w:p w14:paraId="707C60EC" w14:textId="77777777" w:rsidR="00335619" w:rsidRPr="0023367D" w:rsidRDefault="00335619" w:rsidP="00335619">
            <w:pPr>
              <w:jc w:val="center"/>
              <w:rPr>
                <w:rFonts w:eastAsia="Calibri"/>
                <w:sz w:val="22"/>
                <w:szCs w:val="22"/>
              </w:rPr>
            </w:pPr>
            <w:r w:rsidRPr="0023367D">
              <w:rPr>
                <w:rFonts w:eastAsia="Calibri"/>
                <w:sz w:val="22"/>
                <w:szCs w:val="22"/>
              </w:rPr>
              <w:t>735</w:t>
            </w:r>
          </w:p>
        </w:tc>
        <w:tc>
          <w:tcPr>
            <w:tcW w:w="1687" w:type="pct"/>
            <w:shd w:val="clear" w:color="auto" w:fill="auto"/>
            <w:noWrap/>
            <w:vAlign w:val="center"/>
          </w:tcPr>
          <w:p w14:paraId="6E9F25F5" w14:textId="77777777" w:rsidR="00335619" w:rsidRPr="0023367D" w:rsidRDefault="00335619" w:rsidP="00335619">
            <w:pPr>
              <w:jc w:val="center"/>
              <w:rPr>
                <w:rFonts w:eastAsia="Calibri"/>
                <w:sz w:val="22"/>
                <w:szCs w:val="22"/>
              </w:rPr>
            </w:pPr>
            <w:r w:rsidRPr="0023367D">
              <w:rPr>
                <w:rFonts w:eastAsia="Calibri"/>
                <w:sz w:val="22"/>
                <w:szCs w:val="22"/>
              </w:rPr>
              <w:t>2.97</w:t>
            </w:r>
          </w:p>
        </w:tc>
      </w:tr>
      <w:tr w:rsidR="00335619" w:rsidRPr="0023367D" w14:paraId="3E79FD88" w14:textId="77777777" w:rsidTr="007A2DFE">
        <w:trPr>
          <w:trHeight w:val="101"/>
          <w:jc w:val="center"/>
        </w:trPr>
        <w:tc>
          <w:tcPr>
            <w:tcW w:w="1475" w:type="pct"/>
            <w:shd w:val="clear" w:color="auto" w:fill="auto"/>
            <w:noWrap/>
            <w:vAlign w:val="center"/>
          </w:tcPr>
          <w:p w14:paraId="4FA4E13E" w14:textId="77777777" w:rsidR="00335619" w:rsidRPr="0023367D" w:rsidRDefault="00335619" w:rsidP="007A2DFE">
            <w:pPr>
              <w:ind w:left="295"/>
              <w:jc w:val="center"/>
              <w:rPr>
                <w:rFonts w:eastAsia="Calibri"/>
                <w:sz w:val="22"/>
                <w:szCs w:val="22"/>
              </w:rPr>
            </w:pPr>
            <w:r w:rsidRPr="0023367D">
              <w:rPr>
                <w:rFonts w:eastAsia="Calibri"/>
                <w:sz w:val="22"/>
                <w:szCs w:val="22"/>
              </w:rPr>
              <w:t>1999</w:t>
            </w:r>
          </w:p>
        </w:tc>
        <w:tc>
          <w:tcPr>
            <w:tcW w:w="951" w:type="pct"/>
            <w:shd w:val="clear" w:color="auto" w:fill="auto"/>
            <w:noWrap/>
            <w:vAlign w:val="center"/>
          </w:tcPr>
          <w:p w14:paraId="0361FA2B" w14:textId="77777777" w:rsidR="00335619" w:rsidRPr="0023367D" w:rsidRDefault="00335619" w:rsidP="00335619">
            <w:pPr>
              <w:jc w:val="center"/>
              <w:rPr>
                <w:rFonts w:eastAsia="Calibri"/>
                <w:sz w:val="22"/>
                <w:szCs w:val="22"/>
              </w:rPr>
            </w:pPr>
            <w:r w:rsidRPr="0023367D">
              <w:rPr>
                <w:rFonts w:eastAsia="Calibri"/>
                <w:sz w:val="22"/>
                <w:szCs w:val="22"/>
              </w:rPr>
              <w:t>2,443</w:t>
            </w:r>
          </w:p>
        </w:tc>
        <w:tc>
          <w:tcPr>
            <w:tcW w:w="887" w:type="pct"/>
            <w:shd w:val="clear" w:color="auto" w:fill="auto"/>
            <w:noWrap/>
            <w:vAlign w:val="center"/>
          </w:tcPr>
          <w:p w14:paraId="60C6F3A6" w14:textId="77777777" w:rsidR="00335619" w:rsidRPr="0023367D" w:rsidRDefault="00335619" w:rsidP="00335619">
            <w:pPr>
              <w:jc w:val="center"/>
              <w:rPr>
                <w:rFonts w:eastAsia="Calibri"/>
                <w:sz w:val="22"/>
                <w:szCs w:val="22"/>
              </w:rPr>
            </w:pPr>
            <w:r w:rsidRPr="0023367D">
              <w:rPr>
                <w:rFonts w:eastAsia="Calibri"/>
                <w:sz w:val="22"/>
                <w:szCs w:val="22"/>
              </w:rPr>
              <w:t>789</w:t>
            </w:r>
          </w:p>
        </w:tc>
        <w:tc>
          <w:tcPr>
            <w:tcW w:w="1687" w:type="pct"/>
            <w:shd w:val="clear" w:color="auto" w:fill="auto"/>
            <w:noWrap/>
            <w:vAlign w:val="center"/>
          </w:tcPr>
          <w:p w14:paraId="4B7E11B4" w14:textId="77777777" w:rsidR="00335619" w:rsidRPr="0023367D" w:rsidRDefault="00335619" w:rsidP="00335619">
            <w:pPr>
              <w:jc w:val="center"/>
              <w:rPr>
                <w:rFonts w:eastAsia="Calibri"/>
                <w:sz w:val="22"/>
                <w:szCs w:val="22"/>
              </w:rPr>
            </w:pPr>
            <w:r w:rsidRPr="0023367D">
              <w:rPr>
                <w:rFonts w:eastAsia="Calibri"/>
                <w:sz w:val="22"/>
                <w:szCs w:val="22"/>
              </w:rPr>
              <w:t>3.10</w:t>
            </w:r>
          </w:p>
        </w:tc>
      </w:tr>
      <w:tr w:rsidR="00335619" w:rsidRPr="0023367D" w14:paraId="413216FE" w14:textId="77777777" w:rsidTr="007A2DFE">
        <w:trPr>
          <w:trHeight w:val="101"/>
          <w:jc w:val="center"/>
        </w:trPr>
        <w:tc>
          <w:tcPr>
            <w:tcW w:w="1475" w:type="pct"/>
            <w:shd w:val="clear" w:color="auto" w:fill="auto"/>
            <w:noWrap/>
            <w:vAlign w:val="center"/>
          </w:tcPr>
          <w:p w14:paraId="69002DC2" w14:textId="77777777" w:rsidR="00335619" w:rsidRPr="0023367D" w:rsidRDefault="00335619" w:rsidP="007A2DFE">
            <w:pPr>
              <w:ind w:left="295"/>
              <w:jc w:val="center"/>
              <w:rPr>
                <w:rFonts w:eastAsia="Calibri"/>
                <w:sz w:val="22"/>
                <w:szCs w:val="22"/>
              </w:rPr>
            </w:pPr>
            <w:r w:rsidRPr="0023367D">
              <w:rPr>
                <w:rFonts w:eastAsia="Calibri"/>
                <w:sz w:val="22"/>
                <w:szCs w:val="22"/>
              </w:rPr>
              <w:t>2000</w:t>
            </w:r>
          </w:p>
        </w:tc>
        <w:tc>
          <w:tcPr>
            <w:tcW w:w="951" w:type="pct"/>
            <w:shd w:val="clear" w:color="auto" w:fill="auto"/>
            <w:noWrap/>
            <w:vAlign w:val="center"/>
          </w:tcPr>
          <w:p w14:paraId="46E86622" w14:textId="77777777" w:rsidR="00335619" w:rsidRPr="0023367D" w:rsidRDefault="00335619" w:rsidP="00335619">
            <w:pPr>
              <w:jc w:val="center"/>
              <w:rPr>
                <w:rFonts w:eastAsia="Calibri"/>
                <w:sz w:val="22"/>
                <w:szCs w:val="22"/>
              </w:rPr>
            </w:pPr>
            <w:r w:rsidRPr="0023367D">
              <w:rPr>
                <w:rFonts w:eastAsia="Calibri"/>
                <w:sz w:val="22"/>
                <w:szCs w:val="22"/>
              </w:rPr>
              <w:t>2,505</w:t>
            </w:r>
          </w:p>
        </w:tc>
        <w:tc>
          <w:tcPr>
            <w:tcW w:w="887" w:type="pct"/>
            <w:shd w:val="clear" w:color="auto" w:fill="auto"/>
            <w:noWrap/>
            <w:vAlign w:val="center"/>
          </w:tcPr>
          <w:p w14:paraId="5CA30D74" w14:textId="77777777" w:rsidR="00335619" w:rsidRPr="0023367D" w:rsidRDefault="00335619" w:rsidP="00335619">
            <w:pPr>
              <w:jc w:val="center"/>
              <w:rPr>
                <w:rFonts w:eastAsia="Calibri"/>
                <w:sz w:val="22"/>
                <w:szCs w:val="22"/>
              </w:rPr>
            </w:pPr>
            <w:r w:rsidRPr="0023367D">
              <w:rPr>
                <w:rFonts w:eastAsia="Calibri"/>
                <w:sz w:val="22"/>
                <w:szCs w:val="22"/>
              </w:rPr>
              <w:t>802</w:t>
            </w:r>
          </w:p>
        </w:tc>
        <w:tc>
          <w:tcPr>
            <w:tcW w:w="1687" w:type="pct"/>
            <w:shd w:val="clear" w:color="auto" w:fill="auto"/>
            <w:noWrap/>
            <w:vAlign w:val="center"/>
          </w:tcPr>
          <w:p w14:paraId="7647F294" w14:textId="77777777" w:rsidR="00335619" w:rsidRPr="0023367D" w:rsidRDefault="00335619" w:rsidP="00335619">
            <w:pPr>
              <w:jc w:val="center"/>
              <w:rPr>
                <w:rFonts w:eastAsia="Calibri"/>
                <w:sz w:val="22"/>
                <w:szCs w:val="22"/>
              </w:rPr>
            </w:pPr>
            <w:r w:rsidRPr="0023367D">
              <w:rPr>
                <w:rFonts w:eastAsia="Calibri"/>
                <w:sz w:val="22"/>
                <w:szCs w:val="22"/>
              </w:rPr>
              <w:t>3.12</w:t>
            </w:r>
          </w:p>
        </w:tc>
      </w:tr>
      <w:tr w:rsidR="00335619" w:rsidRPr="0023367D" w14:paraId="24F68E8E" w14:textId="77777777" w:rsidTr="007A2DFE">
        <w:trPr>
          <w:trHeight w:val="101"/>
          <w:jc w:val="center"/>
        </w:trPr>
        <w:tc>
          <w:tcPr>
            <w:tcW w:w="1475" w:type="pct"/>
            <w:shd w:val="clear" w:color="auto" w:fill="auto"/>
            <w:noWrap/>
            <w:vAlign w:val="center"/>
          </w:tcPr>
          <w:p w14:paraId="39A8F899" w14:textId="77777777" w:rsidR="00335619" w:rsidRPr="0023367D" w:rsidRDefault="00335619" w:rsidP="007A2DFE">
            <w:pPr>
              <w:ind w:left="295"/>
              <w:jc w:val="center"/>
              <w:rPr>
                <w:rFonts w:eastAsia="Calibri"/>
                <w:sz w:val="22"/>
                <w:szCs w:val="22"/>
              </w:rPr>
            </w:pPr>
            <w:r w:rsidRPr="0023367D">
              <w:rPr>
                <w:rFonts w:eastAsia="Calibri"/>
                <w:sz w:val="22"/>
                <w:szCs w:val="22"/>
              </w:rPr>
              <w:t>2001</w:t>
            </w:r>
          </w:p>
        </w:tc>
        <w:tc>
          <w:tcPr>
            <w:tcW w:w="951" w:type="pct"/>
            <w:shd w:val="clear" w:color="auto" w:fill="auto"/>
            <w:noWrap/>
            <w:vAlign w:val="center"/>
          </w:tcPr>
          <w:p w14:paraId="2255D5C2" w14:textId="77777777" w:rsidR="00335619" w:rsidRPr="0023367D" w:rsidRDefault="00335619" w:rsidP="00335619">
            <w:pPr>
              <w:jc w:val="center"/>
              <w:rPr>
                <w:rFonts w:eastAsia="Calibri"/>
                <w:sz w:val="22"/>
                <w:szCs w:val="22"/>
              </w:rPr>
            </w:pPr>
            <w:r w:rsidRPr="0023367D">
              <w:rPr>
                <w:rFonts w:eastAsia="Calibri"/>
                <w:sz w:val="22"/>
                <w:szCs w:val="22"/>
              </w:rPr>
              <w:t>2,387</w:t>
            </w:r>
          </w:p>
        </w:tc>
        <w:tc>
          <w:tcPr>
            <w:tcW w:w="887" w:type="pct"/>
            <w:shd w:val="clear" w:color="auto" w:fill="auto"/>
            <w:noWrap/>
            <w:vAlign w:val="center"/>
          </w:tcPr>
          <w:p w14:paraId="51F63497" w14:textId="77777777" w:rsidR="00335619" w:rsidRPr="0023367D" w:rsidRDefault="00335619" w:rsidP="00335619">
            <w:pPr>
              <w:jc w:val="center"/>
              <w:rPr>
                <w:rFonts w:eastAsia="Calibri"/>
                <w:sz w:val="22"/>
                <w:szCs w:val="22"/>
              </w:rPr>
            </w:pPr>
            <w:r w:rsidRPr="0023367D">
              <w:rPr>
                <w:rFonts w:eastAsia="Calibri"/>
                <w:sz w:val="22"/>
                <w:szCs w:val="22"/>
              </w:rPr>
              <w:t>758</w:t>
            </w:r>
          </w:p>
        </w:tc>
        <w:tc>
          <w:tcPr>
            <w:tcW w:w="1687" w:type="pct"/>
            <w:shd w:val="clear" w:color="auto" w:fill="auto"/>
            <w:noWrap/>
            <w:vAlign w:val="center"/>
          </w:tcPr>
          <w:p w14:paraId="6D4C58C6" w14:textId="77777777" w:rsidR="00335619" w:rsidRPr="0023367D" w:rsidRDefault="00335619" w:rsidP="00335619">
            <w:pPr>
              <w:jc w:val="center"/>
              <w:rPr>
                <w:rFonts w:eastAsia="Calibri"/>
                <w:sz w:val="22"/>
                <w:szCs w:val="22"/>
              </w:rPr>
            </w:pPr>
            <w:r w:rsidRPr="0023367D">
              <w:rPr>
                <w:rFonts w:eastAsia="Calibri"/>
                <w:sz w:val="22"/>
                <w:szCs w:val="22"/>
              </w:rPr>
              <w:t>3.15</w:t>
            </w:r>
          </w:p>
        </w:tc>
      </w:tr>
      <w:tr w:rsidR="00335619" w:rsidRPr="0023367D" w14:paraId="7AEC89CC" w14:textId="77777777" w:rsidTr="007A2DFE">
        <w:trPr>
          <w:trHeight w:val="101"/>
          <w:jc w:val="center"/>
        </w:trPr>
        <w:tc>
          <w:tcPr>
            <w:tcW w:w="1475" w:type="pct"/>
            <w:shd w:val="clear" w:color="auto" w:fill="auto"/>
            <w:noWrap/>
            <w:vAlign w:val="center"/>
          </w:tcPr>
          <w:p w14:paraId="21C7A359" w14:textId="77777777" w:rsidR="00335619" w:rsidRPr="0023367D" w:rsidRDefault="00335619" w:rsidP="007A2DFE">
            <w:pPr>
              <w:ind w:left="295"/>
              <w:jc w:val="center"/>
              <w:rPr>
                <w:rFonts w:eastAsia="Calibri"/>
                <w:sz w:val="22"/>
                <w:szCs w:val="22"/>
              </w:rPr>
            </w:pPr>
            <w:r w:rsidRPr="0023367D">
              <w:rPr>
                <w:rFonts w:eastAsia="Calibri"/>
                <w:sz w:val="22"/>
                <w:szCs w:val="22"/>
              </w:rPr>
              <w:t>2002</w:t>
            </w:r>
          </w:p>
        </w:tc>
        <w:tc>
          <w:tcPr>
            <w:tcW w:w="951" w:type="pct"/>
            <w:shd w:val="clear" w:color="auto" w:fill="auto"/>
            <w:noWrap/>
            <w:vAlign w:val="center"/>
          </w:tcPr>
          <w:p w14:paraId="02D244EF" w14:textId="77777777" w:rsidR="00335619" w:rsidRPr="0023367D" w:rsidRDefault="00335619" w:rsidP="00335619">
            <w:pPr>
              <w:jc w:val="center"/>
              <w:rPr>
                <w:rFonts w:eastAsia="Calibri"/>
                <w:sz w:val="22"/>
                <w:szCs w:val="22"/>
              </w:rPr>
            </w:pPr>
            <w:r w:rsidRPr="0023367D">
              <w:rPr>
                <w:rFonts w:eastAsia="Calibri"/>
                <w:sz w:val="22"/>
                <w:szCs w:val="22"/>
              </w:rPr>
              <w:t>2,508</w:t>
            </w:r>
          </w:p>
        </w:tc>
        <w:tc>
          <w:tcPr>
            <w:tcW w:w="887" w:type="pct"/>
            <w:shd w:val="clear" w:color="auto" w:fill="auto"/>
            <w:noWrap/>
            <w:vAlign w:val="center"/>
          </w:tcPr>
          <w:p w14:paraId="57AB2FC2" w14:textId="77777777" w:rsidR="00335619" w:rsidRPr="0023367D" w:rsidRDefault="00335619" w:rsidP="00335619">
            <w:pPr>
              <w:jc w:val="center"/>
              <w:rPr>
                <w:rFonts w:eastAsia="Calibri"/>
                <w:sz w:val="22"/>
                <w:szCs w:val="22"/>
              </w:rPr>
            </w:pPr>
            <w:r w:rsidRPr="0023367D">
              <w:rPr>
                <w:rFonts w:eastAsia="Calibri"/>
                <w:sz w:val="22"/>
                <w:szCs w:val="22"/>
              </w:rPr>
              <w:t>804</w:t>
            </w:r>
          </w:p>
        </w:tc>
        <w:tc>
          <w:tcPr>
            <w:tcW w:w="1687" w:type="pct"/>
            <w:shd w:val="clear" w:color="auto" w:fill="auto"/>
            <w:noWrap/>
            <w:vAlign w:val="center"/>
          </w:tcPr>
          <w:p w14:paraId="5D540263" w14:textId="77777777" w:rsidR="00335619" w:rsidRPr="0023367D" w:rsidRDefault="00335619" w:rsidP="00335619">
            <w:pPr>
              <w:jc w:val="center"/>
              <w:rPr>
                <w:rFonts w:eastAsia="Calibri"/>
                <w:sz w:val="22"/>
                <w:szCs w:val="22"/>
              </w:rPr>
            </w:pPr>
            <w:r w:rsidRPr="0023367D">
              <w:rPr>
                <w:rFonts w:eastAsia="Calibri"/>
                <w:sz w:val="22"/>
                <w:szCs w:val="22"/>
              </w:rPr>
              <w:t>3.12</w:t>
            </w:r>
          </w:p>
        </w:tc>
      </w:tr>
      <w:tr w:rsidR="00335619" w:rsidRPr="0023367D" w14:paraId="45CF19F8" w14:textId="77777777" w:rsidTr="007A2DFE">
        <w:trPr>
          <w:trHeight w:val="101"/>
          <w:jc w:val="center"/>
        </w:trPr>
        <w:tc>
          <w:tcPr>
            <w:tcW w:w="1475" w:type="pct"/>
            <w:shd w:val="clear" w:color="auto" w:fill="auto"/>
            <w:noWrap/>
            <w:vAlign w:val="center"/>
          </w:tcPr>
          <w:p w14:paraId="5F6F3E49" w14:textId="77777777" w:rsidR="00335619" w:rsidRPr="0023367D" w:rsidRDefault="00335619" w:rsidP="007A2DFE">
            <w:pPr>
              <w:ind w:left="295"/>
              <w:jc w:val="center"/>
              <w:rPr>
                <w:rFonts w:eastAsia="Calibri"/>
                <w:sz w:val="22"/>
                <w:szCs w:val="22"/>
              </w:rPr>
            </w:pPr>
            <w:r w:rsidRPr="0023367D">
              <w:rPr>
                <w:rFonts w:eastAsia="Calibri"/>
                <w:sz w:val="22"/>
                <w:szCs w:val="22"/>
              </w:rPr>
              <w:t>2003</w:t>
            </w:r>
          </w:p>
        </w:tc>
        <w:tc>
          <w:tcPr>
            <w:tcW w:w="951" w:type="pct"/>
            <w:shd w:val="clear" w:color="auto" w:fill="auto"/>
            <w:noWrap/>
            <w:vAlign w:val="center"/>
          </w:tcPr>
          <w:p w14:paraId="49B55501" w14:textId="77777777" w:rsidR="00335619" w:rsidRPr="0023367D" w:rsidRDefault="00335619" w:rsidP="00335619">
            <w:pPr>
              <w:jc w:val="center"/>
              <w:rPr>
                <w:rFonts w:eastAsia="Calibri"/>
                <w:sz w:val="22"/>
                <w:szCs w:val="22"/>
              </w:rPr>
            </w:pPr>
            <w:r w:rsidRPr="0023367D">
              <w:rPr>
                <w:rFonts w:eastAsia="Calibri"/>
                <w:sz w:val="22"/>
                <w:szCs w:val="22"/>
              </w:rPr>
              <w:t>2,589</w:t>
            </w:r>
          </w:p>
        </w:tc>
        <w:tc>
          <w:tcPr>
            <w:tcW w:w="887" w:type="pct"/>
            <w:shd w:val="clear" w:color="auto" w:fill="auto"/>
            <w:noWrap/>
            <w:vAlign w:val="center"/>
          </w:tcPr>
          <w:p w14:paraId="4C8AE313" w14:textId="77777777" w:rsidR="00335619" w:rsidRPr="0023367D" w:rsidRDefault="00335619" w:rsidP="00335619">
            <w:pPr>
              <w:jc w:val="center"/>
              <w:rPr>
                <w:rFonts w:eastAsia="Calibri"/>
                <w:sz w:val="22"/>
                <w:szCs w:val="22"/>
              </w:rPr>
            </w:pPr>
            <w:r w:rsidRPr="0023367D">
              <w:rPr>
                <w:rFonts w:eastAsia="Calibri"/>
                <w:sz w:val="22"/>
                <w:szCs w:val="22"/>
              </w:rPr>
              <w:t>800</w:t>
            </w:r>
          </w:p>
        </w:tc>
        <w:tc>
          <w:tcPr>
            <w:tcW w:w="1687" w:type="pct"/>
            <w:shd w:val="clear" w:color="auto" w:fill="auto"/>
            <w:noWrap/>
            <w:vAlign w:val="center"/>
          </w:tcPr>
          <w:p w14:paraId="07363655" w14:textId="77777777" w:rsidR="00335619" w:rsidRPr="0023367D" w:rsidRDefault="00335619" w:rsidP="00335619">
            <w:pPr>
              <w:jc w:val="center"/>
              <w:rPr>
                <w:rFonts w:eastAsia="Calibri"/>
                <w:sz w:val="22"/>
                <w:szCs w:val="22"/>
              </w:rPr>
            </w:pPr>
            <w:r w:rsidRPr="0023367D">
              <w:rPr>
                <w:rFonts w:eastAsia="Calibri"/>
                <w:sz w:val="22"/>
                <w:szCs w:val="22"/>
              </w:rPr>
              <w:t>3.24</w:t>
            </w:r>
          </w:p>
        </w:tc>
      </w:tr>
      <w:tr w:rsidR="00335619" w:rsidRPr="0023367D" w14:paraId="3F5B95C0" w14:textId="77777777" w:rsidTr="007A2DFE">
        <w:trPr>
          <w:trHeight w:val="101"/>
          <w:jc w:val="center"/>
        </w:trPr>
        <w:tc>
          <w:tcPr>
            <w:tcW w:w="1475" w:type="pct"/>
            <w:shd w:val="clear" w:color="auto" w:fill="auto"/>
            <w:noWrap/>
            <w:vAlign w:val="center"/>
          </w:tcPr>
          <w:p w14:paraId="352416B0" w14:textId="77777777" w:rsidR="00335619" w:rsidRPr="0023367D" w:rsidRDefault="00335619" w:rsidP="007A2DFE">
            <w:pPr>
              <w:ind w:left="295"/>
              <w:jc w:val="center"/>
              <w:rPr>
                <w:rFonts w:eastAsia="Calibri"/>
                <w:sz w:val="22"/>
                <w:szCs w:val="22"/>
              </w:rPr>
            </w:pPr>
            <w:r w:rsidRPr="0023367D">
              <w:rPr>
                <w:rFonts w:eastAsia="Calibri"/>
                <w:sz w:val="22"/>
                <w:szCs w:val="22"/>
              </w:rPr>
              <w:t>2004</w:t>
            </w:r>
          </w:p>
        </w:tc>
        <w:tc>
          <w:tcPr>
            <w:tcW w:w="951" w:type="pct"/>
            <w:shd w:val="clear" w:color="auto" w:fill="auto"/>
            <w:noWrap/>
            <w:vAlign w:val="center"/>
          </w:tcPr>
          <w:p w14:paraId="44871E60" w14:textId="77777777" w:rsidR="00335619" w:rsidRPr="0023367D" w:rsidRDefault="00335619" w:rsidP="00335619">
            <w:pPr>
              <w:jc w:val="center"/>
              <w:rPr>
                <w:rFonts w:eastAsia="Calibri"/>
                <w:sz w:val="22"/>
                <w:szCs w:val="22"/>
              </w:rPr>
            </w:pPr>
            <w:r w:rsidRPr="0023367D">
              <w:rPr>
                <w:rFonts w:eastAsia="Calibri"/>
                <w:sz w:val="22"/>
                <w:szCs w:val="22"/>
              </w:rPr>
              <w:t>2,824</w:t>
            </w:r>
          </w:p>
        </w:tc>
        <w:tc>
          <w:tcPr>
            <w:tcW w:w="887" w:type="pct"/>
            <w:shd w:val="clear" w:color="auto" w:fill="auto"/>
            <w:noWrap/>
            <w:vAlign w:val="center"/>
          </w:tcPr>
          <w:p w14:paraId="0EA52ACF" w14:textId="77777777" w:rsidR="00335619" w:rsidRPr="0023367D" w:rsidRDefault="00335619" w:rsidP="00335619">
            <w:pPr>
              <w:jc w:val="center"/>
              <w:rPr>
                <w:rFonts w:eastAsia="Calibri"/>
                <w:sz w:val="22"/>
                <w:szCs w:val="22"/>
              </w:rPr>
            </w:pPr>
            <w:r w:rsidRPr="0023367D">
              <w:rPr>
                <w:rFonts w:eastAsia="Calibri"/>
                <w:sz w:val="22"/>
                <w:szCs w:val="22"/>
              </w:rPr>
              <w:t>856</w:t>
            </w:r>
          </w:p>
        </w:tc>
        <w:tc>
          <w:tcPr>
            <w:tcW w:w="1687" w:type="pct"/>
            <w:shd w:val="clear" w:color="auto" w:fill="auto"/>
            <w:noWrap/>
            <w:vAlign w:val="center"/>
          </w:tcPr>
          <w:p w14:paraId="71680A2F" w14:textId="77777777" w:rsidR="00335619" w:rsidRPr="0023367D" w:rsidRDefault="00335619" w:rsidP="00335619">
            <w:pPr>
              <w:jc w:val="center"/>
              <w:rPr>
                <w:rFonts w:eastAsia="Calibri"/>
                <w:sz w:val="22"/>
                <w:szCs w:val="22"/>
              </w:rPr>
            </w:pPr>
            <w:r w:rsidRPr="0023367D">
              <w:rPr>
                <w:rFonts w:eastAsia="Calibri"/>
                <w:sz w:val="22"/>
                <w:szCs w:val="22"/>
              </w:rPr>
              <w:t>3.30</w:t>
            </w:r>
          </w:p>
        </w:tc>
      </w:tr>
      <w:tr w:rsidR="00335619" w:rsidRPr="0023367D" w14:paraId="5EF04A7B" w14:textId="77777777" w:rsidTr="007A2DFE">
        <w:trPr>
          <w:trHeight w:val="101"/>
          <w:jc w:val="center"/>
        </w:trPr>
        <w:tc>
          <w:tcPr>
            <w:tcW w:w="1475" w:type="pct"/>
            <w:shd w:val="clear" w:color="auto" w:fill="auto"/>
            <w:noWrap/>
            <w:vAlign w:val="center"/>
          </w:tcPr>
          <w:p w14:paraId="378CB726" w14:textId="77777777" w:rsidR="00335619" w:rsidRPr="0023367D" w:rsidRDefault="00335619" w:rsidP="007A2DFE">
            <w:pPr>
              <w:ind w:left="295"/>
              <w:jc w:val="center"/>
              <w:rPr>
                <w:rFonts w:eastAsia="Calibri"/>
                <w:sz w:val="22"/>
                <w:szCs w:val="22"/>
              </w:rPr>
            </w:pPr>
            <w:r w:rsidRPr="0023367D">
              <w:rPr>
                <w:rFonts w:eastAsia="Calibri"/>
                <w:sz w:val="22"/>
                <w:szCs w:val="22"/>
              </w:rPr>
              <w:t>2005</w:t>
            </w:r>
          </w:p>
        </w:tc>
        <w:tc>
          <w:tcPr>
            <w:tcW w:w="951" w:type="pct"/>
            <w:shd w:val="clear" w:color="auto" w:fill="auto"/>
            <w:noWrap/>
            <w:vAlign w:val="center"/>
          </w:tcPr>
          <w:p w14:paraId="2C5B02D3" w14:textId="77777777" w:rsidR="00335619" w:rsidRPr="0023367D" w:rsidRDefault="00335619" w:rsidP="00335619">
            <w:pPr>
              <w:jc w:val="center"/>
              <w:rPr>
                <w:rFonts w:eastAsia="Calibri"/>
                <w:sz w:val="22"/>
                <w:szCs w:val="22"/>
              </w:rPr>
            </w:pPr>
            <w:r w:rsidRPr="0023367D">
              <w:rPr>
                <w:rFonts w:eastAsia="Calibri"/>
                <w:sz w:val="22"/>
                <w:szCs w:val="22"/>
              </w:rPr>
              <w:t>2,771</w:t>
            </w:r>
          </w:p>
        </w:tc>
        <w:tc>
          <w:tcPr>
            <w:tcW w:w="887" w:type="pct"/>
            <w:shd w:val="clear" w:color="auto" w:fill="auto"/>
            <w:noWrap/>
            <w:vAlign w:val="center"/>
          </w:tcPr>
          <w:p w14:paraId="3A882036" w14:textId="77777777" w:rsidR="00335619" w:rsidRPr="0023367D" w:rsidRDefault="00335619" w:rsidP="00335619">
            <w:pPr>
              <w:jc w:val="center"/>
              <w:rPr>
                <w:rFonts w:eastAsia="Calibri"/>
                <w:sz w:val="22"/>
                <w:szCs w:val="22"/>
              </w:rPr>
            </w:pPr>
            <w:r w:rsidRPr="0023367D">
              <w:rPr>
                <w:rFonts w:eastAsia="Calibri"/>
                <w:sz w:val="22"/>
                <w:szCs w:val="22"/>
              </w:rPr>
              <w:t>875</w:t>
            </w:r>
          </w:p>
        </w:tc>
        <w:tc>
          <w:tcPr>
            <w:tcW w:w="1687" w:type="pct"/>
            <w:shd w:val="clear" w:color="auto" w:fill="auto"/>
            <w:noWrap/>
            <w:vAlign w:val="center"/>
          </w:tcPr>
          <w:p w14:paraId="13487D01" w14:textId="77777777" w:rsidR="00335619" w:rsidRPr="0023367D" w:rsidRDefault="00335619" w:rsidP="00335619">
            <w:pPr>
              <w:jc w:val="center"/>
              <w:rPr>
                <w:rFonts w:eastAsia="Calibri"/>
                <w:sz w:val="22"/>
                <w:szCs w:val="22"/>
              </w:rPr>
            </w:pPr>
            <w:r w:rsidRPr="0023367D">
              <w:rPr>
                <w:rFonts w:eastAsia="Calibri"/>
                <w:sz w:val="22"/>
                <w:szCs w:val="22"/>
              </w:rPr>
              <w:t>3.17</w:t>
            </w:r>
          </w:p>
        </w:tc>
      </w:tr>
      <w:tr w:rsidR="00335619" w:rsidRPr="0023367D" w14:paraId="10C06282" w14:textId="77777777" w:rsidTr="007A2DFE">
        <w:trPr>
          <w:trHeight w:val="101"/>
          <w:jc w:val="center"/>
        </w:trPr>
        <w:tc>
          <w:tcPr>
            <w:tcW w:w="1475" w:type="pct"/>
            <w:shd w:val="clear" w:color="auto" w:fill="auto"/>
            <w:noWrap/>
            <w:vAlign w:val="center"/>
          </w:tcPr>
          <w:p w14:paraId="43663696" w14:textId="77777777" w:rsidR="00335619" w:rsidRPr="0023367D" w:rsidRDefault="00335619" w:rsidP="007A2DFE">
            <w:pPr>
              <w:ind w:left="295"/>
              <w:jc w:val="center"/>
              <w:rPr>
                <w:rFonts w:eastAsia="Calibri"/>
                <w:sz w:val="22"/>
                <w:szCs w:val="22"/>
              </w:rPr>
            </w:pPr>
            <w:r w:rsidRPr="0023367D">
              <w:rPr>
                <w:rFonts w:eastAsia="Calibri"/>
                <w:sz w:val="22"/>
                <w:szCs w:val="22"/>
              </w:rPr>
              <w:t>2006</w:t>
            </w:r>
          </w:p>
        </w:tc>
        <w:tc>
          <w:tcPr>
            <w:tcW w:w="951" w:type="pct"/>
            <w:shd w:val="clear" w:color="auto" w:fill="auto"/>
            <w:noWrap/>
            <w:vAlign w:val="center"/>
          </w:tcPr>
          <w:p w14:paraId="4348F388" w14:textId="77777777" w:rsidR="00335619" w:rsidRPr="0023367D" w:rsidRDefault="00335619" w:rsidP="00335619">
            <w:pPr>
              <w:jc w:val="center"/>
              <w:rPr>
                <w:rFonts w:eastAsia="Calibri"/>
                <w:sz w:val="22"/>
                <w:szCs w:val="22"/>
              </w:rPr>
            </w:pPr>
            <w:r w:rsidRPr="0023367D">
              <w:rPr>
                <w:rFonts w:eastAsia="Calibri"/>
                <w:sz w:val="22"/>
                <w:szCs w:val="22"/>
              </w:rPr>
              <w:t>2,613</w:t>
            </w:r>
          </w:p>
        </w:tc>
        <w:tc>
          <w:tcPr>
            <w:tcW w:w="887" w:type="pct"/>
            <w:shd w:val="clear" w:color="auto" w:fill="auto"/>
            <w:noWrap/>
            <w:vAlign w:val="center"/>
          </w:tcPr>
          <w:p w14:paraId="60B3767B" w14:textId="77777777" w:rsidR="00335619" w:rsidRPr="0023367D" w:rsidRDefault="00335619" w:rsidP="00335619">
            <w:pPr>
              <w:jc w:val="center"/>
              <w:rPr>
                <w:rFonts w:eastAsia="Calibri"/>
                <w:sz w:val="22"/>
                <w:szCs w:val="22"/>
              </w:rPr>
            </w:pPr>
            <w:r w:rsidRPr="0023367D">
              <w:rPr>
                <w:rFonts w:eastAsia="Calibri"/>
                <w:sz w:val="22"/>
                <w:szCs w:val="22"/>
              </w:rPr>
              <w:t>828</w:t>
            </w:r>
          </w:p>
        </w:tc>
        <w:tc>
          <w:tcPr>
            <w:tcW w:w="1687" w:type="pct"/>
            <w:shd w:val="clear" w:color="auto" w:fill="auto"/>
            <w:noWrap/>
            <w:vAlign w:val="center"/>
          </w:tcPr>
          <w:p w14:paraId="5FD530DC" w14:textId="77777777" w:rsidR="00335619" w:rsidRPr="0023367D" w:rsidRDefault="00335619" w:rsidP="00335619">
            <w:pPr>
              <w:jc w:val="center"/>
              <w:rPr>
                <w:rFonts w:eastAsia="Calibri"/>
                <w:sz w:val="22"/>
                <w:szCs w:val="22"/>
              </w:rPr>
            </w:pPr>
            <w:r w:rsidRPr="0023367D">
              <w:rPr>
                <w:rFonts w:eastAsia="Calibri"/>
                <w:sz w:val="22"/>
                <w:szCs w:val="22"/>
              </w:rPr>
              <w:t>3.16</w:t>
            </w:r>
          </w:p>
        </w:tc>
      </w:tr>
      <w:tr w:rsidR="00335619" w:rsidRPr="0023367D" w14:paraId="5BBE40A5" w14:textId="77777777" w:rsidTr="007A2DFE">
        <w:trPr>
          <w:trHeight w:val="101"/>
          <w:jc w:val="center"/>
        </w:trPr>
        <w:tc>
          <w:tcPr>
            <w:tcW w:w="1475" w:type="pct"/>
            <w:shd w:val="clear" w:color="auto" w:fill="auto"/>
            <w:noWrap/>
            <w:vAlign w:val="center"/>
          </w:tcPr>
          <w:p w14:paraId="3F8FCEFF" w14:textId="77777777" w:rsidR="00335619" w:rsidRPr="0023367D" w:rsidRDefault="00335619" w:rsidP="007A2DFE">
            <w:pPr>
              <w:ind w:left="295"/>
              <w:jc w:val="center"/>
              <w:rPr>
                <w:rFonts w:eastAsia="Calibri"/>
                <w:sz w:val="22"/>
                <w:szCs w:val="22"/>
              </w:rPr>
            </w:pPr>
            <w:r w:rsidRPr="0023367D">
              <w:rPr>
                <w:rFonts w:eastAsia="Calibri"/>
                <w:sz w:val="22"/>
                <w:szCs w:val="22"/>
              </w:rPr>
              <w:t>2007</w:t>
            </w:r>
          </w:p>
        </w:tc>
        <w:tc>
          <w:tcPr>
            <w:tcW w:w="951" w:type="pct"/>
            <w:shd w:val="clear" w:color="auto" w:fill="auto"/>
            <w:noWrap/>
            <w:vAlign w:val="center"/>
          </w:tcPr>
          <w:p w14:paraId="0B04E834" w14:textId="77777777" w:rsidR="00335619" w:rsidRPr="0023367D" w:rsidRDefault="00335619" w:rsidP="00335619">
            <w:pPr>
              <w:jc w:val="center"/>
              <w:rPr>
                <w:rFonts w:eastAsia="Calibri"/>
                <w:sz w:val="22"/>
                <w:szCs w:val="22"/>
              </w:rPr>
            </w:pPr>
            <w:r w:rsidRPr="0023367D">
              <w:rPr>
                <w:rFonts w:eastAsia="Calibri"/>
                <w:sz w:val="22"/>
                <w:szCs w:val="22"/>
              </w:rPr>
              <w:t>2,558</w:t>
            </w:r>
          </w:p>
        </w:tc>
        <w:tc>
          <w:tcPr>
            <w:tcW w:w="887" w:type="pct"/>
            <w:shd w:val="clear" w:color="auto" w:fill="auto"/>
            <w:noWrap/>
            <w:vAlign w:val="center"/>
          </w:tcPr>
          <w:p w14:paraId="564CC504" w14:textId="77777777" w:rsidR="00335619" w:rsidRPr="0023367D" w:rsidRDefault="00335619" w:rsidP="00335619">
            <w:pPr>
              <w:jc w:val="center"/>
              <w:rPr>
                <w:rFonts w:eastAsia="Calibri"/>
                <w:sz w:val="22"/>
                <w:szCs w:val="22"/>
              </w:rPr>
            </w:pPr>
            <w:r w:rsidRPr="0023367D">
              <w:rPr>
                <w:rFonts w:eastAsia="Calibri"/>
                <w:sz w:val="22"/>
                <w:szCs w:val="22"/>
              </w:rPr>
              <w:t>814</w:t>
            </w:r>
          </w:p>
        </w:tc>
        <w:tc>
          <w:tcPr>
            <w:tcW w:w="1687" w:type="pct"/>
            <w:shd w:val="clear" w:color="auto" w:fill="auto"/>
            <w:noWrap/>
            <w:vAlign w:val="center"/>
          </w:tcPr>
          <w:p w14:paraId="5A2F1826" w14:textId="77777777" w:rsidR="00335619" w:rsidRPr="0023367D" w:rsidRDefault="00335619" w:rsidP="00335619">
            <w:pPr>
              <w:jc w:val="center"/>
              <w:rPr>
                <w:rFonts w:eastAsia="Calibri"/>
                <w:sz w:val="22"/>
                <w:szCs w:val="22"/>
              </w:rPr>
            </w:pPr>
            <w:r w:rsidRPr="0023367D">
              <w:rPr>
                <w:rFonts w:eastAsia="Calibri"/>
                <w:sz w:val="22"/>
                <w:szCs w:val="22"/>
              </w:rPr>
              <w:t>3.14</w:t>
            </w:r>
          </w:p>
        </w:tc>
      </w:tr>
      <w:tr w:rsidR="00335619" w:rsidRPr="0023367D" w14:paraId="15594C81" w14:textId="77777777" w:rsidTr="007A2DFE">
        <w:trPr>
          <w:trHeight w:val="101"/>
          <w:jc w:val="center"/>
        </w:trPr>
        <w:tc>
          <w:tcPr>
            <w:tcW w:w="1475" w:type="pct"/>
            <w:shd w:val="clear" w:color="auto" w:fill="auto"/>
            <w:noWrap/>
            <w:vAlign w:val="center"/>
          </w:tcPr>
          <w:p w14:paraId="2CC2E7CA" w14:textId="77777777" w:rsidR="00335619" w:rsidRPr="0023367D" w:rsidRDefault="00335619" w:rsidP="007A2DFE">
            <w:pPr>
              <w:ind w:left="295"/>
              <w:jc w:val="center"/>
              <w:rPr>
                <w:rFonts w:eastAsia="Calibri"/>
                <w:sz w:val="22"/>
                <w:szCs w:val="22"/>
              </w:rPr>
            </w:pPr>
            <w:r w:rsidRPr="0023367D">
              <w:rPr>
                <w:rFonts w:eastAsia="Calibri"/>
                <w:sz w:val="22"/>
                <w:szCs w:val="22"/>
              </w:rPr>
              <w:t>2008</w:t>
            </w:r>
          </w:p>
        </w:tc>
        <w:tc>
          <w:tcPr>
            <w:tcW w:w="951" w:type="pct"/>
            <w:shd w:val="clear" w:color="auto" w:fill="auto"/>
            <w:noWrap/>
            <w:vAlign w:val="center"/>
          </w:tcPr>
          <w:p w14:paraId="4C42EECC" w14:textId="77777777" w:rsidR="00335619" w:rsidRPr="0023367D" w:rsidRDefault="00335619" w:rsidP="00335619">
            <w:pPr>
              <w:jc w:val="center"/>
              <w:rPr>
                <w:rFonts w:eastAsia="Calibri"/>
                <w:sz w:val="22"/>
                <w:szCs w:val="22"/>
              </w:rPr>
            </w:pPr>
            <w:r w:rsidRPr="0023367D">
              <w:rPr>
                <w:rFonts w:eastAsia="Calibri"/>
                <w:sz w:val="22"/>
                <w:szCs w:val="22"/>
              </w:rPr>
              <w:t>1,043</w:t>
            </w:r>
          </w:p>
        </w:tc>
        <w:tc>
          <w:tcPr>
            <w:tcW w:w="887" w:type="pct"/>
            <w:shd w:val="clear" w:color="auto" w:fill="auto"/>
            <w:noWrap/>
            <w:vAlign w:val="center"/>
          </w:tcPr>
          <w:p w14:paraId="3ECFEDB6" w14:textId="77777777" w:rsidR="00335619" w:rsidRPr="0023367D" w:rsidRDefault="00335619" w:rsidP="00335619">
            <w:pPr>
              <w:jc w:val="center"/>
              <w:rPr>
                <w:rFonts w:eastAsia="Calibri"/>
                <w:sz w:val="22"/>
                <w:szCs w:val="22"/>
              </w:rPr>
            </w:pPr>
            <w:r w:rsidRPr="0023367D">
              <w:rPr>
                <w:rFonts w:eastAsia="Calibri"/>
                <w:sz w:val="22"/>
                <w:szCs w:val="22"/>
              </w:rPr>
              <w:t>381</w:t>
            </w:r>
          </w:p>
        </w:tc>
        <w:tc>
          <w:tcPr>
            <w:tcW w:w="1687" w:type="pct"/>
            <w:shd w:val="clear" w:color="auto" w:fill="auto"/>
            <w:noWrap/>
            <w:vAlign w:val="center"/>
          </w:tcPr>
          <w:p w14:paraId="49DF44A5" w14:textId="77777777" w:rsidR="00335619" w:rsidRPr="0023367D" w:rsidRDefault="00335619" w:rsidP="00335619">
            <w:pPr>
              <w:jc w:val="center"/>
              <w:rPr>
                <w:rFonts w:eastAsia="Calibri"/>
                <w:sz w:val="22"/>
                <w:szCs w:val="22"/>
              </w:rPr>
            </w:pPr>
            <w:r w:rsidRPr="0023367D">
              <w:rPr>
                <w:rFonts w:eastAsia="Calibri"/>
                <w:sz w:val="22"/>
                <w:szCs w:val="22"/>
              </w:rPr>
              <w:t>2.74</w:t>
            </w:r>
          </w:p>
        </w:tc>
      </w:tr>
      <w:tr w:rsidR="00335619" w:rsidRPr="0023367D" w14:paraId="14D4C045" w14:textId="77777777" w:rsidTr="007A2DFE">
        <w:trPr>
          <w:trHeight w:val="101"/>
          <w:jc w:val="center"/>
        </w:trPr>
        <w:tc>
          <w:tcPr>
            <w:tcW w:w="1475" w:type="pct"/>
            <w:shd w:val="clear" w:color="auto" w:fill="auto"/>
            <w:noWrap/>
            <w:vAlign w:val="center"/>
          </w:tcPr>
          <w:p w14:paraId="1DD8AD2F" w14:textId="77777777" w:rsidR="00335619" w:rsidRPr="0023367D" w:rsidRDefault="00335619" w:rsidP="007A2DFE">
            <w:pPr>
              <w:ind w:left="295"/>
              <w:jc w:val="center"/>
              <w:rPr>
                <w:rFonts w:eastAsia="Calibri"/>
                <w:sz w:val="22"/>
                <w:szCs w:val="22"/>
              </w:rPr>
            </w:pPr>
            <w:r w:rsidRPr="0023367D">
              <w:rPr>
                <w:rFonts w:eastAsia="Calibri"/>
                <w:sz w:val="22"/>
                <w:szCs w:val="22"/>
              </w:rPr>
              <w:t>2009</w:t>
            </w:r>
          </w:p>
        </w:tc>
        <w:tc>
          <w:tcPr>
            <w:tcW w:w="951" w:type="pct"/>
            <w:shd w:val="clear" w:color="auto" w:fill="auto"/>
            <w:noWrap/>
            <w:vAlign w:val="center"/>
          </w:tcPr>
          <w:p w14:paraId="1C78A005" w14:textId="77777777" w:rsidR="00335619" w:rsidRPr="0023367D" w:rsidRDefault="00335619" w:rsidP="00335619">
            <w:pPr>
              <w:jc w:val="center"/>
              <w:rPr>
                <w:rFonts w:eastAsia="Calibri"/>
                <w:sz w:val="22"/>
                <w:szCs w:val="22"/>
              </w:rPr>
            </w:pPr>
            <w:r w:rsidRPr="0023367D">
              <w:rPr>
                <w:rFonts w:eastAsia="Calibri"/>
                <w:sz w:val="22"/>
                <w:szCs w:val="22"/>
              </w:rPr>
              <w:t>1,142</w:t>
            </w:r>
          </w:p>
        </w:tc>
        <w:tc>
          <w:tcPr>
            <w:tcW w:w="887" w:type="pct"/>
            <w:shd w:val="clear" w:color="auto" w:fill="auto"/>
            <w:noWrap/>
            <w:vAlign w:val="center"/>
          </w:tcPr>
          <w:p w14:paraId="5A9F9F48" w14:textId="77777777" w:rsidR="00335619" w:rsidRPr="0023367D" w:rsidRDefault="00335619" w:rsidP="00335619">
            <w:pPr>
              <w:jc w:val="center"/>
              <w:rPr>
                <w:rFonts w:eastAsia="Calibri"/>
                <w:sz w:val="22"/>
                <w:szCs w:val="22"/>
              </w:rPr>
            </w:pPr>
            <w:r w:rsidRPr="0023367D">
              <w:rPr>
                <w:rFonts w:eastAsia="Calibri"/>
                <w:sz w:val="22"/>
                <w:szCs w:val="22"/>
              </w:rPr>
              <w:t>383</w:t>
            </w:r>
          </w:p>
        </w:tc>
        <w:tc>
          <w:tcPr>
            <w:tcW w:w="1687" w:type="pct"/>
            <w:shd w:val="clear" w:color="auto" w:fill="auto"/>
            <w:noWrap/>
            <w:vAlign w:val="center"/>
          </w:tcPr>
          <w:p w14:paraId="38AE613A" w14:textId="77777777" w:rsidR="00335619" w:rsidRPr="0023367D" w:rsidRDefault="00335619" w:rsidP="00335619">
            <w:pPr>
              <w:jc w:val="center"/>
              <w:rPr>
                <w:rFonts w:eastAsia="Calibri"/>
                <w:sz w:val="22"/>
                <w:szCs w:val="22"/>
              </w:rPr>
            </w:pPr>
            <w:r w:rsidRPr="0023367D">
              <w:rPr>
                <w:rFonts w:eastAsia="Calibri"/>
                <w:sz w:val="22"/>
                <w:szCs w:val="22"/>
              </w:rPr>
              <w:t>2.98</w:t>
            </w:r>
          </w:p>
        </w:tc>
      </w:tr>
      <w:tr w:rsidR="00335619" w:rsidRPr="0023367D" w14:paraId="19C77B42" w14:textId="77777777" w:rsidTr="007A2DFE">
        <w:trPr>
          <w:trHeight w:val="101"/>
          <w:jc w:val="center"/>
        </w:trPr>
        <w:tc>
          <w:tcPr>
            <w:tcW w:w="1475" w:type="pct"/>
            <w:shd w:val="clear" w:color="auto" w:fill="auto"/>
            <w:noWrap/>
            <w:vAlign w:val="center"/>
          </w:tcPr>
          <w:p w14:paraId="40E0D482" w14:textId="77777777" w:rsidR="00335619" w:rsidRPr="0023367D" w:rsidRDefault="00335619" w:rsidP="007A2DFE">
            <w:pPr>
              <w:ind w:left="295"/>
              <w:jc w:val="center"/>
              <w:rPr>
                <w:rFonts w:eastAsia="Calibri"/>
                <w:sz w:val="22"/>
                <w:szCs w:val="22"/>
              </w:rPr>
            </w:pPr>
            <w:r w:rsidRPr="0023367D">
              <w:rPr>
                <w:rFonts w:eastAsia="Calibri"/>
                <w:sz w:val="22"/>
                <w:szCs w:val="22"/>
              </w:rPr>
              <w:t>2010</w:t>
            </w:r>
          </w:p>
        </w:tc>
        <w:tc>
          <w:tcPr>
            <w:tcW w:w="951" w:type="pct"/>
            <w:shd w:val="clear" w:color="auto" w:fill="auto"/>
            <w:noWrap/>
            <w:vAlign w:val="center"/>
          </w:tcPr>
          <w:p w14:paraId="0C4556F9" w14:textId="77777777" w:rsidR="00335619" w:rsidRPr="0023367D" w:rsidRDefault="00335619" w:rsidP="00335619">
            <w:pPr>
              <w:jc w:val="center"/>
              <w:rPr>
                <w:rFonts w:eastAsia="Calibri"/>
                <w:sz w:val="22"/>
                <w:szCs w:val="22"/>
              </w:rPr>
            </w:pPr>
            <w:r w:rsidRPr="0023367D">
              <w:rPr>
                <w:rFonts w:eastAsia="Calibri"/>
                <w:sz w:val="22"/>
                <w:szCs w:val="22"/>
              </w:rPr>
              <w:t>1,297</w:t>
            </w:r>
          </w:p>
        </w:tc>
        <w:tc>
          <w:tcPr>
            <w:tcW w:w="887" w:type="pct"/>
            <w:shd w:val="clear" w:color="auto" w:fill="auto"/>
            <w:noWrap/>
            <w:vAlign w:val="center"/>
          </w:tcPr>
          <w:p w14:paraId="5B263678" w14:textId="77777777" w:rsidR="00335619" w:rsidRPr="0023367D" w:rsidRDefault="00335619" w:rsidP="00335619">
            <w:pPr>
              <w:jc w:val="center"/>
              <w:rPr>
                <w:rFonts w:eastAsia="Calibri"/>
                <w:sz w:val="22"/>
                <w:szCs w:val="22"/>
              </w:rPr>
            </w:pPr>
            <w:r w:rsidRPr="0023367D">
              <w:rPr>
                <w:rFonts w:eastAsia="Calibri"/>
                <w:sz w:val="22"/>
                <w:szCs w:val="22"/>
              </w:rPr>
              <w:t>402</w:t>
            </w:r>
          </w:p>
        </w:tc>
        <w:tc>
          <w:tcPr>
            <w:tcW w:w="1687" w:type="pct"/>
            <w:shd w:val="clear" w:color="auto" w:fill="auto"/>
            <w:noWrap/>
            <w:vAlign w:val="center"/>
          </w:tcPr>
          <w:p w14:paraId="64047348" w14:textId="77777777" w:rsidR="00335619" w:rsidRPr="0023367D" w:rsidRDefault="00335619" w:rsidP="00335619">
            <w:pPr>
              <w:jc w:val="center"/>
              <w:rPr>
                <w:rFonts w:eastAsia="Calibri"/>
                <w:sz w:val="22"/>
                <w:szCs w:val="22"/>
              </w:rPr>
            </w:pPr>
            <w:r w:rsidRPr="0023367D">
              <w:rPr>
                <w:rFonts w:eastAsia="Calibri"/>
                <w:sz w:val="22"/>
                <w:szCs w:val="22"/>
              </w:rPr>
              <w:t>3.23</w:t>
            </w:r>
          </w:p>
        </w:tc>
      </w:tr>
      <w:tr w:rsidR="00335619" w:rsidRPr="0023367D" w14:paraId="048DFDC8" w14:textId="77777777" w:rsidTr="007A2DFE">
        <w:trPr>
          <w:trHeight w:val="101"/>
          <w:jc w:val="center"/>
        </w:trPr>
        <w:tc>
          <w:tcPr>
            <w:tcW w:w="1475" w:type="pct"/>
            <w:shd w:val="clear" w:color="auto" w:fill="auto"/>
            <w:noWrap/>
            <w:vAlign w:val="center"/>
          </w:tcPr>
          <w:p w14:paraId="14D04E3F" w14:textId="77777777" w:rsidR="00335619" w:rsidRPr="0023367D" w:rsidRDefault="00335619" w:rsidP="007A2DFE">
            <w:pPr>
              <w:ind w:left="295"/>
              <w:jc w:val="center"/>
              <w:rPr>
                <w:rFonts w:eastAsia="Calibri"/>
                <w:sz w:val="22"/>
                <w:szCs w:val="22"/>
              </w:rPr>
            </w:pPr>
            <w:r w:rsidRPr="0023367D">
              <w:rPr>
                <w:rFonts w:eastAsia="Calibri"/>
                <w:sz w:val="22"/>
                <w:szCs w:val="22"/>
              </w:rPr>
              <w:t>2011</w:t>
            </w:r>
          </w:p>
        </w:tc>
        <w:tc>
          <w:tcPr>
            <w:tcW w:w="951" w:type="pct"/>
            <w:shd w:val="clear" w:color="auto" w:fill="auto"/>
            <w:noWrap/>
            <w:vAlign w:val="center"/>
          </w:tcPr>
          <w:p w14:paraId="1656945E" w14:textId="77777777" w:rsidR="00335619" w:rsidRPr="0023367D" w:rsidRDefault="00335619" w:rsidP="00335619">
            <w:pPr>
              <w:jc w:val="center"/>
              <w:rPr>
                <w:rFonts w:eastAsia="Calibri"/>
                <w:sz w:val="22"/>
                <w:szCs w:val="22"/>
              </w:rPr>
            </w:pPr>
            <w:r w:rsidRPr="0023367D">
              <w:rPr>
                <w:rFonts w:eastAsia="Calibri"/>
                <w:sz w:val="22"/>
                <w:szCs w:val="22"/>
              </w:rPr>
              <w:t>1,499</w:t>
            </w:r>
          </w:p>
        </w:tc>
        <w:tc>
          <w:tcPr>
            <w:tcW w:w="887" w:type="pct"/>
            <w:shd w:val="clear" w:color="auto" w:fill="auto"/>
            <w:noWrap/>
            <w:vAlign w:val="center"/>
          </w:tcPr>
          <w:p w14:paraId="12868696" w14:textId="77777777" w:rsidR="00335619" w:rsidRPr="0023367D" w:rsidRDefault="00335619" w:rsidP="00335619">
            <w:pPr>
              <w:jc w:val="center"/>
              <w:rPr>
                <w:rFonts w:eastAsia="Calibri"/>
                <w:sz w:val="22"/>
                <w:szCs w:val="22"/>
              </w:rPr>
            </w:pPr>
            <w:r w:rsidRPr="0023367D">
              <w:rPr>
                <w:rFonts w:eastAsia="Calibri"/>
                <w:sz w:val="22"/>
                <w:szCs w:val="22"/>
              </w:rPr>
              <w:t>452</w:t>
            </w:r>
          </w:p>
        </w:tc>
        <w:tc>
          <w:tcPr>
            <w:tcW w:w="1687" w:type="pct"/>
            <w:shd w:val="clear" w:color="auto" w:fill="auto"/>
            <w:noWrap/>
            <w:vAlign w:val="center"/>
          </w:tcPr>
          <w:p w14:paraId="4DE5D0F4" w14:textId="77777777" w:rsidR="00335619" w:rsidRPr="0023367D" w:rsidRDefault="00335619" w:rsidP="00335619">
            <w:pPr>
              <w:jc w:val="center"/>
              <w:rPr>
                <w:rFonts w:eastAsia="Calibri"/>
                <w:sz w:val="22"/>
                <w:szCs w:val="22"/>
              </w:rPr>
            </w:pPr>
            <w:r w:rsidRPr="0023367D">
              <w:rPr>
                <w:rFonts w:eastAsia="Calibri"/>
                <w:sz w:val="22"/>
                <w:szCs w:val="22"/>
              </w:rPr>
              <w:t>3.32</w:t>
            </w:r>
          </w:p>
        </w:tc>
      </w:tr>
      <w:tr w:rsidR="00335619" w:rsidRPr="0023367D" w14:paraId="44ECACC2" w14:textId="77777777" w:rsidTr="007A2DFE">
        <w:trPr>
          <w:trHeight w:val="101"/>
          <w:jc w:val="center"/>
        </w:trPr>
        <w:tc>
          <w:tcPr>
            <w:tcW w:w="1475" w:type="pct"/>
            <w:shd w:val="clear" w:color="auto" w:fill="auto"/>
            <w:noWrap/>
            <w:vAlign w:val="center"/>
          </w:tcPr>
          <w:p w14:paraId="564D8CAA" w14:textId="77777777" w:rsidR="00335619" w:rsidRPr="0023367D" w:rsidRDefault="00335619" w:rsidP="007A2DFE">
            <w:pPr>
              <w:ind w:left="295"/>
              <w:jc w:val="center"/>
              <w:rPr>
                <w:rFonts w:eastAsia="Calibri"/>
                <w:sz w:val="22"/>
                <w:szCs w:val="22"/>
              </w:rPr>
            </w:pPr>
            <w:r w:rsidRPr="0023367D">
              <w:rPr>
                <w:rFonts w:eastAsia="Calibri"/>
                <w:sz w:val="22"/>
                <w:szCs w:val="22"/>
              </w:rPr>
              <w:t>2012</w:t>
            </w:r>
          </w:p>
        </w:tc>
        <w:tc>
          <w:tcPr>
            <w:tcW w:w="951" w:type="pct"/>
            <w:shd w:val="clear" w:color="auto" w:fill="auto"/>
            <w:noWrap/>
            <w:vAlign w:val="center"/>
          </w:tcPr>
          <w:p w14:paraId="781A39A2" w14:textId="77777777" w:rsidR="00335619" w:rsidRPr="0023367D" w:rsidRDefault="00335619" w:rsidP="00335619">
            <w:pPr>
              <w:jc w:val="center"/>
              <w:rPr>
                <w:rFonts w:eastAsia="Calibri"/>
                <w:sz w:val="22"/>
                <w:szCs w:val="22"/>
              </w:rPr>
            </w:pPr>
            <w:r w:rsidRPr="0023367D">
              <w:rPr>
                <w:rFonts w:eastAsia="Calibri"/>
                <w:sz w:val="22"/>
                <w:szCs w:val="22"/>
              </w:rPr>
              <w:t>1,664</w:t>
            </w:r>
          </w:p>
        </w:tc>
        <w:tc>
          <w:tcPr>
            <w:tcW w:w="887" w:type="pct"/>
            <w:shd w:val="clear" w:color="auto" w:fill="auto"/>
            <w:noWrap/>
            <w:vAlign w:val="center"/>
          </w:tcPr>
          <w:p w14:paraId="212200ED" w14:textId="77777777" w:rsidR="00335619" w:rsidRPr="0023367D" w:rsidRDefault="00335619" w:rsidP="00335619">
            <w:pPr>
              <w:jc w:val="center"/>
              <w:rPr>
                <w:rFonts w:eastAsia="Calibri"/>
                <w:sz w:val="22"/>
                <w:szCs w:val="22"/>
              </w:rPr>
            </w:pPr>
            <w:r w:rsidRPr="0023367D">
              <w:rPr>
                <w:rFonts w:eastAsia="Calibri"/>
                <w:sz w:val="22"/>
                <w:szCs w:val="22"/>
              </w:rPr>
              <w:t>483</w:t>
            </w:r>
          </w:p>
        </w:tc>
        <w:tc>
          <w:tcPr>
            <w:tcW w:w="1687" w:type="pct"/>
            <w:shd w:val="clear" w:color="auto" w:fill="auto"/>
            <w:noWrap/>
            <w:vAlign w:val="center"/>
          </w:tcPr>
          <w:p w14:paraId="308A4E5A" w14:textId="77777777" w:rsidR="00335619" w:rsidRPr="0023367D" w:rsidRDefault="00335619" w:rsidP="00335619">
            <w:pPr>
              <w:jc w:val="center"/>
              <w:rPr>
                <w:rFonts w:eastAsia="Calibri"/>
                <w:sz w:val="22"/>
                <w:szCs w:val="22"/>
              </w:rPr>
            </w:pPr>
            <w:r w:rsidRPr="0023367D">
              <w:rPr>
                <w:rFonts w:eastAsia="Calibri"/>
                <w:sz w:val="22"/>
                <w:szCs w:val="22"/>
              </w:rPr>
              <w:t>3.45</w:t>
            </w:r>
          </w:p>
        </w:tc>
      </w:tr>
      <w:tr w:rsidR="00335619" w:rsidRPr="0023367D" w14:paraId="627D148E" w14:textId="77777777" w:rsidTr="007A2DFE">
        <w:trPr>
          <w:trHeight w:val="101"/>
          <w:jc w:val="center"/>
        </w:trPr>
        <w:tc>
          <w:tcPr>
            <w:tcW w:w="1475" w:type="pct"/>
            <w:shd w:val="clear" w:color="auto" w:fill="auto"/>
            <w:noWrap/>
            <w:vAlign w:val="center"/>
          </w:tcPr>
          <w:p w14:paraId="46AC750E" w14:textId="77777777" w:rsidR="00335619" w:rsidRPr="0023367D" w:rsidRDefault="00335619" w:rsidP="007A2DFE">
            <w:pPr>
              <w:ind w:left="295"/>
              <w:jc w:val="center"/>
              <w:rPr>
                <w:rFonts w:eastAsia="Calibri"/>
                <w:sz w:val="22"/>
                <w:szCs w:val="22"/>
              </w:rPr>
            </w:pPr>
            <w:r w:rsidRPr="0023367D">
              <w:rPr>
                <w:rFonts w:eastAsia="Calibri"/>
                <w:sz w:val="22"/>
                <w:szCs w:val="22"/>
              </w:rPr>
              <w:t>2013</w:t>
            </w:r>
          </w:p>
        </w:tc>
        <w:tc>
          <w:tcPr>
            <w:tcW w:w="951" w:type="pct"/>
            <w:shd w:val="clear" w:color="auto" w:fill="auto"/>
            <w:noWrap/>
            <w:vAlign w:val="center"/>
          </w:tcPr>
          <w:p w14:paraId="6113671C" w14:textId="77777777" w:rsidR="00335619" w:rsidRPr="0023367D" w:rsidRDefault="00335619" w:rsidP="00335619">
            <w:pPr>
              <w:jc w:val="center"/>
              <w:rPr>
                <w:rFonts w:eastAsia="Calibri"/>
                <w:sz w:val="22"/>
                <w:szCs w:val="22"/>
              </w:rPr>
            </w:pPr>
            <w:r w:rsidRPr="0023367D">
              <w:rPr>
                <w:rFonts w:eastAsia="Calibri"/>
                <w:sz w:val="22"/>
                <w:szCs w:val="22"/>
              </w:rPr>
              <w:t>1,782</w:t>
            </w:r>
          </w:p>
        </w:tc>
        <w:tc>
          <w:tcPr>
            <w:tcW w:w="887" w:type="pct"/>
            <w:shd w:val="clear" w:color="auto" w:fill="auto"/>
            <w:noWrap/>
            <w:vAlign w:val="center"/>
          </w:tcPr>
          <w:p w14:paraId="406792E2" w14:textId="77777777" w:rsidR="00335619" w:rsidRPr="0023367D" w:rsidRDefault="00335619" w:rsidP="00335619">
            <w:pPr>
              <w:jc w:val="center"/>
              <w:rPr>
                <w:rFonts w:eastAsia="Calibri"/>
                <w:sz w:val="22"/>
                <w:szCs w:val="22"/>
              </w:rPr>
            </w:pPr>
            <w:r w:rsidRPr="0023367D">
              <w:rPr>
                <w:rFonts w:eastAsia="Calibri"/>
                <w:sz w:val="22"/>
                <w:szCs w:val="22"/>
              </w:rPr>
              <w:t>486</w:t>
            </w:r>
          </w:p>
        </w:tc>
        <w:tc>
          <w:tcPr>
            <w:tcW w:w="1687" w:type="pct"/>
            <w:shd w:val="clear" w:color="auto" w:fill="auto"/>
            <w:noWrap/>
            <w:vAlign w:val="center"/>
          </w:tcPr>
          <w:p w14:paraId="607ACFA7" w14:textId="77777777" w:rsidR="00335619" w:rsidRPr="0023367D" w:rsidRDefault="00335619" w:rsidP="00335619">
            <w:pPr>
              <w:jc w:val="center"/>
              <w:rPr>
                <w:rFonts w:eastAsia="Calibri"/>
                <w:sz w:val="22"/>
                <w:szCs w:val="22"/>
              </w:rPr>
            </w:pPr>
            <w:r w:rsidRPr="0023367D">
              <w:rPr>
                <w:rFonts w:eastAsia="Calibri"/>
                <w:sz w:val="22"/>
                <w:szCs w:val="22"/>
              </w:rPr>
              <w:t>3.67</w:t>
            </w:r>
          </w:p>
        </w:tc>
      </w:tr>
    </w:tbl>
    <w:p w14:paraId="738A7216" w14:textId="77777777" w:rsidR="00335619" w:rsidRPr="0023367D" w:rsidRDefault="00335619" w:rsidP="00335619"/>
    <w:p w14:paraId="2147A26A" w14:textId="77777777" w:rsidR="00335619" w:rsidRPr="0023367D" w:rsidRDefault="00335619" w:rsidP="00335619">
      <w:pPr>
        <w:pStyle w:val="ColorfulList-Accent11"/>
        <w:spacing w:after="0" w:line="240" w:lineRule="auto"/>
        <w:ind w:left="0"/>
        <w:jc w:val="center"/>
        <w:outlineLvl w:val="0"/>
        <w:rPr>
          <w:rFonts w:ascii="Times New Roman" w:hAnsi="Times New Roman" w:cs="Times New Roman"/>
          <w:b/>
          <w:sz w:val="24"/>
          <w:szCs w:val="24"/>
        </w:rPr>
      </w:pPr>
      <w:r w:rsidRPr="0023367D">
        <w:rPr>
          <w:rFonts w:ascii="Times New Roman" w:hAnsi="Times New Roman" w:cs="Times New Roman"/>
          <w:b/>
          <w:sz w:val="24"/>
          <w:szCs w:val="24"/>
        </w:rPr>
        <w:br w:type="page"/>
        <w:t>Table 2 (continued)</w:t>
      </w:r>
    </w:p>
    <w:p w14:paraId="542E900D" w14:textId="77777777" w:rsidR="00327EED" w:rsidRPr="0023367D" w:rsidRDefault="00327EED" w:rsidP="00327EED">
      <w:pPr>
        <w:jc w:val="center"/>
        <w:outlineLvl w:val="0"/>
        <w:rPr>
          <w:b/>
          <w:bCs/>
        </w:rPr>
      </w:pPr>
      <w:r w:rsidRPr="0023367D">
        <w:rPr>
          <w:b/>
          <w:bCs/>
        </w:rPr>
        <w:t>Descriptive Statistics on the Firm Sample</w:t>
      </w:r>
    </w:p>
    <w:p w14:paraId="195930DF" w14:textId="77777777" w:rsidR="00327EED" w:rsidRPr="0023367D" w:rsidRDefault="00327EED" w:rsidP="00335619">
      <w:pPr>
        <w:pStyle w:val="ColorfulList-Accent11"/>
        <w:spacing w:after="0" w:line="240" w:lineRule="auto"/>
        <w:ind w:left="0"/>
        <w:jc w:val="center"/>
        <w:outlineLvl w:val="0"/>
        <w:rPr>
          <w:rFonts w:ascii="Times New Roman" w:hAnsi="Times New Roman" w:cs="Times New Roman"/>
          <w:b/>
          <w:sz w:val="24"/>
          <w:szCs w:val="24"/>
        </w:rPr>
      </w:pPr>
    </w:p>
    <w:p w14:paraId="0DB48EF1" w14:textId="77777777" w:rsidR="00335619" w:rsidRPr="0023367D" w:rsidRDefault="00335619" w:rsidP="0043463F">
      <w:pPr>
        <w:pStyle w:val="ColorfulList-Accent11"/>
        <w:spacing w:after="0" w:line="240" w:lineRule="auto"/>
        <w:ind w:left="0"/>
        <w:outlineLvl w:val="0"/>
        <w:rPr>
          <w:rFonts w:ascii="Times New Roman" w:hAnsi="Times New Roman" w:cs="Times New Roman"/>
          <w:b/>
          <w:sz w:val="24"/>
          <w:szCs w:val="24"/>
        </w:rPr>
      </w:pPr>
      <w:r w:rsidRPr="0023367D">
        <w:rPr>
          <w:rFonts w:ascii="Times New Roman" w:hAnsi="Times New Roman" w:cs="Times New Roman"/>
          <w:b/>
          <w:sz w:val="24"/>
          <w:szCs w:val="24"/>
        </w:rPr>
        <w:t xml:space="preserve">       B. Distribution of Sample Observations by Industry Affiliation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1260"/>
        <w:gridCol w:w="1651"/>
        <w:gridCol w:w="2367"/>
      </w:tblGrid>
      <w:tr w:rsidR="00335619" w:rsidRPr="0023367D" w14:paraId="3BA80361" w14:textId="77777777" w:rsidTr="00327EED">
        <w:trPr>
          <w:trHeight w:val="881"/>
          <w:jc w:val="center"/>
        </w:trPr>
        <w:tc>
          <w:tcPr>
            <w:tcW w:w="3531" w:type="dxa"/>
            <w:shd w:val="clear" w:color="auto" w:fill="auto"/>
            <w:vAlign w:val="center"/>
          </w:tcPr>
          <w:p w14:paraId="62DC624E" w14:textId="77777777" w:rsidR="00335619" w:rsidRPr="0023367D" w:rsidRDefault="00335619" w:rsidP="00335619">
            <w:pPr>
              <w:jc w:val="center"/>
              <w:rPr>
                <w:rFonts w:eastAsia="Calibri"/>
              </w:rPr>
            </w:pPr>
            <w:r w:rsidRPr="0023367D">
              <w:rPr>
                <w:rFonts w:eastAsia="Calibri"/>
              </w:rPr>
              <w:t>Industry (2-digit SIC code)</w:t>
            </w:r>
          </w:p>
          <w:p w14:paraId="3BB4315D" w14:textId="77777777" w:rsidR="00335619" w:rsidRPr="0023367D" w:rsidRDefault="00335619" w:rsidP="00335619">
            <w:pPr>
              <w:jc w:val="center"/>
              <w:rPr>
                <w:rFonts w:eastAsia="Calibri"/>
              </w:rPr>
            </w:pPr>
            <w:r w:rsidRPr="0023367D">
              <w:rPr>
                <w:rFonts w:eastAsia="Calibri"/>
                <w:sz w:val="20"/>
              </w:rPr>
              <w:t>(listed in order of frequency)</w:t>
            </w:r>
          </w:p>
        </w:tc>
        <w:tc>
          <w:tcPr>
            <w:tcW w:w="1260" w:type="dxa"/>
            <w:shd w:val="clear" w:color="auto" w:fill="auto"/>
            <w:vAlign w:val="center"/>
          </w:tcPr>
          <w:p w14:paraId="0AD68D43" w14:textId="77777777" w:rsidR="00335619" w:rsidRPr="0023367D" w:rsidRDefault="00335619" w:rsidP="00335619">
            <w:pPr>
              <w:jc w:val="center"/>
              <w:rPr>
                <w:rFonts w:eastAsia="Calibri"/>
              </w:rPr>
            </w:pPr>
            <w:r w:rsidRPr="0023367D">
              <w:rPr>
                <w:rFonts w:eastAsia="Calibri"/>
              </w:rPr>
              <w:t>Number of Firms</w:t>
            </w:r>
            <w:r w:rsidRPr="0023367D">
              <w:rPr>
                <w:vertAlign w:val="superscript"/>
              </w:rPr>
              <w:t>(a)</w:t>
            </w:r>
          </w:p>
        </w:tc>
        <w:tc>
          <w:tcPr>
            <w:tcW w:w="1651" w:type="dxa"/>
            <w:shd w:val="clear" w:color="auto" w:fill="auto"/>
            <w:vAlign w:val="center"/>
          </w:tcPr>
          <w:p w14:paraId="63F5F9F6" w14:textId="77777777" w:rsidR="00335619" w:rsidRPr="0023367D" w:rsidRDefault="00335619" w:rsidP="00335619">
            <w:pPr>
              <w:jc w:val="center"/>
              <w:rPr>
                <w:rFonts w:eastAsia="Calibri"/>
              </w:rPr>
            </w:pPr>
            <w:r w:rsidRPr="0023367D">
              <w:rPr>
                <w:rFonts w:eastAsia="Calibri"/>
              </w:rPr>
              <w:t>% of Firms in the Sample</w:t>
            </w:r>
          </w:p>
        </w:tc>
        <w:tc>
          <w:tcPr>
            <w:tcW w:w="2367" w:type="dxa"/>
            <w:shd w:val="clear" w:color="auto" w:fill="auto"/>
            <w:vAlign w:val="center"/>
          </w:tcPr>
          <w:p w14:paraId="6E833C2A" w14:textId="77777777" w:rsidR="00335619" w:rsidRPr="0023367D" w:rsidRDefault="00335619" w:rsidP="00BC19EA">
            <w:pPr>
              <w:jc w:val="center"/>
              <w:rPr>
                <w:rFonts w:eastAsia="Calibri"/>
              </w:rPr>
            </w:pPr>
            <w:r w:rsidRPr="0023367D">
              <w:rPr>
                <w:rFonts w:eastAsia="Calibri"/>
              </w:rPr>
              <w:t>% of Firms in these Industries</w:t>
            </w:r>
            <w:r w:rsidRPr="0023367D">
              <w:rPr>
                <w:rFonts w:eastAsia="Calibri"/>
                <w:vertAlign w:val="superscript"/>
              </w:rPr>
              <w:t>(b)</w:t>
            </w:r>
          </w:p>
        </w:tc>
      </w:tr>
      <w:tr w:rsidR="00335619" w:rsidRPr="0023367D" w14:paraId="2CFB21B1" w14:textId="77777777" w:rsidTr="00327EED">
        <w:trPr>
          <w:jc w:val="center"/>
        </w:trPr>
        <w:tc>
          <w:tcPr>
            <w:tcW w:w="3531" w:type="dxa"/>
            <w:tcBorders>
              <w:top w:val="nil"/>
              <w:left w:val="single" w:sz="8" w:space="0" w:color="auto"/>
              <w:bottom w:val="single" w:sz="8" w:space="0" w:color="auto"/>
              <w:right w:val="single" w:sz="8" w:space="0" w:color="auto"/>
            </w:tcBorders>
            <w:shd w:val="clear" w:color="auto" w:fill="auto"/>
            <w:vAlign w:val="center"/>
          </w:tcPr>
          <w:p w14:paraId="37967E46" w14:textId="77777777" w:rsidR="00335619" w:rsidRPr="0023367D" w:rsidRDefault="00335619" w:rsidP="00335619">
            <w:pPr>
              <w:jc w:val="center"/>
              <w:rPr>
                <w:color w:val="000000"/>
                <w:lang w:bidi="he-IL"/>
              </w:rPr>
            </w:pPr>
            <w:r w:rsidRPr="0023367D">
              <w:rPr>
                <w:color w:val="000000"/>
              </w:rPr>
              <w:t>Full sample</w:t>
            </w:r>
          </w:p>
        </w:tc>
        <w:tc>
          <w:tcPr>
            <w:tcW w:w="1260" w:type="dxa"/>
            <w:tcBorders>
              <w:top w:val="nil"/>
              <w:left w:val="nil"/>
              <w:bottom w:val="single" w:sz="8" w:space="0" w:color="auto"/>
              <w:right w:val="single" w:sz="8" w:space="0" w:color="auto"/>
            </w:tcBorders>
            <w:shd w:val="clear" w:color="auto" w:fill="auto"/>
            <w:vAlign w:val="center"/>
          </w:tcPr>
          <w:p w14:paraId="23771BB3" w14:textId="77777777" w:rsidR="00335619" w:rsidRPr="0023367D" w:rsidRDefault="00335619" w:rsidP="00335619">
            <w:pPr>
              <w:ind w:right="194"/>
              <w:jc w:val="right"/>
              <w:rPr>
                <w:color w:val="000000"/>
              </w:rPr>
            </w:pPr>
            <w:r w:rsidRPr="0023367D">
              <w:rPr>
                <w:color w:val="000000"/>
              </w:rPr>
              <w:t>2,754</w:t>
            </w:r>
          </w:p>
        </w:tc>
        <w:tc>
          <w:tcPr>
            <w:tcW w:w="1651" w:type="dxa"/>
            <w:tcBorders>
              <w:top w:val="nil"/>
              <w:left w:val="nil"/>
              <w:bottom w:val="single" w:sz="8" w:space="0" w:color="auto"/>
              <w:right w:val="single" w:sz="8" w:space="0" w:color="auto"/>
            </w:tcBorders>
            <w:shd w:val="clear" w:color="auto" w:fill="auto"/>
            <w:vAlign w:val="center"/>
          </w:tcPr>
          <w:p w14:paraId="2B6E5475" w14:textId="77777777" w:rsidR="00335619" w:rsidRPr="0023367D" w:rsidRDefault="00335619" w:rsidP="00335619">
            <w:pPr>
              <w:ind w:right="225"/>
              <w:jc w:val="right"/>
              <w:rPr>
                <w:color w:val="000000"/>
              </w:rPr>
            </w:pPr>
            <w:r w:rsidRPr="0023367D">
              <w:rPr>
                <w:color w:val="000000"/>
              </w:rPr>
              <w:t>100.00%</w:t>
            </w:r>
          </w:p>
        </w:tc>
        <w:tc>
          <w:tcPr>
            <w:tcW w:w="2367" w:type="dxa"/>
            <w:tcBorders>
              <w:top w:val="nil"/>
              <w:left w:val="nil"/>
              <w:bottom w:val="single" w:sz="8" w:space="0" w:color="auto"/>
              <w:right w:val="single" w:sz="8" w:space="0" w:color="auto"/>
            </w:tcBorders>
            <w:shd w:val="clear" w:color="auto" w:fill="auto"/>
            <w:vAlign w:val="center"/>
          </w:tcPr>
          <w:p w14:paraId="42AAC959" w14:textId="77777777" w:rsidR="00335619" w:rsidRPr="0023367D" w:rsidRDefault="00335619" w:rsidP="00327EED">
            <w:pPr>
              <w:tabs>
                <w:tab w:val="left" w:pos="1629"/>
              </w:tabs>
              <w:ind w:right="606"/>
              <w:jc w:val="right"/>
              <w:rPr>
                <w:color w:val="000000"/>
              </w:rPr>
            </w:pPr>
            <w:r w:rsidRPr="0023367D">
              <w:rPr>
                <w:color w:val="000000"/>
              </w:rPr>
              <w:t>100.00%</w:t>
            </w:r>
          </w:p>
        </w:tc>
      </w:tr>
      <w:tr w:rsidR="00335619" w:rsidRPr="0023367D" w14:paraId="45048B11" w14:textId="77777777" w:rsidTr="00327EED">
        <w:trPr>
          <w:jc w:val="center"/>
        </w:trPr>
        <w:tc>
          <w:tcPr>
            <w:tcW w:w="3531" w:type="dxa"/>
            <w:tcBorders>
              <w:top w:val="nil"/>
              <w:left w:val="single" w:sz="8" w:space="0" w:color="auto"/>
              <w:bottom w:val="single" w:sz="8" w:space="0" w:color="auto"/>
              <w:right w:val="single" w:sz="8" w:space="0" w:color="auto"/>
            </w:tcBorders>
            <w:shd w:val="clear" w:color="auto" w:fill="auto"/>
            <w:vAlign w:val="center"/>
          </w:tcPr>
          <w:p w14:paraId="39484C48" w14:textId="77777777" w:rsidR="00335619" w:rsidRPr="0023367D" w:rsidRDefault="00335619" w:rsidP="00335619">
            <w:pPr>
              <w:jc w:val="center"/>
              <w:rPr>
                <w:color w:val="000000"/>
              </w:rPr>
            </w:pPr>
            <w:r w:rsidRPr="0023367D">
              <w:rPr>
                <w:color w:val="000000"/>
              </w:rPr>
              <w:t>28</w:t>
            </w:r>
          </w:p>
        </w:tc>
        <w:tc>
          <w:tcPr>
            <w:tcW w:w="1260" w:type="dxa"/>
            <w:tcBorders>
              <w:top w:val="nil"/>
              <w:left w:val="nil"/>
              <w:bottom w:val="single" w:sz="8" w:space="0" w:color="auto"/>
              <w:right w:val="single" w:sz="8" w:space="0" w:color="auto"/>
            </w:tcBorders>
            <w:shd w:val="clear" w:color="auto" w:fill="auto"/>
            <w:vAlign w:val="center"/>
          </w:tcPr>
          <w:p w14:paraId="25A33CDA" w14:textId="77777777" w:rsidR="00335619" w:rsidRPr="0023367D" w:rsidRDefault="00335619" w:rsidP="00335619">
            <w:pPr>
              <w:ind w:right="194"/>
              <w:jc w:val="right"/>
              <w:rPr>
                <w:color w:val="000000"/>
              </w:rPr>
            </w:pPr>
            <w:r w:rsidRPr="0023367D">
              <w:rPr>
                <w:color w:val="000000"/>
              </w:rPr>
              <w:t>205</w:t>
            </w:r>
          </w:p>
        </w:tc>
        <w:tc>
          <w:tcPr>
            <w:tcW w:w="1651" w:type="dxa"/>
            <w:tcBorders>
              <w:top w:val="nil"/>
              <w:left w:val="nil"/>
              <w:bottom w:val="single" w:sz="8" w:space="0" w:color="auto"/>
              <w:right w:val="single" w:sz="8" w:space="0" w:color="auto"/>
            </w:tcBorders>
            <w:shd w:val="clear" w:color="auto" w:fill="auto"/>
            <w:vAlign w:val="center"/>
          </w:tcPr>
          <w:p w14:paraId="026230BF" w14:textId="77777777" w:rsidR="00335619" w:rsidRPr="0023367D" w:rsidRDefault="00335619" w:rsidP="00335619">
            <w:pPr>
              <w:ind w:right="225"/>
              <w:jc w:val="right"/>
              <w:rPr>
                <w:color w:val="000000"/>
              </w:rPr>
            </w:pPr>
            <w:r w:rsidRPr="0023367D">
              <w:rPr>
                <w:color w:val="000000"/>
              </w:rPr>
              <w:t>7.44%</w:t>
            </w:r>
          </w:p>
        </w:tc>
        <w:tc>
          <w:tcPr>
            <w:tcW w:w="2367" w:type="dxa"/>
            <w:tcBorders>
              <w:top w:val="nil"/>
              <w:left w:val="nil"/>
              <w:bottom w:val="single" w:sz="8" w:space="0" w:color="auto"/>
              <w:right w:val="single" w:sz="8" w:space="0" w:color="auto"/>
            </w:tcBorders>
            <w:shd w:val="clear" w:color="auto" w:fill="auto"/>
            <w:vAlign w:val="center"/>
          </w:tcPr>
          <w:p w14:paraId="0BF4AFAF" w14:textId="77777777" w:rsidR="00335619" w:rsidRPr="0023367D" w:rsidRDefault="00335619" w:rsidP="00327EED">
            <w:pPr>
              <w:tabs>
                <w:tab w:val="left" w:pos="1629"/>
              </w:tabs>
              <w:ind w:right="606"/>
              <w:jc w:val="right"/>
              <w:rPr>
                <w:color w:val="000000"/>
              </w:rPr>
            </w:pPr>
            <w:r w:rsidRPr="0023367D">
              <w:rPr>
                <w:color w:val="000000"/>
              </w:rPr>
              <w:t>11.53%</w:t>
            </w:r>
          </w:p>
        </w:tc>
      </w:tr>
      <w:tr w:rsidR="00335619" w:rsidRPr="0023367D" w14:paraId="19F5C564" w14:textId="77777777" w:rsidTr="00327EED">
        <w:trPr>
          <w:jc w:val="center"/>
        </w:trPr>
        <w:tc>
          <w:tcPr>
            <w:tcW w:w="3531" w:type="dxa"/>
            <w:tcBorders>
              <w:top w:val="nil"/>
              <w:left w:val="single" w:sz="8" w:space="0" w:color="auto"/>
              <w:bottom w:val="single" w:sz="8" w:space="0" w:color="auto"/>
              <w:right w:val="single" w:sz="8" w:space="0" w:color="auto"/>
            </w:tcBorders>
            <w:shd w:val="clear" w:color="auto" w:fill="auto"/>
            <w:vAlign w:val="center"/>
          </w:tcPr>
          <w:p w14:paraId="5A57E860" w14:textId="77777777" w:rsidR="00335619" w:rsidRPr="0023367D" w:rsidRDefault="00335619" w:rsidP="00335619">
            <w:pPr>
              <w:jc w:val="center"/>
              <w:rPr>
                <w:color w:val="000000"/>
              </w:rPr>
            </w:pPr>
            <w:r w:rsidRPr="0023367D">
              <w:rPr>
                <w:color w:val="000000"/>
              </w:rPr>
              <w:t>48</w:t>
            </w:r>
          </w:p>
        </w:tc>
        <w:tc>
          <w:tcPr>
            <w:tcW w:w="1260" w:type="dxa"/>
            <w:tcBorders>
              <w:top w:val="nil"/>
              <w:left w:val="nil"/>
              <w:bottom w:val="single" w:sz="8" w:space="0" w:color="auto"/>
              <w:right w:val="single" w:sz="8" w:space="0" w:color="auto"/>
            </w:tcBorders>
            <w:shd w:val="clear" w:color="auto" w:fill="auto"/>
            <w:vAlign w:val="center"/>
          </w:tcPr>
          <w:p w14:paraId="797A9A4A" w14:textId="77777777" w:rsidR="00335619" w:rsidRPr="0023367D" w:rsidRDefault="00335619" w:rsidP="00335619">
            <w:pPr>
              <w:ind w:right="194"/>
              <w:jc w:val="right"/>
              <w:rPr>
                <w:color w:val="000000"/>
              </w:rPr>
            </w:pPr>
            <w:r w:rsidRPr="0023367D">
              <w:rPr>
                <w:color w:val="000000"/>
              </w:rPr>
              <w:t>196</w:t>
            </w:r>
          </w:p>
        </w:tc>
        <w:tc>
          <w:tcPr>
            <w:tcW w:w="1651" w:type="dxa"/>
            <w:tcBorders>
              <w:top w:val="nil"/>
              <w:left w:val="nil"/>
              <w:bottom w:val="single" w:sz="8" w:space="0" w:color="auto"/>
              <w:right w:val="single" w:sz="8" w:space="0" w:color="auto"/>
            </w:tcBorders>
            <w:shd w:val="clear" w:color="auto" w:fill="auto"/>
            <w:vAlign w:val="center"/>
          </w:tcPr>
          <w:p w14:paraId="6F7E0CE7" w14:textId="77777777" w:rsidR="00335619" w:rsidRPr="0023367D" w:rsidRDefault="00335619" w:rsidP="00335619">
            <w:pPr>
              <w:ind w:right="225"/>
              <w:jc w:val="right"/>
              <w:rPr>
                <w:color w:val="000000"/>
              </w:rPr>
            </w:pPr>
            <w:r w:rsidRPr="0023367D">
              <w:rPr>
                <w:color w:val="000000"/>
              </w:rPr>
              <w:t>7.12%</w:t>
            </w:r>
          </w:p>
        </w:tc>
        <w:tc>
          <w:tcPr>
            <w:tcW w:w="2367" w:type="dxa"/>
            <w:tcBorders>
              <w:top w:val="nil"/>
              <w:left w:val="nil"/>
              <w:bottom w:val="single" w:sz="8" w:space="0" w:color="auto"/>
              <w:right w:val="single" w:sz="8" w:space="0" w:color="auto"/>
            </w:tcBorders>
            <w:shd w:val="clear" w:color="auto" w:fill="auto"/>
            <w:vAlign w:val="center"/>
          </w:tcPr>
          <w:p w14:paraId="51C1FC38" w14:textId="77777777" w:rsidR="00335619" w:rsidRPr="0023367D" w:rsidRDefault="00335619" w:rsidP="00327EED">
            <w:pPr>
              <w:tabs>
                <w:tab w:val="left" w:pos="1629"/>
              </w:tabs>
              <w:ind w:right="606"/>
              <w:jc w:val="right"/>
              <w:rPr>
                <w:color w:val="000000"/>
              </w:rPr>
            </w:pPr>
            <w:r w:rsidRPr="0023367D">
              <w:rPr>
                <w:color w:val="000000"/>
              </w:rPr>
              <w:t>4.13%</w:t>
            </w:r>
          </w:p>
        </w:tc>
      </w:tr>
      <w:tr w:rsidR="00335619" w:rsidRPr="0023367D" w14:paraId="27C3EC82" w14:textId="77777777" w:rsidTr="00327EED">
        <w:trPr>
          <w:jc w:val="center"/>
        </w:trPr>
        <w:tc>
          <w:tcPr>
            <w:tcW w:w="3531" w:type="dxa"/>
            <w:tcBorders>
              <w:top w:val="nil"/>
              <w:left w:val="single" w:sz="8" w:space="0" w:color="auto"/>
              <w:bottom w:val="single" w:sz="8" w:space="0" w:color="auto"/>
              <w:right w:val="single" w:sz="8" w:space="0" w:color="auto"/>
            </w:tcBorders>
            <w:shd w:val="clear" w:color="auto" w:fill="auto"/>
            <w:vAlign w:val="center"/>
          </w:tcPr>
          <w:p w14:paraId="04A24707" w14:textId="77777777" w:rsidR="00335619" w:rsidRPr="0023367D" w:rsidRDefault="00335619" w:rsidP="00335619">
            <w:pPr>
              <w:jc w:val="center"/>
              <w:rPr>
                <w:color w:val="000000"/>
              </w:rPr>
            </w:pPr>
            <w:r w:rsidRPr="0023367D">
              <w:rPr>
                <w:color w:val="000000"/>
              </w:rPr>
              <w:t>73</w:t>
            </w:r>
          </w:p>
        </w:tc>
        <w:tc>
          <w:tcPr>
            <w:tcW w:w="1260" w:type="dxa"/>
            <w:tcBorders>
              <w:top w:val="nil"/>
              <w:left w:val="nil"/>
              <w:bottom w:val="single" w:sz="8" w:space="0" w:color="auto"/>
              <w:right w:val="single" w:sz="8" w:space="0" w:color="auto"/>
            </w:tcBorders>
            <w:shd w:val="clear" w:color="auto" w:fill="auto"/>
            <w:vAlign w:val="center"/>
          </w:tcPr>
          <w:p w14:paraId="608B85C6" w14:textId="77777777" w:rsidR="00335619" w:rsidRPr="0023367D" w:rsidRDefault="00335619" w:rsidP="00335619">
            <w:pPr>
              <w:ind w:right="194"/>
              <w:jc w:val="right"/>
              <w:rPr>
                <w:color w:val="000000"/>
              </w:rPr>
            </w:pPr>
            <w:r w:rsidRPr="0023367D">
              <w:rPr>
                <w:color w:val="000000"/>
              </w:rPr>
              <w:t>185</w:t>
            </w:r>
          </w:p>
        </w:tc>
        <w:tc>
          <w:tcPr>
            <w:tcW w:w="1651" w:type="dxa"/>
            <w:tcBorders>
              <w:top w:val="nil"/>
              <w:left w:val="nil"/>
              <w:bottom w:val="single" w:sz="8" w:space="0" w:color="auto"/>
              <w:right w:val="single" w:sz="8" w:space="0" w:color="auto"/>
            </w:tcBorders>
            <w:shd w:val="clear" w:color="auto" w:fill="auto"/>
            <w:vAlign w:val="center"/>
          </w:tcPr>
          <w:p w14:paraId="6397D98A" w14:textId="77777777" w:rsidR="00335619" w:rsidRPr="0023367D" w:rsidRDefault="00335619" w:rsidP="00335619">
            <w:pPr>
              <w:ind w:right="225"/>
              <w:jc w:val="right"/>
              <w:rPr>
                <w:color w:val="000000"/>
              </w:rPr>
            </w:pPr>
            <w:r w:rsidRPr="0023367D">
              <w:rPr>
                <w:color w:val="000000"/>
              </w:rPr>
              <w:t>6.72%</w:t>
            </w:r>
          </w:p>
        </w:tc>
        <w:tc>
          <w:tcPr>
            <w:tcW w:w="2367" w:type="dxa"/>
            <w:tcBorders>
              <w:top w:val="nil"/>
              <w:left w:val="nil"/>
              <w:bottom w:val="single" w:sz="8" w:space="0" w:color="auto"/>
              <w:right w:val="single" w:sz="8" w:space="0" w:color="auto"/>
            </w:tcBorders>
            <w:shd w:val="clear" w:color="auto" w:fill="auto"/>
            <w:vAlign w:val="center"/>
          </w:tcPr>
          <w:p w14:paraId="53817074" w14:textId="77777777" w:rsidR="00335619" w:rsidRPr="0023367D" w:rsidRDefault="00335619" w:rsidP="00327EED">
            <w:pPr>
              <w:tabs>
                <w:tab w:val="left" w:pos="1629"/>
              </w:tabs>
              <w:ind w:right="606"/>
              <w:jc w:val="right"/>
              <w:rPr>
                <w:color w:val="000000"/>
              </w:rPr>
            </w:pPr>
            <w:r w:rsidRPr="0023367D">
              <w:rPr>
                <w:color w:val="000000"/>
              </w:rPr>
              <w:t>12.65%</w:t>
            </w:r>
          </w:p>
        </w:tc>
      </w:tr>
      <w:tr w:rsidR="00335619" w:rsidRPr="0023367D" w14:paraId="296F94B9" w14:textId="77777777" w:rsidTr="00327EED">
        <w:trPr>
          <w:jc w:val="center"/>
        </w:trPr>
        <w:tc>
          <w:tcPr>
            <w:tcW w:w="3531" w:type="dxa"/>
            <w:tcBorders>
              <w:top w:val="nil"/>
              <w:left w:val="single" w:sz="8" w:space="0" w:color="auto"/>
              <w:bottom w:val="single" w:sz="8" w:space="0" w:color="auto"/>
              <w:right w:val="single" w:sz="8" w:space="0" w:color="auto"/>
            </w:tcBorders>
            <w:shd w:val="clear" w:color="auto" w:fill="auto"/>
            <w:vAlign w:val="center"/>
          </w:tcPr>
          <w:p w14:paraId="2254ECF4" w14:textId="77777777" w:rsidR="00335619" w:rsidRPr="0023367D" w:rsidRDefault="00335619" w:rsidP="00335619">
            <w:pPr>
              <w:jc w:val="center"/>
              <w:rPr>
                <w:color w:val="000000"/>
              </w:rPr>
            </w:pPr>
            <w:r w:rsidRPr="0023367D">
              <w:rPr>
                <w:color w:val="000000"/>
              </w:rPr>
              <w:t>36</w:t>
            </w:r>
          </w:p>
        </w:tc>
        <w:tc>
          <w:tcPr>
            <w:tcW w:w="1260" w:type="dxa"/>
            <w:tcBorders>
              <w:top w:val="nil"/>
              <w:left w:val="nil"/>
              <w:bottom w:val="single" w:sz="8" w:space="0" w:color="auto"/>
              <w:right w:val="single" w:sz="8" w:space="0" w:color="auto"/>
            </w:tcBorders>
            <w:shd w:val="clear" w:color="auto" w:fill="auto"/>
            <w:vAlign w:val="center"/>
          </w:tcPr>
          <w:p w14:paraId="2F13092F" w14:textId="77777777" w:rsidR="00335619" w:rsidRPr="0023367D" w:rsidRDefault="00335619" w:rsidP="00335619">
            <w:pPr>
              <w:ind w:right="194"/>
              <w:jc w:val="right"/>
              <w:rPr>
                <w:color w:val="000000"/>
              </w:rPr>
            </w:pPr>
            <w:r w:rsidRPr="0023367D">
              <w:rPr>
                <w:color w:val="000000"/>
              </w:rPr>
              <w:t>177</w:t>
            </w:r>
          </w:p>
        </w:tc>
        <w:tc>
          <w:tcPr>
            <w:tcW w:w="1651" w:type="dxa"/>
            <w:tcBorders>
              <w:top w:val="nil"/>
              <w:left w:val="nil"/>
              <w:bottom w:val="single" w:sz="8" w:space="0" w:color="auto"/>
              <w:right w:val="single" w:sz="8" w:space="0" w:color="auto"/>
            </w:tcBorders>
            <w:shd w:val="clear" w:color="auto" w:fill="auto"/>
            <w:vAlign w:val="center"/>
          </w:tcPr>
          <w:p w14:paraId="085420ED" w14:textId="77777777" w:rsidR="00335619" w:rsidRPr="0023367D" w:rsidRDefault="00335619" w:rsidP="00335619">
            <w:pPr>
              <w:ind w:right="225"/>
              <w:jc w:val="right"/>
              <w:rPr>
                <w:color w:val="000000"/>
              </w:rPr>
            </w:pPr>
            <w:r w:rsidRPr="0023367D">
              <w:rPr>
                <w:color w:val="000000"/>
              </w:rPr>
              <w:t>6.43%</w:t>
            </w:r>
          </w:p>
        </w:tc>
        <w:tc>
          <w:tcPr>
            <w:tcW w:w="2367" w:type="dxa"/>
            <w:tcBorders>
              <w:top w:val="nil"/>
              <w:left w:val="nil"/>
              <w:bottom w:val="single" w:sz="8" w:space="0" w:color="auto"/>
              <w:right w:val="single" w:sz="8" w:space="0" w:color="auto"/>
            </w:tcBorders>
            <w:shd w:val="clear" w:color="auto" w:fill="auto"/>
            <w:vAlign w:val="center"/>
          </w:tcPr>
          <w:p w14:paraId="1E7FD733" w14:textId="77777777" w:rsidR="00335619" w:rsidRPr="0023367D" w:rsidRDefault="00335619" w:rsidP="00327EED">
            <w:pPr>
              <w:tabs>
                <w:tab w:val="left" w:pos="1629"/>
              </w:tabs>
              <w:ind w:right="606"/>
              <w:jc w:val="right"/>
              <w:rPr>
                <w:color w:val="000000"/>
              </w:rPr>
            </w:pPr>
            <w:r w:rsidRPr="0023367D">
              <w:rPr>
                <w:color w:val="000000"/>
              </w:rPr>
              <w:t>9.24%</w:t>
            </w:r>
          </w:p>
        </w:tc>
      </w:tr>
      <w:tr w:rsidR="00335619" w:rsidRPr="0023367D" w14:paraId="416DC4D4" w14:textId="77777777" w:rsidTr="00327EED">
        <w:trPr>
          <w:jc w:val="center"/>
        </w:trPr>
        <w:tc>
          <w:tcPr>
            <w:tcW w:w="3531" w:type="dxa"/>
            <w:tcBorders>
              <w:top w:val="nil"/>
              <w:left w:val="single" w:sz="8" w:space="0" w:color="auto"/>
              <w:bottom w:val="single" w:sz="8" w:space="0" w:color="auto"/>
              <w:right w:val="single" w:sz="8" w:space="0" w:color="auto"/>
            </w:tcBorders>
            <w:shd w:val="clear" w:color="auto" w:fill="auto"/>
            <w:vAlign w:val="center"/>
          </w:tcPr>
          <w:p w14:paraId="38A944D7" w14:textId="77777777" w:rsidR="00335619" w:rsidRPr="0023367D" w:rsidRDefault="00335619" w:rsidP="00335619">
            <w:pPr>
              <w:jc w:val="center"/>
              <w:rPr>
                <w:color w:val="000000"/>
              </w:rPr>
            </w:pPr>
            <w:r w:rsidRPr="0023367D">
              <w:rPr>
                <w:color w:val="000000"/>
              </w:rPr>
              <w:t>49</w:t>
            </w:r>
          </w:p>
        </w:tc>
        <w:tc>
          <w:tcPr>
            <w:tcW w:w="1260" w:type="dxa"/>
            <w:tcBorders>
              <w:top w:val="nil"/>
              <w:left w:val="nil"/>
              <w:bottom w:val="single" w:sz="8" w:space="0" w:color="auto"/>
              <w:right w:val="single" w:sz="8" w:space="0" w:color="auto"/>
            </w:tcBorders>
            <w:shd w:val="clear" w:color="auto" w:fill="auto"/>
            <w:vAlign w:val="center"/>
          </w:tcPr>
          <w:p w14:paraId="50C2B875" w14:textId="77777777" w:rsidR="00335619" w:rsidRPr="0023367D" w:rsidRDefault="00335619" w:rsidP="00335619">
            <w:pPr>
              <w:ind w:right="194"/>
              <w:jc w:val="right"/>
              <w:rPr>
                <w:color w:val="000000"/>
              </w:rPr>
            </w:pPr>
            <w:r w:rsidRPr="0023367D">
              <w:rPr>
                <w:color w:val="000000"/>
              </w:rPr>
              <w:t>176</w:t>
            </w:r>
          </w:p>
        </w:tc>
        <w:tc>
          <w:tcPr>
            <w:tcW w:w="1651" w:type="dxa"/>
            <w:tcBorders>
              <w:top w:val="nil"/>
              <w:left w:val="nil"/>
              <w:bottom w:val="single" w:sz="8" w:space="0" w:color="auto"/>
              <w:right w:val="single" w:sz="8" w:space="0" w:color="auto"/>
            </w:tcBorders>
            <w:shd w:val="clear" w:color="auto" w:fill="auto"/>
            <w:vAlign w:val="center"/>
          </w:tcPr>
          <w:p w14:paraId="592B3DDD" w14:textId="77777777" w:rsidR="00335619" w:rsidRPr="0023367D" w:rsidRDefault="00335619" w:rsidP="00335619">
            <w:pPr>
              <w:ind w:right="225"/>
              <w:jc w:val="right"/>
              <w:rPr>
                <w:color w:val="000000"/>
              </w:rPr>
            </w:pPr>
            <w:r w:rsidRPr="0023367D">
              <w:rPr>
                <w:color w:val="000000"/>
              </w:rPr>
              <w:t>6.39%</w:t>
            </w:r>
          </w:p>
        </w:tc>
        <w:tc>
          <w:tcPr>
            <w:tcW w:w="2367" w:type="dxa"/>
            <w:tcBorders>
              <w:top w:val="nil"/>
              <w:left w:val="nil"/>
              <w:bottom w:val="single" w:sz="8" w:space="0" w:color="auto"/>
              <w:right w:val="single" w:sz="8" w:space="0" w:color="auto"/>
            </w:tcBorders>
            <w:shd w:val="clear" w:color="auto" w:fill="auto"/>
            <w:vAlign w:val="center"/>
          </w:tcPr>
          <w:p w14:paraId="6AF12D8F" w14:textId="77777777" w:rsidR="00335619" w:rsidRPr="0023367D" w:rsidRDefault="00335619" w:rsidP="00327EED">
            <w:pPr>
              <w:tabs>
                <w:tab w:val="left" w:pos="1629"/>
              </w:tabs>
              <w:ind w:right="606"/>
              <w:jc w:val="right"/>
              <w:rPr>
                <w:color w:val="000000"/>
              </w:rPr>
            </w:pPr>
            <w:r w:rsidRPr="0023367D">
              <w:rPr>
                <w:color w:val="000000"/>
              </w:rPr>
              <w:t>6.09%</w:t>
            </w:r>
          </w:p>
        </w:tc>
      </w:tr>
      <w:tr w:rsidR="00335619" w:rsidRPr="0023367D" w14:paraId="0D5DDE04" w14:textId="77777777" w:rsidTr="00327EED">
        <w:trPr>
          <w:jc w:val="center"/>
        </w:trPr>
        <w:tc>
          <w:tcPr>
            <w:tcW w:w="3531" w:type="dxa"/>
            <w:tcBorders>
              <w:top w:val="nil"/>
              <w:left w:val="single" w:sz="8" w:space="0" w:color="auto"/>
              <w:bottom w:val="single" w:sz="8" w:space="0" w:color="auto"/>
              <w:right w:val="single" w:sz="8" w:space="0" w:color="auto"/>
            </w:tcBorders>
            <w:shd w:val="clear" w:color="auto" w:fill="auto"/>
            <w:vAlign w:val="center"/>
          </w:tcPr>
          <w:p w14:paraId="2B24D8DA" w14:textId="77777777" w:rsidR="00335619" w:rsidRPr="0023367D" w:rsidRDefault="00335619" w:rsidP="00335619">
            <w:pPr>
              <w:jc w:val="center"/>
              <w:rPr>
                <w:color w:val="000000"/>
              </w:rPr>
            </w:pPr>
            <w:r w:rsidRPr="0023367D">
              <w:rPr>
                <w:color w:val="000000"/>
              </w:rPr>
              <w:t>13</w:t>
            </w:r>
          </w:p>
        </w:tc>
        <w:tc>
          <w:tcPr>
            <w:tcW w:w="1260" w:type="dxa"/>
            <w:tcBorders>
              <w:top w:val="nil"/>
              <w:left w:val="nil"/>
              <w:bottom w:val="single" w:sz="8" w:space="0" w:color="auto"/>
              <w:right w:val="single" w:sz="8" w:space="0" w:color="auto"/>
            </w:tcBorders>
            <w:shd w:val="clear" w:color="auto" w:fill="auto"/>
            <w:vAlign w:val="center"/>
          </w:tcPr>
          <w:p w14:paraId="3F9FE2E2" w14:textId="77777777" w:rsidR="00335619" w:rsidRPr="0023367D" w:rsidRDefault="00335619" w:rsidP="00335619">
            <w:pPr>
              <w:ind w:right="194"/>
              <w:jc w:val="right"/>
              <w:rPr>
                <w:color w:val="000000"/>
              </w:rPr>
            </w:pPr>
            <w:r w:rsidRPr="0023367D">
              <w:rPr>
                <w:color w:val="000000"/>
              </w:rPr>
              <w:t>167</w:t>
            </w:r>
          </w:p>
        </w:tc>
        <w:tc>
          <w:tcPr>
            <w:tcW w:w="1651" w:type="dxa"/>
            <w:tcBorders>
              <w:top w:val="nil"/>
              <w:left w:val="nil"/>
              <w:bottom w:val="single" w:sz="8" w:space="0" w:color="auto"/>
              <w:right w:val="single" w:sz="8" w:space="0" w:color="auto"/>
            </w:tcBorders>
            <w:shd w:val="clear" w:color="auto" w:fill="auto"/>
            <w:vAlign w:val="center"/>
          </w:tcPr>
          <w:p w14:paraId="73CFE113" w14:textId="77777777" w:rsidR="00335619" w:rsidRPr="0023367D" w:rsidRDefault="00335619" w:rsidP="00335619">
            <w:pPr>
              <w:ind w:right="225"/>
              <w:jc w:val="right"/>
              <w:rPr>
                <w:color w:val="000000"/>
              </w:rPr>
            </w:pPr>
            <w:r w:rsidRPr="0023367D">
              <w:rPr>
                <w:color w:val="000000"/>
              </w:rPr>
              <w:t>6.06%</w:t>
            </w:r>
          </w:p>
        </w:tc>
        <w:tc>
          <w:tcPr>
            <w:tcW w:w="2367" w:type="dxa"/>
            <w:tcBorders>
              <w:top w:val="nil"/>
              <w:left w:val="nil"/>
              <w:bottom w:val="single" w:sz="8" w:space="0" w:color="auto"/>
              <w:right w:val="single" w:sz="8" w:space="0" w:color="auto"/>
            </w:tcBorders>
            <w:shd w:val="clear" w:color="auto" w:fill="auto"/>
            <w:vAlign w:val="center"/>
          </w:tcPr>
          <w:p w14:paraId="08FA821A" w14:textId="77777777" w:rsidR="00335619" w:rsidRPr="0023367D" w:rsidRDefault="00335619" w:rsidP="00327EED">
            <w:pPr>
              <w:tabs>
                <w:tab w:val="left" w:pos="1629"/>
              </w:tabs>
              <w:ind w:right="606"/>
              <w:jc w:val="right"/>
              <w:rPr>
                <w:color w:val="000000"/>
              </w:rPr>
            </w:pPr>
            <w:r w:rsidRPr="0023367D">
              <w:rPr>
                <w:color w:val="000000"/>
              </w:rPr>
              <w:t>4.86%</w:t>
            </w:r>
          </w:p>
        </w:tc>
      </w:tr>
      <w:tr w:rsidR="00335619" w:rsidRPr="0023367D" w14:paraId="47A437A4" w14:textId="77777777" w:rsidTr="00327EED">
        <w:trPr>
          <w:jc w:val="center"/>
        </w:trPr>
        <w:tc>
          <w:tcPr>
            <w:tcW w:w="3531" w:type="dxa"/>
            <w:tcBorders>
              <w:top w:val="nil"/>
              <w:left w:val="single" w:sz="8" w:space="0" w:color="auto"/>
              <w:bottom w:val="single" w:sz="8" w:space="0" w:color="auto"/>
              <w:right w:val="single" w:sz="8" w:space="0" w:color="auto"/>
            </w:tcBorders>
            <w:shd w:val="clear" w:color="auto" w:fill="auto"/>
            <w:vAlign w:val="center"/>
          </w:tcPr>
          <w:p w14:paraId="651AE644" w14:textId="77777777" w:rsidR="00335619" w:rsidRPr="0023367D" w:rsidRDefault="00335619" w:rsidP="00335619">
            <w:pPr>
              <w:jc w:val="center"/>
              <w:rPr>
                <w:color w:val="000000"/>
              </w:rPr>
            </w:pPr>
            <w:r w:rsidRPr="0023367D">
              <w:rPr>
                <w:color w:val="000000"/>
              </w:rPr>
              <w:t>35</w:t>
            </w:r>
          </w:p>
        </w:tc>
        <w:tc>
          <w:tcPr>
            <w:tcW w:w="1260" w:type="dxa"/>
            <w:tcBorders>
              <w:top w:val="nil"/>
              <w:left w:val="nil"/>
              <w:bottom w:val="single" w:sz="8" w:space="0" w:color="auto"/>
              <w:right w:val="single" w:sz="8" w:space="0" w:color="auto"/>
            </w:tcBorders>
            <w:shd w:val="clear" w:color="auto" w:fill="auto"/>
            <w:vAlign w:val="center"/>
          </w:tcPr>
          <w:p w14:paraId="54009BFD" w14:textId="77777777" w:rsidR="00335619" w:rsidRPr="0023367D" w:rsidRDefault="00335619" w:rsidP="00335619">
            <w:pPr>
              <w:ind w:right="194"/>
              <w:jc w:val="right"/>
              <w:rPr>
                <w:color w:val="000000"/>
              </w:rPr>
            </w:pPr>
            <w:r w:rsidRPr="0023367D">
              <w:rPr>
                <w:color w:val="000000"/>
              </w:rPr>
              <w:t>155</w:t>
            </w:r>
          </w:p>
        </w:tc>
        <w:tc>
          <w:tcPr>
            <w:tcW w:w="1651" w:type="dxa"/>
            <w:tcBorders>
              <w:top w:val="nil"/>
              <w:left w:val="nil"/>
              <w:bottom w:val="single" w:sz="8" w:space="0" w:color="auto"/>
              <w:right w:val="single" w:sz="8" w:space="0" w:color="auto"/>
            </w:tcBorders>
            <w:shd w:val="clear" w:color="auto" w:fill="auto"/>
            <w:vAlign w:val="center"/>
          </w:tcPr>
          <w:p w14:paraId="366D1838" w14:textId="77777777" w:rsidR="00335619" w:rsidRPr="0023367D" w:rsidRDefault="00335619" w:rsidP="00335619">
            <w:pPr>
              <w:ind w:right="225"/>
              <w:jc w:val="right"/>
              <w:rPr>
                <w:color w:val="000000"/>
              </w:rPr>
            </w:pPr>
            <w:r w:rsidRPr="0023367D">
              <w:rPr>
                <w:color w:val="000000"/>
              </w:rPr>
              <w:t>5.63%</w:t>
            </w:r>
          </w:p>
        </w:tc>
        <w:tc>
          <w:tcPr>
            <w:tcW w:w="2367" w:type="dxa"/>
            <w:tcBorders>
              <w:top w:val="nil"/>
              <w:left w:val="nil"/>
              <w:bottom w:val="single" w:sz="8" w:space="0" w:color="auto"/>
              <w:right w:val="single" w:sz="8" w:space="0" w:color="auto"/>
            </w:tcBorders>
            <w:shd w:val="clear" w:color="auto" w:fill="auto"/>
            <w:vAlign w:val="center"/>
          </w:tcPr>
          <w:p w14:paraId="1246F7FC" w14:textId="77777777" w:rsidR="00335619" w:rsidRPr="0023367D" w:rsidRDefault="00335619" w:rsidP="00327EED">
            <w:pPr>
              <w:tabs>
                <w:tab w:val="left" w:pos="1629"/>
              </w:tabs>
              <w:ind w:right="606"/>
              <w:jc w:val="right"/>
              <w:rPr>
                <w:color w:val="000000"/>
              </w:rPr>
            </w:pPr>
            <w:r w:rsidRPr="0023367D">
              <w:rPr>
                <w:color w:val="000000"/>
              </w:rPr>
              <w:t>4.92%</w:t>
            </w:r>
          </w:p>
        </w:tc>
      </w:tr>
      <w:tr w:rsidR="00335619" w:rsidRPr="0023367D" w14:paraId="0496BEEB" w14:textId="77777777" w:rsidTr="00327EED">
        <w:trPr>
          <w:jc w:val="center"/>
        </w:trPr>
        <w:tc>
          <w:tcPr>
            <w:tcW w:w="3531" w:type="dxa"/>
            <w:tcBorders>
              <w:top w:val="nil"/>
              <w:left w:val="single" w:sz="8" w:space="0" w:color="auto"/>
              <w:bottom w:val="single" w:sz="8" w:space="0" w:color="auto"/>
              <w:right w:val="single" w:sz="8" w:space="0" w:color="auto"/>
            </w:tcBorders>
            <w:shd w:val="clear" w:color="auto" w:fill="auto"/>
            <w:vAlign w:val="center"/>
          </w:tcPr>
          <w:p w14:paraId="01F77828" w14:textId="77777777" w:rsidR="00335619" w:rsidRPr="0023367D" w:rsidRDefault="00335619" w:rsidP="00335619">
            <w:pPr>
              <w:jc w:val="center"/>
              <w:rPr>
                <w:color w:val="000000"/>
              </w:rPr>
            </w:pPr>
            <w:r w:rsidRPr="0023367D">
              <w:rPr>
                <w:color w:val="000000"/>
              </w:rPr>
              <w:t>All other industries</w:t>
            </w:r>
          </w:p>
        </w:tc>
        <w:tc>
          <w:tcPr>
            <w:tcW w:w="1260" w:type="dxa"/>
            <w:tcBorders>
              <w:top w:val="nil"/>
              <w:left w:val="nil"/>
              <w:bottom w:val="single" w:sz="8" w:space="0" w:color="auto"/>
              <w:right w:val="single" w:sz="8" w:space="0" w:color="auto"/>
            </w:tcBorders>
            <w:shd w:val="clear" w:color="auto" w:fill="auto"/>
            <w:vAlign w:val="center"/>
          </w:tcPr>
          <w:p w14:paraId="0DC94763" w14:textId="77777777" w:rsidR="00335619" w:rsidRPr="0023367D" w:rsidRDefault="00335619" w:rsidP="00335619">
            <w:pPr>
              <w:ind w:right="194"/>
              <w:jc w:val="right"/>
              <w:rPr>
                <w:color w:val="000000"/>
              </w:rPr>
            </w:pPr>
            <w:r w:rsidRPr="0023367D">
              <w:rPr>
                <w:color w:val="000000"/>
              </w:rPr>
              <w:t>1,493</w:t>
            </w:r>
          </w:p>
        </w:tc>
        <w:tc>
          <w:tcPr>
            <w:tcW w:w="1651" w:type="dxa"/>
            <w:tcBorders>
              <w:top w:val="nil"/>
              <w:left w:val="nil"/>
              <w:bottom w:val="single" w:sz="8" w:space="0" w:color="auto"/>
              <w:right w:val="single" w:sz="8" w:space="0" w:color="auto"/>
            </w:tcBorders>
            <w:shd w:val="clear" w:color="auto" w:fill="auto"/>
            <w:vAlign w:val="center"/>
          </w:tcPr>
          <w:p w14:paraId="7DC464EC" w14:textId="77777777" w:rsidR="00335619" w:rsidRPr="0023367D" w:rsidRDefault="00335619" w:rsidP="00335619">
            <w:pPr>
              <w:ind w:right="225"/>
              <w:jc w:val="right"/>
              <w:rPr>
                <w:color w:val="000000"/>
              </w:rPr>
            </w:pPr>
            <w:r w:rsidRPr="0023367D">
              <w:rPr>
                <w:color w:val="000000"/>
              </w:rPr>
              <w:t>54.21%</w:t>
            </w:r>
          </w:p>
        </w:tc>
        <w:tc>
          <w:tcPr>
            <w:tcW w:w="2367" w:type="dxa"/>
            <w:tcBorders>
              <w:top w:val="nil"/>
              <w:left w:val="nil"/>
              <w:bottom w:val="single" w:sz="8" w:space="0" w:color="auto"/>
              <w:right w:val="single" w:sz="8" w:space="0" w:color="auto"/>
            </w:tcBorders>
            <w:shd w:val="clear" w:color="auto" w:fill="auto"/>
            <w:vAlign w:val="center"/>
          </w:tcPr>
          <w:p w14:paraId="7260BF45" w14:textId="77777777" w:rsidR="00335619" w:rsidRPr="0023367D" w:rsidRDefault="00335619" w:rsidP="00327EED">
            <w:pPr>
              <w:tabs>
                <w:tab w:val="left" w:pos="1629"/>
              </w:tabs>
              <w:ind w:right="606"/>
              <w:jc w:val="right"/>
              <w:rPr>
                <w:color w:val="000000"/>
              </w:rPr>
            </w:pPr>
            <w:r w:rsidRPr="0023367D">
              <w:rPr>
                <w:color w:val="000000"/>
              </w:rPr>
              <w:t>46.58%</w:t>
            </w:r>
          </w:p>
        </w:tc>
      </w:tr>
    </w:tbl>
    <w:p w14:paraId="2626F2CC" w14:textId="77777777" w:rsidR="00335619" w:rsidRPr="0023367D" w:rsidRDefault="00335619" w:rsidP="00327EED">
      <w:pPr>
        <w:ind w:left="630" w:right="-180" w:hanging="360"/>
        <w:rPr>
          <w:sz w:val="22"/>
        </w:rPr>
      </w:pPr>
      <w:r w:rsidRPr="0023367D">
        <w:rPr>
          <w:vertAlign w:val="superscript"/>
        </w:rPr>
        <w:t xml:space="preserve">(a) </w:t>
      </w:r>
      <w:r w:rsidRPr="0023367D">
        <w:rPr>
          <w:sz w:val="20"/>
        </w:rPr>
        <w:t xml:space="preserve">Based on company’s most recent year in the sample. Financial institutions (SIC codes 6000-6999) are </w:t>
      </w:r>
      <w:r w:rsidR="00327EED" w:rsidRPr="0023367D">
        <w:rPr>
          <w:sz w:val="20"/>
        </w:rPr>
        <w:t>ex</w:t>
      </w:r>
      <w:r w:rsidRPr="0023367D">
        <w:rPr>
          <w:sz w:val="20"/>
        </w:rPr>
        <w:t>cluded.</w:t>
      </w:r>
    </w:p>
    <w:p w14:paraId="3F3D4324" w14:textId="77777777" w:rsidR="00335619" w:rsidRPr="0023367D" w:rsidRDefault="00335619" w:rsidP="00327EED">
      <w:pPr>
        <w:ind w:left="630" w:hanging="360"/>
        <w:rPr>
          <w:sz w:val="22"/>
          <w:vertAlign w:val="superscript"/>
        </w:rPr>
      </w:pPr>
      <w:r w:rsidRPr="0023367D">
        <w:rPr>
          <w:vertAlign w:val="superscript"/>
        </w:rPr>
        <w:t>(b)</w:t>
      </w:r>
      <w:r w:rsidRPr="0023367D">
        <w:rPr>
          <w:sz w:val="22"/>
          <w:szCs w:val="22"/>
        </w:rPr>
        <w:t xml:space="preserve"> </w:t>
      </w:r>
      <w:r w:rsidRPr="0023367D">
        <w:rPr>
          <w:sz w:val="20"/>
          <w:szCs w:val="22"/>
        </w:rPr>
        <w:t xml:space="preserve">Based on </w:t>
      </w:r>
      <w:proofErr w:type="spellStart"/>
      <w:r w:rsidRPr="0023367D">
        <w:rPr>
          <w:sz w:val="20"/>
          <w:szCs w:val="22"/>
        </w:rPr>
        <w:t>Compustat</w:t>
      </w:r>
      <w:proofErr w:type="spellEnd"/>
      <w:r w:rsidRPr="0023367D">
        <w:rPr>
          <w:sz w:val="20"/>
          <w:szCs w:val="22"/>
        </w:rPr>
        <w:t xml:space="preserve"> in 2010.</w:t>
      </w:r>
    </w:p>
    <w:p w14:paraId="2C459D69" w14:textId="77777777" w:rsidR="00335619" w:rsidRPr="0023367D" w:rsidRDefault="00335619" w:rsidP="00335619"/>
    <w:p w14:paraId="05B49D1D" w14:textId="77777777" w:rsidR="00205AE5" w:rsidRPr="0023367D" w:rsidRDefault="00205AE5" w:rsidP="00335619"/>
    <w:p w14:paraId="7CFC1E73" w14:textId="77777777" w:rsidR="00335619" w:rsidRPr="0023367D" w:rsidRDefault="00335619" w:rsidP="0043463F">
      <w:pPr>
        <w:pStyle w:val="ColorfulList-Accent11"/>
        <w:spacing w:after="0" w:line="240" w:lineRule="auto"/>
        <w:ind w:left="0"/>
        <w:rPr>
          <w:rFonts w:ascii="Times New Roman" w:hAnsi="Times New Roman" w:cs="Times New Roman"/>
          <w:sz w:val="24"/>
          <w:szCs w:val="24"/>
        </w:rPr>
      </w:pPr>
      <w:r w:rsidRPr="0023367D">
        <w:rPr>
          <w:rFonts w:ascii="Times New Roman" w:hAnsi="Times New Roman" w:cs="Times New Roman"/>
          <w:b/>
          <w:sz w:val="24"/>
          <w:szCs w:val="24"/>
        </w:rPr>
        <w:t xml:space="preserve">       C. Firm Characteristics in Selected Years </w:t>
      </w:r>
      <w:r w:rsidRPr="0023367D">
        <w:rPr>
          <w:rFonts w:ascii="Times New Roman" w:hAnsi="Times New Roman" w:cs="Times New Roman"/>
          <w:sz w:val="24"/>
          <w:szCs w:val="24"/>
        </w:rPr>
        <w:t>(in $ millions, except the Debt/Equity ratio)</w:t>
      </w:r>
    </w:p>
    <w:tbl>
      <w:tblPr>
        <w:tblW w:w="5179" w:type="pct"/>
        <w:tblLook w:val="04A0" w:firstRow="1" w:lastRow="0" w:firstColumn="1" w:lastColumn="0" w:noHBand="0" w:noVBand="1"/>
      </w:tblPr>
      <w:tblGrid>
        <w:gridCol w:w="1260"/>
        <w:gridCol w:w="1727"/>
        <w:gridCol w:w="1098"/>
        <w:gridCol w:w="1220"/>
        <w:gridCol w:w="1134"/>
        <w:gridCol w:w="1310"/>
        <w:gridCol w:w="1925"/>
      </w:tblGrid>
      <w:tr w:rsidR="00335619" w:rsidRPr="0023367D" w14:paraId="2B78E0BF" w14:textId="77777777" w:rsidTr="00327EED">
        <w:trPr>
          <w:trHeight w:val="1320"/>
        </w:trPr>
        <w:tc>
          <w:tcPr>
            <w:tcW w:w="655" w:type="pct"/>
            <w:tcBorders>
              <w:top w:val="single" w:sz="8" w:space="0" w:color="auto"/>
              <w:left w:val="single" w:sz="8" w:space="0" w:color="auto"/>
              <w:bottom w:val="single" w:sz="8" w:space="0" w:color="auto"/>
              <w:right w:val="single" w:sz="8" w:space="0" w:color="auto"/>
            </w:tcBorders>
            <w:shd w:val="clear" w:color="auto" w:fill="auto"/>
            <w:vAlign w:val="center"/>
          </w:tcPr>
          <w:p w14:paraId="6F291577" w14:textId="77777777" w:rsidR="00335619" w:rsidRPr="0023367D" w:rsidRDefault="00335619">
            <w:pPr>
              <w:jc w:val="center"/>
              <w:rPr>
                <w:color w:val="000000"/>
                <w:lang w:bidi="he-IL"/>
              </w:rPr>
            </w:pPr>
            <w:r w:rsidRPr="0023367D">
              <w:rPr>
                <w:color w:val="000000"/>
              </w:rPr>
              <w:t>Year</w:t>
            </w:r>
          </w:p>
        </w:tc>
        <w:tc>
          <w:tcPr>
            <w:tcW w:w="873" w:type="pct"/>
            <w:tcBorders>
              <w:top w:val="single" w:sz="8" w:space="0" w:color="auto"/>
              <w:left w:val="nil"/>
              <w:bottom w:val="single" w:sz="8" w:space="0" w:color="auto"/>
              <w:right w:val="single" w:sz="8" w:space="0" w:color="auto"/>
            </w:tcBorders>
            <w:shd w:val="clear" w:color="auto" w:fill="auto"/>
            <w:vAlign w:val="center"/>
          </w:tcPr>
          <w:p w14:paraId="16296175" w14:textId="77777777" w:rsidR="00335619" w:rsidRPr="0023367D" w:rsidRDefault="00335619">
            <w:pPr>
              <w:jc w:val="center"/>
              <w:rPr>
                <w:color w:val="000000"/>
              </w:rPr>
            </w:pPr>
            <w:r w:rsidRPr="0023367D">
              <w:rPr>
                <w:color w:val="000000"/>
              </w:rPr>
              <w:t>Characteristic</w:t>
            </w:r>
            <w:r w:rsidRPr="0023367D">
              <w:rPr>
                <w:color w:val="000000"/>
                <w:vertAlign w:val="superscript"/>
              </w:rPr>
              <w:t>(a)</w:t>
            </w:r>
          </w:p>
        </w:tc>
        <w:tc>
          <w:tcPr>
            <w:tcW w:w="571" w:type="pct"/>
            <w:tcBorders>
              <w:top w:val="single" w:sz="8" w:space="0" w:color="auto"/>
              <w:left w:val="nil"/>
              <w:bottom w:val="single" w:sz="8" w:space="0" w:color="auto"/>
              <w:right w:val="single" w:sz="8" w:space="0" w:color="auto"/>
            </w:tcBorders>
            <w:shd w:val="clear" w:color="auto" w:fill="auto"/>
            <w:vAlign w:val="center"/>
          </w:tcPr>
          <w:p w14:paraId="4C8C7648" w14:textId="77777777" w:rsidR="00335619" w:rsidRPr="0023367D" w:rsidRDefault="00335619">
            <w:pPr>
              <w:jc w:val="center"/>
              <w:rPr>
                <w:color w:val="000000"/>
              </w:rPr>
            </w:pPr>
            <w:r w:rsidRPr="0023367D">
              <w:rPr>
                <w:color w:val="000000"/>
              </w:rPr>
              <w:t>Mean</w:t>
            </w:r>
          </w:p>
        </w:tc>
        <w:tc>
          <w:tcPr>
            <w:tcW w:w="634" w:type="pct"/>
            <w:tcBorders>
              <w:top w:val="single" w:sz="8" w:space="0" w:color="auto"/>
              <w:left w:val="nil"/>
              <w:bottom w:val="single" w:sz="8" w:space="0" w:color="auto"/>
              <w:right w:val="single" w:sz="8" w:space="0" w:color="auto"/>
            </w:tcBorders>
            <w:shd w:val="clear" w:color="auto" w:fill="auto"/>
            <w:vAlign w:val="center"/>
          </w:tcPr>
          <w:p w14:paraId="43A28B83" w14:textId="77777777" w:rsidR="00335619" w:rsidRPr="0023367D" w:rsidRDefault="00335619">
            <w:pPr>
              <w:jc w:val="center"/>
              <w:rPr>
                <w:color w:val="000000"/>
              </w:rPr>
            </w:pPr>
            <w:r w:rsidRPr="0023367D">
              <w:rPr>
                <w:color w:val="000000"/>
              </w:rPr>
              <w:t>Quartile 1</w:t>
            </w:r>
          </w:p>
        </w:tc>
        <w:tc>
          <w:tcPr>
            <w:tcW w:w="589" w:type="pct"/>
            <w:tcBorders>
              <w:top w:val="single" w:sz="8" w:space="0" w:color="auto"/>
              <w:left w:val="nil"/>
              <w:bottom w:val="single" w:sz="8" w:space="0" w:color="auto"/>
              <w:right w:val="single" w:sz="8" w:space="0" w:color="auto"/>
            </w:tcBorders>
            <w:shd w:val="clear" w:color="auto" w:fill="auto"/>
            <w:vAlign w:val="center"/>
          </w:tcPr>
          <w:p w14:paraId="4DCEF4E2" w14:textId="77777777" w:rsidR="00335619" w:rsidRPr="0023367D" w:rsidRDefault="00335619">
            <w:pPr>
              <w:jc w:val="center"/>
              <w:rPr>
                <w:color w:val="000000"/>
              </w:rPr>
            </w:pPr>
            <w:r w:rsidRPr="0023367D">
              <w:rPr>
                <w:color w:val="000000"/>
              </w:rPr>
              <w:t xml:space="preserve">Median </w:t>
            </w:r>
          </w:p>
        </w:tc>
        <w:tc>
          <w:tcPr>
            <w:tcW w:w="680" w:type="pct"/>
            <w:tcBorders>
              <w:top w:val="single" w:sz="8" w:space="0" w:color="auto"/>
              <w:left w:val="nil"/>
              <w:bottom w:val="single" w:sz="8" w:space="0" w:color="auto"/>
              <w:right w:val="single" w:sz="8" w:space="0" w:color="auto"/>
            </w:tcBorders>
            <w:shd w:val="clear" w:color="auto" w:fill="auto"/>
            <w:vAlign w:val="center"/>
          </w:tcPr>
          <w:p w14:paraId="17956935" w14:textId="77777777" w:rsidR="00335619" w:rsidRPr="0023367D" w:rsidRDefault="00335619">
            <w:pPr>
              <w:jc w:val="center"/>
              <w:rPr>
                <w:color w:val="000000"/>
              </w:rPr>
            </w:pPr>
            <w:r w:rsidRPr="0023367D">
              <w:rPr>
                <w:color w:val="000000"/>
              </w:rPr>
              <w:t>Quartile 3</w:t>
            </w:r>
          </w:p>
        </w:tc>
        <w:tc>
          <w:tcPr>
            <w:tcW w:w="998" w:type="pct"/>
            <w:tcBorders>
              <w:top w:val="single" w:sz="8" w:space="0" w:color="auto"/>
              <w:left w:val="nil"/>
              <w:bottom w:val="single" w:sz="8" w:space="0" w:color="auto"/>
              <w:right w:val="single" w:sz="8" w:space="0" w:color="auto"/>
            </w:tcBorders>
            <w:shd w:val="clear" w:color="auto" w:fill="auto"/>
            <w:vAlign w:val="center"/>
          </w:tcPr>
          <w:p w14:paraId="59F1C755" w14:textId="77777777" w:rsidR="00335619" w:rsidRPr="0023367D" w:rsidRDefault="00335619">
            <w:pPr>
              <w:jc w:val="center"/>
              <w:rPr>
                <w:color w:val="000000"/>
              </w:rPr>
            </w:pPr>
            <w:r w:rsidRPr="0023367D">
              <w:rPr>
                <w:color w:val="000000"/>
              </w:rPr>
              <w:t>Mean across the Medians of the Firms’ Respective Industries</w:t>
            </w:r>
            <w:r w:rsidRPr="0023367D">
              <w:rPr>
                <w:color w:val="000000"/>
                <w:vertAlign w:val="superscript"/>
              </w:rPr>
              <w:t>(b)</w:t>
            </w:r>
          </w:p>
        </w:tc>
      </w:tr>
      <w:tr w:rsidR="00335619" w:rsidRPr="0023367D" w14:paraId="3D4839D2" w14:textId="77777777" w:rsidTr="00327EED">
        <w:trPr>
          <w:trHeight w:val="324"/>
        </w:trPr>
        <w:tc>
          <w:tcPr>
            <w:tcW w:w="655" w:type="pct"/>
            <w:vMerge w:val="restart"/>
            <w:tcBorders>
              <w:top w:val="nil"/>
              <w:left w:val="single" w:sz="8" w:space="0" w:color="auto"/>
              <w:right w:val="single" w:sz="8" w:space="0" w:color="auto"/>
            </w:tcBorders>
            <w:shd w:val="clear" w:color="auto" w:fill="auto"/>
            <w:vAlign w:val="center"/>
          </w:tcPr>
          <w:p w14:paraId="5752C332" w14:textId="77777777" w:rsidR="00335619" w:rsidRPr="0023367D" w:rsidRDefault="00335619" w:rsidP="00335619">
            <w:pPr>
              <w:jc w:val="center"/>
              <w:rPr>
                <w:color w:val="000000"/>
              </w:rPr>
            </w:pPr>
            <w:r w:rsidRPr="0023367D">
              <w:rPr>
                <w:color w:val="000000"/>
              </w:rPr>
              <w:t>1985</w:t>
            </w:r>
          </w:p>
          <w:p w14:paraId="1D173DC4" w14:textId="77777777" w:rsidR="00335619" w:rsidRPr="0023367D" w:rsidRDefault="00335619" w:rsidP="00335619">
            <w:pPr>
              <w:jc w:val="center"/>
              <w:rPr>
                <w:color w:val="000000"/>
              </w:rPr>
            </w:pPr>
            <w:r w:rsidRPr="0023367D">
              <w:rPr>
                <w:color w:val="000000"/>
              </w:rPr>
              <w:t>(n=499)</w:t>
            </w:r>
          </w:p>
          <w:p w14:paraId="1FA9518F" w14:textId="77777777" w:rsidR="00335619" w:rsidRPr="0023367D" w:rsidRDefault="00335619" w:rsidP="00335619">
            <w:pPr>
              <w:jc w:val="center"/>
              <w:rPr>
                <w:rFonts w:ascii="Calibri" w:hAnsi="Calibri"/>
                <w:color w:val="000000"/>
                <w:sz w:val="22"/>
                <w:szCs w:val="22"/>
              </w:rPr>
            </w:pPr>
          </w:p>
          <w:p w14:paraId="3DAAAE1F" w14:textId="77777777" w:rsidR="00335619" w:rsidRPr="0023367D" w:rsidRDefault="00335619" w:rsidP="00335619">
            <w:pPr>
              <w:jc w:val="center"/>
              <w:rPr>
                <w:color w:val="000000"/>
              </w:rPr>
            </w:pPr>
          </w:p>
        </w:tc>
        <w:tc>
          <w:tcPr>
            <w:tcW w:w="873" w:type="pct"/>
            <w:tcBorders>
              <w:top w:val="nil"/>
              <w:left w:val="nil"/>
              <w:bottom w:val="single" w:sz="8" w:space="0" w:color="auto"/>
              <w:right w:val="single" w:sz="8" w:space="0" w:color="auto"/>
            </w:tcBorders>
            <w:shd w:val="clear" w:color="auto" w:fill="auto"/>
            <w:vAlign w:val="center"/>
          </w:tcPr>
          <w:p w14:paraId="57E6A690" w14:textId="77777777" w:rsidR="00335619" w:rsidRPr="0023367D" w:rsidRDefault="00335619">
            <w:pPr>
              <w:rPr>
                <w:color w:val="000000"/>
              </w:rPr>
            </w:pPr>
            <w:r w:rsidRPr="0023367D">
              <w:rPr>
                <w:color w:val="000000"/>
              </w:rPr>
              <w:t xml:space="preserve">Total Assets </w:t>
            </w:r>
          </w:p>
        </w:tc>
        <w:tc>
          <w:tcPr>
            <w:tcW w:w="571" w:type="pct"/>
            <w:tcBorders>
              <w:top w:val="nil"/>
              <w:left w:val="nil"/>
              <w:bottom w:val="single" w:sz="8" w:space="0" w:color="auto"/>
              <w:right w:val="single" w:sz="8" w:space="0" w:color="auto"/>
            </w:tcBorders>
            <w:shd w:val="clear" w:color="auto" w:fill="auto"/>
            <w:vAlign w:val="center"/>
          </w:tcPr>
          <w:p w14:paraId="4690D135" w14:textId="77777777" w:rsidR="00335619" w:rsidRPr="0023367D" w:rsidRDefault="00335619">
            <w:pPr>
              <w:jc w:val="center"/>
              <w:rPr>
                <w:color w:val="000000"/>
              </w:rPr>
            </w:pPr>
            <w:r w:rsidRPr="0023367D">
              <w:rPr>
                <w:color w:val="000000"/>
              </w:rPr>
              <w:t>2,530.1</w:t>
            </w:r>
          </w:p>
        </w:tc>
        <w:tc>
          <w:tcPr>
            <w:tcW w:w="634" w:type="pct"/>
            <w:tcBorders>
              <w:top w:val="nil"/>
              <w:left w:val="nil"/>
              <w:bottom w:val="single" w:sz="8" w:space="0" w:color="auto"/>
              <w:right w:val="single" w:sz="8" w:space="0" w:color="auto"/>
            </w:tcBorders>
            <w:shd w:val="clear" w:color="auto" w:fill="auto"/>
            <w:vAlign w:val="center"/>
          </w:tcPr>
          <w:p w14:paraId="3CB6B180" w14:textId="77777777" w:rsidR="00335619" w:rsidRPr="0023367D" w:rsidRDefault="00335619">
            <w:pPr>
              <w:jc w:val="center"/>
              <w:rPr>
                <w:color w:val="000000"/>
              </w:rPr>
            </w:pPr>
            <w:r w:rsidRPr="0023367D">
              <w:rPr>
                <w:color w:val="000000"/>
              </w:rPr>
              <w:t>206.4</w:t>
            </w:r>
          </w:p>
        </w:tc>
        <w:tc>
          <w:tcPr>
            <w:tcW w:w="589" w:type="pct"/>
            <w:tcBorders>
              <w:top w:val="nil"/>
              <w:left w:val="nil"/>
              <w:bottom w:val="single" w:sz="8" w:space="0" w:color="auto"/>
              <w:right w:val="single" w:sz="8" w:space="0" w:color="auto"/>
            </w:tcBorders>
            <w:shd w:val="clear" w:color="auto" w:fill="auto"/>
            <w:vAlign w:val="center"/>
          </w:tcPr>
          <w:p w14:paraId="47C44DC5" w14:textId="77777777" w:rsidR="00335619" w:rsidRPr="0023367D" w:rsidRDefault="00335619">
            <w:pPr>
              <w:jc w:val="center"/>
              <w:rPr>
                <w:color w:val="000000"/>
              </w:rPr>
            </w:pPr>
            <w:r w:rsidRPr="0023367D">
              <w:rPr>
                <w:color w:val="000000"/>
              </w:rPr>
              <w:t>729.3</w:t>
            </w:r>
          </w:p>
        </w:tc>
        <w:tc>
          <w:tcPr>
            <w:tcW w:w="680" w:type="pct"/>
            <w:tcBorders>
              <w:top w:val="nil"/>
              <w:left w:val="nil"/>
              <w:bottom w:val="single" w:sz="8" w:space="0" w:color="auto"/>
              <w:right w:val="single" w:sz="8" w:space="0" w:color="auto"/>
            </w:tcBorders>
            <w:shd w:val="clear" w:color="auto" w:fill="auto"/>
            <w:vAlign w:val="center"/>
          </w:tcPr>
          <w:p w14:paraId="50E86957" w14:textId="77777777" w:rsidR="00335619" w:rsidRPr="0023367D" w:rsidRDefault="00335619">
            <w:pPr>
              <w:jc w:val="center"/>
              <w:rPr>
                <w:color w:val="000000"/>
              </w:rPr>
            </w:pPr>
            <w:r w:rsidRPr="0023367D">
              <w:rPr>
                <w:color w:val="000000"/>
              </w:rPr>
              <w:t>2,528.0</w:t>
            </w:r>
          </w:p>
        </w:tc>
        <w:tc>
          <w:tcPr>
            <w:tcW w:w="998" w:type="pct"/>
            <w:tcBorders>
              <w:top w:val="nil"/>
              <w:left w:val="nil"/>
              <w:bottom w:val="single" w:sz="8" w:space="0" w:color="auto"/>
              <w:right w:val="single" w:sz="8" w:space="0" w:color="auto"/>
            </w:tcBorders>
            <w:shd w:val="clear" w:color="auto" w:fill="auto"/>
            <w:vAlign w:val="center"/>
          </w:tcPr>
          <w:p w14:paraId="7F1E0239" w14:textId="77777777" w:rsidR="00335619" w:rsidRPr="0023367D" w:rsidRDefault="00335619">
            <w:pPr>
              <w:jc w:val="center"/>
              <w:rPr>
                <w:color w:val="000000"/>
              </w:rPr>
            </w:pPr>
            <w:r w:rsidRPr="0023367D">
              <w:rPr>
                <w:color w:val="000000"/>
              </w:rPr>
              <w:t>587.0</w:t>
            </w:r>
          </w:p>
        </w:tc>
      </w:tr>
      <w:tr w:rsidR="00335619" w:rsidRPr="0023367D" w14:paraId="53FE85E1" w14:textId="77777777" w:rsidTr="00327EED">
        <w:trPr>
          <w:trHeight w:val="324"/>
        </w:trPr>
        <w:tc>
          <w:tcPr>
            <w:tcW w:w="655" w:type="pct"/>
            <w:vMerge/>
            <w:tcBorders>
              <w:left w:val="single" w:sz="8" w:space="0" w:color="auto"/>
              <w:right w:val="single" w:sz="8" w:space="0" w:color="auto"/>
            </w:tcBorders>
            <w:shd w:val="clear" w:color="auto" w:fill="auto"/>
            <w:vAlign w:val="center"/>
          </w:tcPr>
          <w:p w14:paraId="16DF0389" w14:textId="77777777" w:rsidR="00335619" w:rsidRPr="0023367D" w:rsidRDefault="00335619" w:rsidP="00335619">
            <w:pPr>
              <w:jc w:val="center"/>
              <w:rPr>
                <w:color w:val="000000"/>
              </w:rPr>
            </w:pPr>
          </w:p>
        </w:tc>
        <w:tc>
          <w:tcPr>
            <w:tcW w:w="873" w:type="pct"/>
            <w:tcBorders>
              <w:top w:val="nil"/>
              <w:left w:val="nil"/>
              <w:bottom w:val="single" w:sz="8" w:space="0" w:color="auto"/>
              <w:right w:val="single" w:sz="8" w:space="0" w:color="auto"/>
            </w:tcBorders>
            <w:shd w:val="clear" w:color="auto" w:fill="auto"/>
            <w:vAlign w:val="center"/>
          </w:tcPr>
          <w:p w14:paraId="049754DF" w14:textId="77777777" w:rsidR="00335619" w:rsidRPr="0023367D" w:rsidRDefault="00335619">
            <w:pPr>
              <w:rPr>
                <w:color w:val="000000"/>
              </w:rPr>
            </w:pPr>
            <w:r w:rsidRPr="0023367D">
              <w:rPr>
                <w:color w:val="000000"/>
              </w:rPr>
              <w:t>Sales</w:t>
            </w:r>
          </w:p>
        </w:tc>
        <w:tc>
          <w:tcPr>
            <w:tcW w:w="571" w:type="pct"/>
            <w:tcBorders>
              <w:top w:val="nil"/>
              <w:left w:val="nil"/>
              <w:bottom w:val="single" w:sz="8" w:space="0" w:color="auto"/>
              <w:right w:val="single" w:sz="8" w:space="0" w:color="auto"/>
            </w:tcBorders>
            <w:shd w:val="clear" w:color="auto" w:fill="auto"/>
            <w:vAlign w:val="center"/>
          </w:tcPr>
          <w:p w14:paraId="3C9FA808" w14:textId="77777777" w:rsidR="00335619" w:rsidRPr="0023367D" w:rsidRDefault="00335619">
            <w:pPr>
              <w:jc w:val="center"/>
              <w:rPr>
                <w:color w:val="000000"/>
              </w:rPr>
            </w:pPr>
            <w:r w:rsidRPr="0023367D">
              <w:rPr>
                <w:color w:val="000000"/>
              </w:rPr>
              <w:t>2,830.4</w:t>
            </w:r>
          </w:p>
        </w:tc>
        <w:tc>
          <w:tcPr>
            <w:tcW w:w="634" w:type="pct"/>
            <w:tcBorders>
              <w:top w:val="nil"/>
              <w:left w:val="nil"/>
              <w:bottom w:val="single" w:sz="8" w:space="0" w:color="auto"/>
              <w:right w:val="single" w:sz="8" w:space="0" w:color="auto"/>
            </w:tcBorders>
            <w:shd w:val="clear" w:color="auto" w:fill="auto"/>
            <w:vAlign w:val="center"/>
          </w:tcPr>
          <w:p w14:paraId="53FE1D83" w14:textId="77777777" w:rsidR="00335619" w:rsidRPr="0023367D" w:rsidRDefault="00335619">
            <w:pPr>
              <w:jc w:val="center"/>
              <w:rPr>
                <w:color w:val="000000"/>
              </w:rPr>
            </w:pPr>
            <w:r w:rsidRPr="0023367D">
              <w:rPr>
                <w:color w:val="000000"/>
              </w:rPr>
              <w:t>181.2</w:t>
            </w:r>
          </w:p>
        </w:tc>
        <w:tc>
          <w:tcPr>
            <w:tcW w:w="589" w:type="pct"/>
            <w:tcBorders>
              <w:top w:val="nil"/>
              <w:left w:val="nil"/>
              <w:bottom w:val="single" w:sz="8" w:space="0" w:color="auto"/>
              <w:right w:val="single" w:sz="8" w:space="0" w:color="auto"/>
            </w:tcBorders>
            <w:shd w:val="clear" w:color="auto" w:fill="auto"/>
            <w:vAlign w:val="center"/>
          </w:tcPr>
          <w:p w14:paraId="56BF05ED" w14:textId="77777777" w:rsidR="00335619" w:rsidRPr="0023367D" w:rsidRDefault="00335619">
            <w:pPr>
              <w:jc w:val="center"/>
              <w:rPr>
                <w:color w:val="000000"/>
              </w:rPr>
            </w:pPr>
            <w:r w:rsidRPr="0023367D">
              <w:rPr>
                <w:color w:val="000000"/>
              </w:rPr>
              <w:t>795.4</w:t>
            </w:r>
          </w:p>
        </w:tc>
        <w:tc>
          <w:tcPr>
            <w:tcW w:w="680" w:type="pct"/>
            <w:tcBorders>
              <w:top w:val="nil"/>
              <w:left w:val="nil"/>
              <w:bottom w:val="single" w:sz="8" w:space="0" w:color="auto"/>
              <w:right w:val="single" w:sz="8" w:space="0" w:color="auto"/>
            </w:tcBorders>
            <w:shd w:val="clear" w:color="auto" w:fill="auto"/>
            <w:vAlign w:val="center"/>
          </w:tcPr>
          <w:p w14:paraId="79533F0B" w14:textId="77777777" w:rsidR="00335619" w:rsidRPr="0023367D" w:rsidRDefault="00335619">
            <w:pPr>
              <w:jc w:val="center"/>
              <w:rPr>
                <w:color w:val="000000"/>
              </w:rPr>
            </w:pPr>
            <w:r w:rsidRPr="0023367D">
              <w:rPr>
                <w:color w:val="000000"/>
              </w:rPr>
              <w:t>2,854.8</w:t>
            </w:r>
          </w:p>
        </w:tc>
        <w:tc>
          <w:tcPr>
            <w:tcW w:w="998" w:type="pct"/>
            <w:tcBorders>
              <w:top w:val="nil"/>
              <w:left w:val="nil"/>
              <w:bottom w:val="single" w:sz="8" w:space="0" w:color="auto"/>
              <w:right w:val="single" w:sz="8" w:space="0" w:color="auto"/>
            </w:tcBorders>
            <w:shd w:val="clear" w:color="auto" w:fill="auto"/>
            <w:vAlign w:val="center"/>
          </w:tcPr>
          <w:p w14:paraId="09A6830F" w14:textId="77777777" w:rsidR="00335619" w:rsidRPr="0023367D" w:rsidRDefault="00335619">
            <w:pPr>
              <w:jc w:val="center"/>
              <w:rPr>
                <w:color w:val="000000"/>
              </w:rPr>
            </w:pPr>
            <w:r w:rsidRPr="0023367D">
              <w:rPr>
                <w:color w:val="000000"/>
              </w:rPr>
              <w:t>653.7</w:t>
            </w:r>
          </w:p>
        </w:tc>
      </w:tr>
      <w:tr w:rsidR="00335619" w:rsidRPr="0023367D" w14:paraId="18DA0056" w14:textId="77777777" w:rsidTr="00327EED">
        <w:trPr>
          <w:trHeight w:val="324"/>
        </w:trPr>
        <w:tc>
          <w:tcPr>
            <w:tcW w:w="655" w:type="pct"/>
            <w:vMerge/>
            <w:tcBorders>
              <w:left w:val="single" w:sz="8" w:space="0" w:color="auto"/>
              <w:right w:val="single" w:sz="8" w:space="0" w:color="auto"/>
            </w:tcBorders>
            <w:shd w:val="clear" w:color="auto" w:fill="auto"/>
            <w:vAlign w:val="center"/>
          </w:tcPr>
          <w:p w14:paraId="6662E1C0" w14:textId="77777777" w:rsidR="00335619" w:rsidRPr="0023367D" w:rsidRDefault="00335619" w:rsidP="00335619">
            <w:pPr>
              <w:jc w:val="center"/>
              <w:rPr>
                <w:rFonts w:ascii="Calibri" w:hAnsi="Calibri"/>
                <w:color w:val="000000"/>
                <w:sz w:val="22"/>
                <w:szCs w:val="22"/>
              </w:rPr>
            </w:pPr>
          </w:p>
        </w:tc>
        <w:tc>
          <w:tcPr>
            <w:tcW w:w="873" w:type="pct"/>
            <w:tcBorders>
              <w:top w:val="nil"/>
              <w:left w:val="nil"/>
              <w:bottom w:val="single" w:sz="8" w:space="0" w:color="auto"/>
              <w:right w:val="single" w:sz="8" w:space="0" w:color="auto"/>
            </w:tcBorders>
            <w:shd w:val="clear" w:color="auto" w:fill="auto"/>
            <w:vAlign w:val="center"/>
          </w:tcPr>
          <w:p w14:paraId="7A7B7ADB" w14:textId="77777777" w:rsidR="00335619" w:rsidRPr="0023367D" w:rsidRDefault="00335619">
            <w:pPr>
              <w:rPr>
                <w:color w:val="000000"/>
              </w:rPr>
            </w:pPr>
            <w:r w:rsidRPr="0023367D">
              <w:rPr>
                <w:color w:val="000000"/>
              </w:rPr>
              <w:t xml:space="preserve">Market Value </w:t>
            </w:r>
          </w:p>
        </w:tc>
        <w:tc>
          <w:tcPr>
            <w:tcW w:w="571" w:type="pct"/>
            <w:tcBorders>
              <w:top w:val="nil"/>
              <w:left w:val="nil"/>
              <w:bottom w:val="single" w:sz="8" w:space="0" w:color="auto"/>
              <w:right w:val="single" w:sz="8" w:space="0" w:color="auto"/>
            </w:tcBorders>
            <w:shd w:val="clear" w:color="auto" w:fill="auto"/>
            <w:vAlign w:val="center"/>
          </w:tcPr>
          <w:p w14:paraId="6E252A47" w14:textId="77777777" w:rsidR="00335619" w:rsidRPr="0023367D" w:rsidRDefault="00335619">
            <w:pPr>
              <w:jc w:val="center"/>
              <w:rPr>
                <w:color w:val="000000"/>
              </w:rPr>
            </w:pPr>
            <w:r w:rsidRPr="0023367D">
              <w:rPr>
                <w:color w:val="000000"/>
              </w:rPr>
              <w:t>1,366.0</w:t>
            </w:r>
          </w:p>
        </w:tc>
        <w:tc>
          <w:tcPr>
            <w:tcW w:w="634" w:type="pct"/>
            <w:tcBorders>
              <w:top w:val="nil"/>
              <w:left w:val="nil"/>
              <w:bottom w:val="single" w:sz="8" w:space="0" w:color="auto"/>
              <w:right w:val="single" w:sz="8" w:space="0" w:color="auto"/>
            </w:tcBorders>
            <w:shd w:val="clear" w:color="auto" w:fill="auto"/>
            <w:vAlign w:val="center"/>
          </w:tcPr>
          <w:p w14:paraId="22D3D66A" w14:textId="77777777" w:rsidR="00335619" w:rsidRPr="0023367D" w:rsidRDefault="00335619">
            <w:pPr>
              <w:jc w:val="center"/>
              <w:rPr>
                <w:color w:val="000000"/>
              </w:rPr>
            </w:pPr>
            <w:r w:rsidRPr="0023367D">
              <w:rPr>
                <w:color w:val="000000"/>
              </w:rPr>
              <w:t>94.6</w:t>
            </w:r>
          </w:p>
        </w:tc>
        <w:tc>
          <w:tcPr>
            <w:tcW w:w="589" w:type="pct"/>
            <w:tcBorders>
              <w:top w:val="nil"/>
              <w:left w:val="nil"/>
              <w:bottom w:val="single" w:sz="8" w:space="0" w:color="auto"/>
              <w:right w:val="single" w:sz="8" w:space="0" w:color="auto"/>
            </w:tcBorders>
            <w:shd w:val="clear" w:color="auto" w:fill="auto"/>
            <w:vAlign w:val="center"/>
          </w:tcPr>
          <w:p w14:paraId="33D55449" w14:textId="77777777" w:rsidR="00335619" w:rsidRPr="0023367D" w:rsidRDefault="00335619">
            <w:pPr>
              <w:jc w:val="center"/>
              <w:rPr>
                <w:color w:val="000000"/>
              </w:rPr>
            </w:pPr>
            <w:r w:rsidRPr="0023367D">
              <w:rPr>
                <w:color w:val="000000"/>
              </w:rPr>
              <w:t>369.0</w:t>
            </w:r>
          </w:p>
        </w:tc>
        <w:tc>
          <w:tcPr>
            <w:tcW w:w="680" w:type="pct"/>
            <w:tcBorders>
              <w:top w:val="nil"/>
              <w:left w:val="nil"/>
              <w:bottom w:val="single" w:sz="8" w:space="0" w:color="auto"/>
              <w:right w:val="single" w:sz="8" w:space="0" w:color="auto"/>
            </w:tcBorders>
            <w:shd w:val="clear" w:color="auto" w:fill="auto"/>
            <w:vAlign w:val="center"/>
          </w:tcPr>
          <w:p w14:paraId="1A0F3BB4" w14:textId="77777777" w:rsidR="00335619" w:rsidRPr="0023367D" w:rsidRDefault="00335619">
            <w:pPr>
              <w:jc w:val="center"/>
              <w:rPr>
                <w:color w:val="000000"/>
              </w:rPr>
            </w:pPr>
            <w:r w:rsidRPr="0023367D">
              <w:rPr>
                <w:color w:val="000000"/>
              </w:rPr>
              <w:t>1,543.8</w:t>
            </w:r>
          </w:p>
        </w:tc>
        <w:tc>
          <w:tcPr>
            <w:tcW w:w="998" w:type="pct"/>
            <w:tcBorders>
              <w:top w:val="nil"/>
              <w:left w:val="nil"/>
              <w:bottom w:val="single" w:sz="8" w:space="0" w:color="auto"/>
              <w:right w:val="single" w:sz="8" w:space="0" w:color="auto"/>
            </w:tcBorders>
            <w:shd w:val="clear" w:color="auto" w:fill="auto"/>
            <w:vAlign w:val="center"/>
          </w:tcPr>
          <w:p w14:paraId="5572314B" w14:textId="77777777" w:rsidR="00335619" w:rsidRPr="0023367D" w:rsidRDefault="00335619">
            <w:pPr>
              <w:jc w:val="center"/>
              <w:rPr>
                <w:color w:val="000000"/>
              </w:rPr>
            </w:pPr>
            <w:r w:rsidRPr="0023367D">
              <w:rPr>
                <w:color w:val="000000"/>
              </w:rPr>
              <w:t>301.5</w:t>
            </w:r>
          </w:p>
        </w:tc>
      </w:tr>
      <w:tr w:rsidR="00335619" w:rsidRPr="0023367D" w14:paraId="43A8A019" w14:textId="77777777" w:rsidTr="00327EED">
        <w:trPr>
          <w:trHeight w:val="384"/>
        </w:trPr>
        <w:tc>
          <w:tcPr>
            <w:tcW w:w="655" w:type="pct"/>
            <w:vMerge/>
            <w:tcBorders>
              <w:left w:val="single" w:sz="8" w:space="0" w:color="auto"/>
              <w:bottom w:val="single" w:sz="8" w:space="0" w:color="auto"/>
              <w:right w:val="single" w:sz="8" w:space="0" w:color="auto"/>
            </w:tcBorders>
            <w:shd w:val="clear" w:color="auto" w:fill="auto"/>
            <w:vAlign w:val="center"/>
          </w:tcPr>
          <w:p w14:paraId="7E4BA0E8" w14:textId="77777777" w:rsidR="00335619" w:rsidRPr="0023367D" w:rsidRDefault="00335619" w:rsidP="00335619">
            <w:pPr>
              <w:jc w:val="center"/>
              <w:rPr>
                <w:rFonts w:ascii="Calibri" w:hAnsi="Calibri"/>
                <w:color w:val="000000"/>
                <w:sz w:val="22"/>
                <w:szCs w:val="22"/>
              </w:rPr>
            </w:pPr>
          </w:p>
        </w:tc>
        <w:tc>
          <w:tcPr>
            <w:tcW w:w="873" w:type="pct"/>
            <w:tcBorders>
              <w:top w:val="nil"/>
              <w:left w:val="nil"/>
              <w:bottom w:val="single" w:sz="8" w:space="0" w:color="auto"/>
              <w:right w:val="single" w:sz="8" w:space="0" w:color="auto"/>
            </w:tcBorders>
            <w:shd w:val="clear" w:color="auto" w:fill="auto"/>
            <w:vAlign w:val="center"/>
          </w:tcPr>
          <w:p w14:paraId="3668D0EE" w14:textId="77777777" w:rsidR="00335619" w:rsidRPr="0023367D" w:rsidRDefault="00335619">
            <w:pPr>
              <w:rPr>
                <w:color w:val="000000"/>
              </w:rPr>
            </w:pPr>
            <w:r w:rsidRPr="0023367D">
              <w:rPr>
                <w:color w:val="000000"/>
              </w:rPr>
              <w:t xml:space="preserve">Debt/Equity </w:t>
            </w:r>
            <w:r w:rsidRPr="0023367D">
              <w:rPr>
                <w:color w:val="000000"/>
                <w:vertAlign w:val="superscript"/>
              </w:rPr>
              <w:t>(c)</w:t>
            </w:r>
          </w:p>
        </w:tc>
        <w:tc>
          <w:tcPr>
            <w:tcW w:w="571" w:type="pct"/>
            <w:tcBorders>
              <w:top w:val="nil"/>
              <w:left w:val="nil"/>
              <w:bottom w:val="single" w:sz="8" w:space="0" w:color="auto"/>
              <w:right w:val="single" w:sz="8" w:space="0" w:color="auto"/>
            </w:tcBorders>
            <w:shd w:val="clear" w:color="auto" w:fill="auto"/>
            <w:vAlign w:val="center"/>
          </w:tcPr>
          <w:p w14:paraId="6E23FC9F" w14:textId="77777777" w:rsidR="00335619" w:rsidRPr="0023367D" w:rsidRDefault="00335619">
            <w:pPr>
              <w:jc w:val="center"/>
              <w:rPr>
                <w:color w:val="000000"/>
              </w:rPr>
            </w:pPr>
            <w:r w:rsidRPr="0023367D">
              <w:rPr>
                <w:color w:val="000000"/>
              </w:rPr>
              <w:t>1.376</w:t>
            </w:r>
          </w:p>
        </w:tc>
        <w:tc>
          <w:tcPr>
            <w:tcW w:w="634" w:type="pct"/>
            <w:tcBorders>
              <w:top w:val="nil"/>
              <w:left w:val="nil"/>
              <w:bottom w:val="single" w:sz="8" w:space="0" w:color="auto"/>
              <w:right w:val="single" w:sz="8" w:space="0" w:color="auto"/>
            </w:tcBorders>
            <w:shd w:val="clear" w:color="auto" w:fill="auto"/>
            <w:vAlign w:val="center"/>
          </w:tcPr>
          <w:p w14:paraId="759F4882" w14:textId="77777777" w:rsidR="00335619" w:rsidRPr="0023367D" w:rsidRDefault="00335619">
            <w:pPr>
              <w:jc w:val="center"/>
              <w:rPr>
                <w:color w:val="000000"/>
              </w:rPr>
            </w:pPr>
            <w:r w:rsidRPr="0023367D">
              <w:rPr>
                <w:color w:val="000000"/>
              </w:rPr>
              <w:t>0.437</w:t>
            </w:r>
          </w:p>
        </w:tc>
        <w:tc>
          <w:tcPr>
            <w:tcW w:w="589" w:type="pct"/>
            <w:tcBorders>
              <w:top w:val="nil"/>
              <w:left w:val="nil"/>
              <w:bottom w:val="single" w:sz="8" w:space="0" w:color="auto"/>
              <w:right w:val="single" w:sz="8" w:space="0" w:color="auto"/>
            </w:tcBorders>
            <w:shd w:val="clear" w:color="auto" w:fill="auto"/>
            <w:vAlign w:val="center"/>
          </w:tcPr>
          <w:p w14:paraId="7AADA107" w14:textId="77777777" w:rsidR="00335619" w:rsidRPr="0023367D" w:rsidRDefault="00335619">
            <w:pPr>
              <w:jc w:val="center"/>
              <w:rPr>
                <w:color w:val="000000"/>
              </w:rPr>
            </w:pPr>
            <w:r w:rsidRPr="0023367D">
              <w:rPr>
                <w:color w:val="000000"/>
              </w:rPr>
              <w:t>0.789</w:t>
            </w:r>
          </w:p>
        </w:tc>
        <w:tc>
          <w:tcPr>
            <w:tcW w:w="680" w:type="pct"/>
            <w:tcBorders>
              <w:top w:val="nil"/>
              <w:left w:val="nil"/>
              <w:bottom w:val="single" w:sz="8" w:space="0" w:color="auto"/>
              <w:right w:val="single" w:sz="8" w:space="0" w:color="auto"/>
            </w:tcBorders>
            <w:shd w:val="clear" w:color="auto" w:fill="auto"/>
            <w:vAlign w:val="center"/>
          </w:tcPr>
          <w:p w14:paraId="720788D8" w14:textId="77777777" w:rsidR="00335619" w:rsidRPr="0023367D" w:rsidRDefault="00335619">
            <w:pPr>
              <w:jc w:val="center"/>
              <w:rPr>
                <w:color w:val="000000"/>
              </w:rPr>
            </w:pPr>
            <w:r w:rsidRPr="0023367D">
              <w:rPr>
                <w:color w:val="000000"/>
              </w:rPr>
              <w:t>1.574</w:t>
            </w:r>
          </w:p>
        </w:tc>
        <w:tc>
          <w:tcPr>
            <w:tcW w:w="998" w:type="pct"/>
            <w:tcBorders>
              <w:top w:val="nil"/>
              <w:left w:val="nil"/>
              <w:bottom w:val="single" w:sz="8" w:space="0" w:color="auto"/>
              <w:right w:val="single" w:sz="8" w:space="0" w:color="auto"/>
            </w:tcBorders>
            <w:shd w:val="clear" w:color="auto" w:fill="auto"/>
            <w:vAlign w:val="center"/>
          </w:tcPr>
          <w:p w14:paraId="2619B7B0" w14:textId="77777777" w:rsidR="00335619" w:rsidRPr="0023367D" w:rsidRDefault="00335619">
            <w:pPr>
              <w:jc w:val="center"/>
              <w:rPr>
                <w:color w:val="000000"/>
              </w:rPr>
            </w:pPr>
            <w:r w:rsidRPr="0023367D">
              <w:rPr>
                <w:color w:val="000000"/>
              </w:rPr>
              <w:t>0.717</w:t>
            </w:r>
          </w:p>
        </w:tc>
      </w:tr>
      <w:tr w:rsidR="00335619" w:rsidRPr="0023367D" w14:paraId="01B39D61" w14:textId="77777777" w:rsidTr="00327EED">
        <w:trPr>
          <w:trHeight w:val="324"/>
        </w:trPr>
        <w:tc>
          <w:tcPr>
            <w:tcW w:w="655" w:type="pct"/>
            <w:tcBorders>
              <w:top w:val="nil"/>
              <w:left w:val="single" w:sz="8" w:space="0" w:color="auto"/>
              <w:bottom w:val="single" w:sz="8" w:space="0" w:color="auto"/>
              <w:right w:val="single" w:sz="8" w:space="0" w:color="auto"/>
            </w:tcBorders>
            <w:shd w:val="clear" w:color="auto" w:fill="auto"/>
            <w:vAlign w:val="center"/>
          </w:tcPr>
          <w:p w14:paraId="3712ABA9" w14:textId="77777777" w:rsidR="00335619" w:rsidRPr="0023367D" w:rsidRDefault="00335619" w:rsidP="00335619">
            <w:pPr>
              <w:jc w:val="center"/>
              <w:rPr>
                <w:color w:val="000000"/>
              </w:rPr>
            </w:pPr>
          </w:p>
        </w:tc>
        <w:tc>
          <w:tcPr>
            <w:tcW w:w="873" w:type="pct"/>
            <w:tcBorders>
              <w:top w:val="nil"/>
              <w:left w:val="nil"/>
              <w:bottom w:val="single" w:sz="8" w:space="0" w:color="auto"/>
              <w:right w:val="single" w:sz="8" w:space="0" w:color="auto"/>
            </w:tcBorders>
            <w:shd w:val="clear" w:color="auto" w:fill="auto"/>
            <w:vAlign w:val="center"/>
          </w:tcPr>
          <w:p w14:paraId="62503E4C" w14:textId="77777777" w:rsidR="00335619" w:rsidRPr="0023367D" w:rsidRDefault="00335619">
            <w:pPr>
              <w:rPr>
                <w:color w:val="000000"/>
              </w:rPr>
            </w:pPr>
            <w:r w:rsidRPr="0023367D">
              <w:rPr>
                <w:color w:val="000000"/>
              </w:rPr>
              <w:t> </w:t>
            </w:r>
          </w:p>
        </w:tc>
        <w:tc>
          <w:tcPr>
            <w:tcW w:w="571" w:type="pct"/>
            <w:tcBorders>
              <w:top w:val="nil"/>
              <w:left w:val="nil"/>
              <w:bottom w:val="single" w:sz="8" w:space="0" w:color="auto"/>
              <w:right w:val="single" w:sz="8" w:space="0" w:color="auto"/>
            </w:tcBorders>
            <w:shd w:val="clear" w:color="auto" w:fill="auto"/>
            <w:vAlign w:val="center"/>
          </w:tcPr>
          <w:p w14:paraId="3B72C386" w14:textId="77777777" w:rsidR="00335619" w:rsidRPr="0023367D" w:rsidRDefault="00335619">
            <w:pPr>
              <w:jc w:val="center"/>
              <w:rPr>
                <w:color w:val="000000"/>
              </w:rPr>
            </w:pPr>
            <w:r w:rsidRPr="0023367D">
              <w:rPr>
                <w:color w:val="000000"/>
              </w:rPr>
              <w:t> </w:t>
            </w:r>
          </w:p>
        </w:tc>
        <w:tc>
          <w:tcPr>
            <w:tcW w:w="634" w:type="pct"/>
            <w:tcBorders>
              <w:top w:val="nil"/>
              <w:left w:val="nil"/>
              <w:bottom w:val="single" w:sz="8" w:space="0" w:color="auto"/>
              <w:right w:val="single" w:sz="8" w:space="0" w:color="auto"/>
            </w:tcBorders>
            <w:shd w:val="clear" w:color="auto" w:fill="auto"/>
            <w:vAlign w:val="center"/>
          </w:tcPr>
          <w:p w14:paraId="3CC3C452" w14:textId="77777777" w:rsidR="00335619" w:rsidRPr="0023367D" w:rsidRDefault="00335619">
            <w:pPr>
              <w:jc w:val="center"/>
              <w:rPr>
                <w:color w:val="000000"/>
              </w:rPr>
            </w:pPr>
            <w:r w:rsidRPr="0023367D">
              <w:rPr>
                <w:color w:val="000000"/>
              </w:rPr>
              <w:t> </w:t>
            </w:r>
          </w:p>
        </w:tc>
        <w:tc>
          <w:tcPr>
            <w:tcW w:w="589" w:type="pct"/>
            <w:tcBorders>
              <w:top w:val="nil"/>
              <w:left w:val="nil"/>
              <w:bottom w:val="single" w:sz="8" w:space="0" w:color="auto"/>
              <w:right w:val="single" w:sz="8" w:space="0" w:color="auto"/>
            </w:tcBorders>
            <w:shd w:val="clear" w:color="auto" w:fill="auto"/>
            <w:vAlign w:val="center"/>
          </w:tcPr>
          <w:p w14:paraId="3D4F530F" w14:textId="77777777" w:rsidR="00335619" w:rsidRPr="0023367D" w:rsidRDefault="00335619">
            <w:pPr>
              <w:jc w:val="center"/>
              <w:rPr>
                <w:color w:val="000000"/>
              </w:rPr>
            </w:pPr>
            <w:r w:rsidRPr="0023367D">
              <w:rPr>
                <w:color w:val="000000"/>
              </w:rPr>
              <w:t> </w:t>
            </w:r>
          </w:p>
        </w:tc>
        <w:tc>
          <w:tcPr>
            <w:tcW w:w="680" w:type="pct"/>
            <w:tcBorders>
              <w:top w:val="nil"/>
              <w:left w:val="nil"/>
              <w:bottom w:val="single" w:sz="8" w:space="0" w:color="auto"/>
              <w:right w:val="single" w:sz="8" w:space="0" w:color="auto"/>
            </w:tcBorders>
            <w:shd w:val="clear" w:color="auto" w:fill="auto"/>
            <w:vAlign w:val="center"/>
          </w:tcPr>
          <w:p w14:paraId="2732350D" w14:textId="77777777" w:rsidR="00335619" w:rsidRPr="0023367D" w:rsidRDefault="00335619">
            <w:pPr>
              <w:jc w:val="center"/>
              <w:rPr>
                <w:color w:val="000000"/>
              </w:rPr>
            </w:pPr>
            <w:r w:rsidRPr="0023367D">
              <w:rPr>
                <w:color w:val="000000"/>
              </w:rPr>
              <w:t> </w:t>
            </w:r>
          </w:p>
        </w:tc>
        <w:tc>
          <w:tcPr>
            <w:tcW w:w="998" w:type="pct"/>
            <w:tcBorders>
              <w:top w:val="nil"/>
              <w:left w:val="nil"/>
              <w:bottom w:val="single" w:sz="8" w:space="0" w:color="auto"/>
              <w:right w:val="single" w:sz="8" w:space="0" w:color="auto"/>
            </w:tcBorders>
            <w:shd w:val="clear" w:color="auto" w:fill="auto"/>
            <w:vAlign w:val="center"/>
          </w:tcPr>
          <w:p w14:paraId="4C29FBF4" w14:textId="77777777" w:rsidR="00335619" w:rsidRPr="0023367D" w:rsidRDefault="00335619">
            <w:pPr>
              <w:jc w:val="center"/>
              <w:rPr>
                <w:color w:val="000000"/>
              </w:rPr>
            </w:pPr>
            <w:r w:rsidRPr="0023367D">
              <w:rPr>
                <w:color w:val="000000"/>
              </w:rPr>
              <w:t> </w:t>
            </w:r>
          </w:p>
        </w:tc>
      </w:tr>
      <w:tr w:rsidR="00335619" w:rsidRPr="0023367D" w14:paraId="2A77DBC4" w14:textId="77777777" w:rsidTr="00327EED">
        <w:trPr>
          <w:trHeight w:val="324"/>
        </w:trPr>
        <w:tc>
          <w:tcPr>
            <w:tcW w:w="655" w:type="pct"/>
            <w:vMerge w:val="restart"/>
            <w:tcBorders>
              <w:top w:val="nil"/>
              <w:left w:val="single" w:sz="8" w:space="0" w:color="auto"/>
              <w:right w:val="single" w:sz="8" w:space="0" w:color="auto"/>
            </w:tcBorders>
            <w:shd w:val="clear" w:color="auto" w:fill="auto"/>
            <w:vAlign w:val="center"/>
          </w:tcPr>
          <w:p w14:paraId="62A94EA1" w14:textId="77777777" w:rsidR="00335619" w:rsidRPr="0023367D" w:rsidRDefault="00335619" w:rsidP="00335619">
            <w:pPr>
              <w:jc w:val="center"/>
              <w:rPr>
                <w:color w:val="000000"/>
              </w:rPr>
            </w:pPr>
            <w:r w:rsidRPr="0023367D">
              <w:rPr>
                <w:color w:val="000000"/>
              </w:rPr>
              <w:t>2005</w:t>
            </w:r>
          </w:p>
          <w:p w14:paraId="143A5FC5" w14:textId="77777777" w:rsidR="00335619" w:rsidRPr="0023367D" w:rsidRDefault="00335619" w:rsidP="00335619">
            <w:pPr>
              <w:jc w:val="center"/>
              <w:rPr>
                <w:color w:val="000000"/>
              </w:rPr>
            </w:pPr>
            <w:r w:rsidRPr="0023367D">
              <w:rPr>
                <w:color w:val="000000"/>
              </w:rPr>
              <w:t>(n=875)</w:t>
            </w:r>
          </w:p>
          <w:p w14:paraId="1E78B48D" w14:textId="77777777" w:rsidR="00335619" w:rsidRPr="0023367D" w:rsidRDefault="00335619" w:rsidP="00335619">
            <w:pPr>
              <w:jc w:val="center"/>
              <w:rPr>
                <w:color w:val="000000"/>
              </w:rPr>
            </w:pPr>
          </w:p>
          <w:p w14:paraId="17B3509A" w14:textId="77777777" w:rsidR="00335619" w:rsidRPr="0023367D" w:rsidRDefault="00335619" w:rsidP="00335619">
            <w:pPr>
              <w:jc w:val="center"/>
              <w:rPr>
                <w:color w:val="000000"/>
              </w:rPr>
            </w:pPr>
          </w:p>
        </w:tc>
        <w:tc>
          <w:tcPr>
            <w:tcW w:w="873" w:type="pct"/>
            <w:tcBorders>
              <w:top w:val="nil"/>
              <w:left w:val="nil"/>
              <w:bottom w:val="single" w:sz="8" w:space="0" w:color="auto"/>
              <w:right w:val="single" w:sz="8" w:space="0" w:color="auto"/>
            </w:tcBorders>
            <w:shd w:val="clear" w:color="auto" w:fill="auto"/>
            <w:vAlign w:val="center"/>
          </w:tcPr>
          <w:p w14:paraId="5527F371" w14:textId="77777777" w:rsidR="00335619" w:rsidRPr="0023367D" w:rsidRDefault="00335619">
            <w:pPr>
              <w:rPr>
                <w:color w:val="000000"/>
              </w:rPr>
            </w:pPr>
            <w:r w:rsidRPr="0023367D">
              <w:rPr>
                <w:color w:val="000000"/>
              </w:rPr>
              <w:t xml:space="preserve">Total Assets </w:t>
            </w:r>
          </w:p>
        </w:tc>
        <w:tc>
          <w:tcPr>
            <w:tcW w:w="571" w:type="pct"/>
            <w:tcBorders>
              <w:top w:val="nil"/>
              <w:left w:val="nil"/>
              <w:bottom w:val="single" w:sz="8" w:space="0" w:color="auto"/>
              <w:right w:val="single" w:sz="8" w:space="0" w:color="auto"/>
            </w:tcBorders>
            <w:shd w:val="clear" w:color="auto" w:fill="auto"/>
            <w:vAlign w:val="center"/>
          </w:tcPr>
          <w:p w14:paraId="78B32B89" w14:textId="77777777" w:rsidR="00335619" w:rsidRPr="0023367D" w:rsidRDefault="00335619">
            <w:pPr>
              <w:jc w:val="center"/>
              <w:rPr>
                <w:color w:val="000000"/>
              </w:rPr>
            </w:pPr>
            <w:r w:rsidRPr="0023367D">
              <w:rPr>
                <w:color w:val="000000"/>
              </w:rPr>
              <w:t>8,196.6</w:t>
            </w:r>
          </w:p>
        </w:tc>
        <w:tc>
          <w:tcPr>
            <w:tcW w:w="634" w:type="pct"/>
            <w:tcBorders>
              <w:top w:val="nil"/>
              <w:left w:val="nil"/>
              <w:bottom w:val="single" w:sz="8" w:space="0" w:color="auto"/>
              <w:right w:val="single" w:sz="8" w:space="0" w:color="auto"/>
            </w:tcBorders>
            <w:shd w:val="clear" w:color="auto" w:fill="auto"/>
            <w:vAlign w:val="center"/>
          </w:tcPr>
          <w:p w14:paraId="0C9A1FC8" w14:textId="77777777" w:rsidR="00335619" w:rsidRPr="0023367D" w:rsidRDefault="00335619">
            <w:pPr>
              <w:jc w:val="center"/>
              <w:rPr>
                <w:color w:val="000000"/>
              </w:rPr>
            </w:pPr>
            <w:r w:rsidRPr="0023367D">
              <w:rPr>
                <w:color w:val="000000"/>
              </w:rPr>
              <w:t>979.3</w:t>
            </w:r>
          </w:p>
        </w:tc>
        <w:tc>
          <w:tcPr>
            <w:tcW w:w="589" w:type="pct"/>
            <w:tcBorders>
              <w:top w:val="nil"/>
              <w:left w:val="nil"/>
              <w:bottom w:val="single" w:sz="8" w:space="0" w:color="auto"/>
              <w:right w:val="single" w:sz="8" w:space="0" w:color="auto"/>
            </w:tcBorders>
            <w:shd w:val="clear" w:color="auto" w:fill="auto"/>
            <w:vAlign w:val="center"/>
          </w:tcPr>
          <w:p w14:paraId="0FC1FC9F" w14:textId="77777777" w:rsidR="00335619" w:rsidRPr="0023367D" w:rsidRDefault="00335619">
            <w:pPr>
              <w:jc w:val="center"/>
              <w:rPr>
                <w:color w:val="000000"/>
              </w:rPr>
            </w:pPr>
            <w:r w:rsidRPr="0023367D">
              <w:rPr>
                <w:color w:val="000000"/>
              </w:rPr>
              <w:t>2,715.1</w:t>
            </w:r>
          </w:p>
        </w:tc>
        <w:tc>
          <w:tcPr>
            <w:tcW w:w="680" w:type="pct"/>
            <w:tcBorders>
              <w:top w:val="nil"/>
              <w:left w:val="nil"/>
              <w:bottom w:val="single" w:sz="8" w:space="0" w:color="auto"/>
              <w:right w:val="single" w:sz="8" w:space="0" w:color="auto"/>
            </w:tcBorders>
            <w:shd w:val="clear" w:color="auto" w:fill="auto"/>
            <w:vAlign w:val="center"/>
          </w:tcPr>
          <w:p w14:paraId="200525BF" w14:textId="77777777" w:rsidR="00335619" w:rsidRPr="0023367D" w:rsidRDefault="00335619">
            <w:pPr>
              <w:jc w:val="center"/>
              <w:rPr>
                <w:color w:val="000000"/>
              </w:rPr>
            </w:pPr>
            <w:r w:rsidRPr="0023367D">
              <w:rPr>
                <w:color w:val="000000"/>
              </w:rPr>
              <w:t>8,006.4</w:t>
            </w:r>
          </w:p>
        </w:tc>
        <w:tc>
          <w:tcPr>
            <w:tcW w:w="998" w:type="pct"/>
            <w:tcBorders>
              <w:top w:val="nil"/>
              <w:left w:val="nil"/>
              <w:bottom w:val="single" w:sz="8" w:space="0" w:color="auto"/>
              <w:right w:val="single" w:sz="8" w:space="0" w:color="auto"/>
            </w:tcBorders>
            <w:shd w:val="clear" w:color="auto" w:fill="auto"/>
            <w:vAlign w:val="center"/>
          </w:tcPr>
          <w:p w14:paraId="0085DCE5" w14:textId="77777777" w:rsidR="00335619" w:rsidRPr="0023367D" w:rsidRDefault="00335619">
            <w:pPr>
              <w:jc w:val="center"/>
              <w:rPr>
                <w:color w:val="000000"/>
              </w:rPr>
            </w:pPr>
            <w:r w:rsidRPr="0023367D">
              <w:rPr>
                <w:color w:val="000000"/>
              </w:rPr>
              <w:t>1,605.2</w:t>
            </w:r>
          </w:p>
        </w:tc>
      </w:tr>
      <w:tr w:rsidR="00335619" w:rsidRPr="0023367D" w14:paraId="527C0CA1" w14:textId="77777777" w:rsidTr="00327EED">
        <w:trPr>
          <w:trHeight w:val="324"/>
        </w:trPr>
        <w:tc>
          <w:tcPr>
            <w:tcW w:w="655" w:type="pct"/>
            <w:vMerge/>
            <w:tcBorders>
              <w:left w:val="single" w:sz="8" w:space="0" w:color="auto"/>
              <w:right w:val="single" w:sz="8" w:space="0" w:color="auto"/>
            </w:tcBorders>
            <w:shd w:val="clear" w:color="auto" w:fill="auto"/>
            <w:vAlign w:val="center"/>
          </w:tcPr>
          <w:p w14:paraId="5336A5E0" w14:textId="77777777" w:rsidR="00335619" w:rsidRPr="0023367D" w:rsidRDefault="00335619" w:rsidP="00335619">
            <w:pPr>
              <w:rPr>
                <w:color w:val="000000"/>
              </w:rPr>
            </w:pPr>
          </w:p>
        </w:tc>
        <w:tc>
          <w:tcPr>
            <w:tcW w:w="873" w:type="pct"/>
            <w:tcBorders>
              <w:top w:val="nil"/>
              <w:left w:val="nil"/>
              <w:bottom w:val="single" w:sz="8" w:space="0" w:color="auto"/>
              <w:right w:val="single" w:sz="8" w:space="0" w:color="auto"/>
            </w:tcBorders>
            <w:shd w:val="clear" w:color="auto" w:fill="auto"/>
            <w:vAlign w:val="center"/>
          </w:tcPr>
          <w:p w14:paraId="72866624" w14:textId="77777777" w:rsidR="00335619" w:rsidRPr="0023367D" w:rsidRDefault="00335619">
            <w:pPr>
              <w:rPr>
                <w:color w:val="000000"/>
              </w:rPr>
            </w:pPr>
            <w:r w:rsidRPr="0023367D">
              <w:rPr>
                <w:color w:val="000000"/>
              </w:rPr>
              <w:t>Sales</w:t>
            </w:r>
          </w:p>
        </w:tc>
        <w:tc>
          <w:tcPr>
            <w:tcW w:w="571" w:type="pct"/>
            <w:tcBorders>
              <w:top w:val="nil"/>
              <w:left w:val="nil"/>
              <w:bottom w:val="single" w:sz="8" w:space="0" w:color="auto"/>
              <w:right w:val="single" w:sz="8" w:space="0" w:color="auto"/>
            </w:tcBorders>
            <w:shd w:val="clear" w:color="auto" w:fill="auto"/>
            <w:vAlign w:val="center"/>
          </w:tcPr>
          <w:p w14:paraId="29095A7B" w14:textId="77777777" w:rsidR="00335619" w:rsidRPr="0023367D" w:rsidRDefault="00335619">
            <w:pPr>
              <w:jc w:val="center"/>
              <w:rPr>
                <w:color w:val="000000"/>
              </w:rPr>
            </w:pPr>
            <w:r w:rsidRPr="0023367D">
              <w:rPr>
                <w:color w:val="000000"/>
              </w:rPr>
              <w:t>6,846.6</w:t>
            </w:r>
          </w:p>
        </w:tc>
        <w:tc>
          <w:tcPr>
            <w:tcW w:w="634" w:type="pct"/>
            <w:tcBorders>
              <w:top w:val="nil"/>
              <w:left w:val="nil"/>
              <w:bottom w:val="single" w:sz="8" w:space="0" w:color="auto"/>
              <w:right w:val="single" w:sz="8" w:space="0" w:color="auto"/>
            </w:tcBorders>
            <w:shd w:val="clear" w:color="auto" w:fill="auto"/>
            <w:vAlign w:val="center"/>
          </w:tcPr>
          <w:p w14:paraId="66E0EDA2" w14:textId="77777777" w:rsidR="00335619" w:rsidRPr="0023367D" w:rsidRDefault="00335619">
            <w:pPr>
              <w:jc w:val="center"/>
              <w:rPr>
                <w:color w:val="000000"/>
              </w:rPr>
            </w:pPr>
            <w:r w:rsidRPr="0023367D">
              <w:rPr>
                <w:color w:val="000000"/>
              </w:rPr>
              <w:t>799.5</w:t>
            </w:r>
          </w:p>
        </w:tc>
        <w:tc>
          <w:tcPr>
            <w:tcW w:w="589" w:type="pct"/>
            <w:tcBorders>
              <w:top w:val="nil"/>
              <w:left w:val="nil"/>
              <w:bottom w:val="single" w:sz="8" w:space="0" w:color="auto"/>
              <w:right w:val="single" w:sz="8" w:space="0" w:color="auto"/>
            </w:tcBorders>
            <w:shd w:val="clear" w:color="auto" w:fill="auto"/>
            <w:vAlign w:val="center"/>
          </w:tcPr>
          <w:p w14:paraId="5E094E98" w14:textId="77777777" w:rsidR="00335619" w:rsidRPr="0023367D" w:rsidRDefault="00335619">
            <w:pPr>
              <w:jc w:val="center"/>
              <w:rPr>
                <w:color w:val="000000"/>
              </w:rPr>
            </w:pPr>
            <w:r w:rsidRPr="0023367D">
              <w:rPr>
                <w:color w:val="000000"/>
              </w:rPr>
              <w:t>2,263.5</w:t>
            </w:r>
          </w:p>
        </w:tc>
        <w:tc>
          <w:tcPr>
            <w:tcW w:w="680" w:type="pct"/>
            <w:tcBorders>
              <w:top w:val="nil"/>
              <w:left w:val="nil"/>
              <w:bottom w:val="single" w:sz="8" w:space="0" w:color="auto"/>
              <w:right w:val="single" w:sz="8" w:space="0" w:color="auto"/>
            </w:tcBorders>
            <w:shd w:val="clear" w:color="auto" w:fill="auto"/>
            <w:vAlign w:val="center"/>
          </w:tcPr>
          <w:p w14:paraId="261908E5" w14:textId="77777777" w:rsidR="00335619" w:rsidRPr="0023367D" w:rsidRDefault="00335619">
            <w:pPr>
              <w:jc w:val="center"/>
              <w:rPr>
                <w:color w:val="000000"/>
              </w:rPr>
            </w:pPr>
            <w:r w:rsidRPr="0023367D">
              <w:rPr>
                <w:color w:val="000000"/>
              </w:rPr>
              <w:t>7,079.0</w:t>
            </w:r>
          </w:p>
        </w:tc>
        <w:tc>
          <w:tcPr>
            <w:tcW w:w="998" w:type="pct"/>
            <w:tcBorders>
              <w:top w:val="nil"/>
              <w:left w:val="nil"/>
              <w:bottom w:val="single" w:sz="8" w:space="0" w:color="auto"/>
              <w:right w:val="single" w:sz="8" w:space="0" w:color="auto"/>
            </w:tcBorders>
            <w:shd w:val="clear" w:color="auto" w:fill="auto"/>
            <w:vAlign w:val="center"/>
          </w:tcPr>
          <w:p w14:paraId="2976ED58" w14:textId="77777777" w:rsidR="00335619" w:rsidRPr="0023367D" w:rsidRDefault="00335619">
            <w:pPr>
              <w:jc w:val="center"/>
              <w:rPr>
                <w:color w:val="000000"/>
              </w:rPr>
            </w:pPr>
            <w:r w:rsidRPr="0023367D">
              <w:rPr>
                <w:color w:val="000000"/>
              </w:rPr>
              <w:t>1,533.5</w:t>
            </w:r>
          </w:p>
        </w:tc>
      </w:tr>
      <w:tr w:rsidR="00335619" w:rsidRPr="0023367D" w14:paraId="11DFDBCB" w14:textId="77777777" w:rsidTr="00327EED">
        <w:trPr>
          <w:trHeight w:val="324"/>
        </w:trPr>
        <w:tc>
          <w:tcPr>
            <w:tcW w:w="655" w:type="pct"/>
            <w:vMerge/>
            <w:tcBorders>
              <w:left w:val="single" w:sz="8" w:space="0" w:color="auto"/>
              <w:right w:val="single" w:sz="8" w:space="0" w:color="auto"/>
            </w:tcBorders>
            <w:shd w:val="clear" w:color="auto" w:fill="auto"/>
            <w:vAlign w:val="center"/>
          </w:tcPr>
          <w:p w14:paraId="7BFD5726" w14:textId="77777777" w:rsidR="00335619" w:rsidRPr="0023367D" w:rsidRDefault="00335619" w:rsidP="00335619">
            <w:pPr>
              <w:rPr>
                <w:rFonts w:ascii="Calibri" w:hAnsi="Calibri"/>
                <w:color w:val="000000"/>
                <w:sz w:val="22"/>
                <w:szCs w:val="22"/>
              </w:rPr>
            </w:pPr>
          </w:p>
        </w:tc>
        <w:tc>
          <w:tcPr>
            <w:tcW w:w="873" w:type="pct"/>
            <w:tcBorders>
              <w:top w:val="nil"/>
              <w:left w:val="nil"/>
              <w:bottom w:val="single" w:sz="8" w:space="0" w:color="auto"/>
              <w:right w:val="single" w:sz="8" w:space="0" w:color="auto"/>
            </w:tcBorders>
            <w:shd w:val="clear" w:color="auto" w:fill="auto"/>
            <w:vAlign w:val="center"/>
          </w:tcPr>
          <w:p w14:paraId="410544C4" w14:textId="77777777" w:rsidR="00335619" w:rsidRPr="0023367D" w:rsidRDefault="00335619">
            <w:pPr>
              <w:rPr>
                <w:color w:val="000000"/>
              </w:rPr>
            </w:pPr>
            <w:r w:rsidRPr="0023367D">
              <w:rPr>
                <w:color w:val="000000"/>
              </w:rPr>
              <w:t>Market Value</w:t>
            </w:r>
          </w:p>
        </w:tc>
        <w:tc>
          <w:tcPr>
            <w:tcW w:w="571" w:type="pct"/>
            <w:tcBorders>
              <w:top w:val="nil"/>
              <w:left w:val="nil"/>
              <w:bottom w:val="single" w:sz="8" w:space="0" w:color="auto"/>
              <w:right w:val="single" w:sz="8" w:space="0" w:color="auto"/>
            </w:tcBorders>
            <w:shd w:val="clear" w:color="auto" w:fill="auto"/>
            <w:vAlign w:val="center"/>
          </w:tcPr>
          <w:p w14:paraId="022BE5B4" w14:textId="77777777" w:rsidR="00335619" w:rsidRPr="0023367D" w:rsidRDefault="00335619">
            <w:pPr>
              <w:jc w:val="center"/>
              <w:rPr>
                <w:color w:val="000000"/>
              </w:rPr>
            </w:pPr>
            <w:r w:rsidRPr="0023367D">
              <w:rPr>
                <w:color w:val="000000"/>
              </w:rPr>
              <w:t>8,334.9</w:t>
            </w:r>
          </w:p>
        </w:tc>
        <w:tc>
          <w:tcPr>
            <w:tcW w:w="634" w:type="pct"/>
            <w:tcBorders>
              <w:top w:val="nil"/>
              <w:left w:val="nil"/>
              <w:bottom w:val="single" w:sz="8" w:space="0" w:color="auto"/>
              <w:right w:val="single" w:sz="8" w:space="0" w:color="auto"/>
            </w:tcBorders>
            <w:shd w:val="clear" w:color="auto" w:fill="auto"/>
            <w:vAlign w:val="center"/>
          </w:tcPr>
          <w:p w14:paraId="6917DD57" w14:textId="77777777" w:rsidR="00335619" w:rsidRPr="0023367D" w:rsidRDefault="00335619">
            <w:pPr>
              <w:jc w:val="center"/>
              <w:rPr>
                <w:color w:val="000000"/>
              </w:rPr>
            </w:pPr>
            <w:r w:rsidRPr="0023367D">
              <w:rPr>
                <w:color w:val="000000"/>
              </w:rPr>
              <w:t>905.8</w:t>
            </w:r>
          </w:p>
        </w:tc>
        <w:tc>
          <w:tcPr>
            <w:tcW w:w="589" w:type="pct"/>
            <w:tcBorders>
              <w:top w:val="nil"/>
              <w:left w:val="nil"/>
              <w:bottom w:val="single" w:sz="8" w:space="0" w:color="auto"/>
              <w:right w:val="single" w:sz="8" w:space="0" w:color="auto"/>
            </w:tcBorders>
            <w:shd w:val="clear" w:color="auto" w:fill="auto"/>
            <w:vAlign w:val="center"/>
          </w:tcPr>
          <w:p w14:paraId="5393403A" w14:textId="77777777" w:rsidR="00335619" w:rsidRPr="0023367D" w:rsidRDefault="00335619">
            <w:pPr>
              <w:jc w:val="center"/>
              <w:rPr>
                <w:color w:val="000000"/>
              </w:rPr>
            </w:pPr>
            <w:r w:rsidRPr="0023367D">
              <w:rPr>
                <w:color w:val="000000"/>
              </w:rPr>
              <w:t>2,476.8</w:t>
            </w:r>
          </w:p>
        </w:tc>
        <w:tc>
          <w:tcPr>
            <w:tcW w:w="680" w:type="pct"/>
            <w:tcBorders>
              <w:top w:val="nil"/>
              <w:left w:val="nil"/>
              <w:bottom w:val="single" w:sz="8" w:space="0" w:color="auto"/>
              <w:right w:val="single" w:sz="8" w:space="0" w:color="auto"/>
            </w:tcBorders>
            <w:shd w:val="clear" w:color="auto" w:fill="auto"/>
            <w:vAlign w:val="center"/>
          </w:tcPr>
          <w:p w14:paraId="5313D7F2" w14:textId="77777777" w:rsidR="00335619" w:rsidRPr="0023367D" w:rsidRDefault="00335619">
            <w:pPr>
              <w:jc w:val="center"/>
              <w:rPr>
                <w:color w:val="000000"/>
              </w:rPr>
            </w:pPr>
            <w:r w:rsidRPr="0023367D">
              <w:rPr>
                <w:color w:val="000000"/>
              </w:rPr>
              <w:t>8,371.3</w:t>
            </w:r>
          </w:p>
        </w:tc>
        <w:tc>
          <w:tcPr>
            <w:tcW w:w="998" w:type="pct"/>
            <w:tcBorders>
              <w:top w:val="nil"/>
              <w:left w:val="nil"/>
              <w:bottom w:val="single" w:sz="8" w:space="0" w:color="auto"/>
              <w:right w:val="single" w:sz="8" w:space="0" w:color="auto"/>
            </w:tcBorders>
            <w:shd w:val="clear" w:color="auto" w:fill="auto"/>
            <w:vAlign w:val="center"/>
          </w:tcPr>
          <w:p w14:paraId="3B5047D0" w14:textId="77777777" w:rsidR="00335619" w:rsidRPr="0023367D" w:rsidRDefault="00335619">
            <w:pPr>
              <w:jc w:val="center"/>
              <w:rPr>
                <w:color w:val="000000"/>
              </w:rPr>
            </w:pPr>
            <w:r w:rsidRPr="0023367D">
              <w:rPr>
                <w:color w:val="000000"/>
              </w:rPr>
              <w:t>1,799.6</w:t>
            </w:r>
          </w:p>
        </w:tc>
      </w:tr>
      <w:tr w:rsidR="00335619" w:rsidRPr="0023367D" w14:paraId="679B2E78" w14:textId="77777777" w:rsidTr="00327EED">
        <w:trPr>
          <w:trHeight w:val="324"/>
        </w:trPr>
        <w:tc>
          <w:tcPr>
            <w:tcW w:w="655" w:type="pct"/>
            <w:vMerge/>
            <w:tcBorders>
              <w:left w:val="single" w:sz="8" w:space="0" w:color="auto"/>
              <w:bottom w:val="single" w:sz="8" w:space="0" w:color="auto"/>
              <w:right w:val="single" w:sz="8" w:space="0" w:color="auto"/>
            </w:tcBorders>
            <w:shd w:val="clear" w:color="auto" w:fill="auto"/>
            <w:vAlign w:val="center"/>
          </w:tcPr>
          <w:p w14:paraId="53FFBD6E" w14:textId="77777777" w:rsidR="00335619" w:rsidRPr="0023367D" w:rsidRDefault="00335619">
            <w:pPr>
              <w:rPr>
                <w:rFonts w:ascii="Calibri" w:hAnsi="Calibri"/>
                <w:color w:val="000000"/>
                <w:sz w:val="22"/>
                <w:szCs w:val="22"/>
              </w:rPr>
            </w:pPr>
          </w:p>
        </w:tc>
        <w:tc>
          <w:tcPr>
            <w:tcW w:w="873" w:type="pct"/>
            <w:tcBorders>
              <w:top w:val="nil"/>
              <w:left w:val="nil"/>
              <w:bottom w:val="single" w:sz="8" w:space="0" w:color="auto"/>
              <w:right w:val="single" w:sz="8" w:space="0" w:color="auto"/>
            </w:tcBorders>
            <w:shd w:val="clear" w:color="auto" w:fill="auto"/>
            <w:vAlign w:val="center"/>
          </w:tcPr>
          <w:p w14:paraId="15131821" w14:textId="77777777" w:rsidR="00335619" w:rsidRPr="0023367D" w:rsidRDefault="00335619" w:rsidP="0043463F">
            <w:pPr>
              <w:rPr>
                <w:color w:val="000000"/>
              </w:rPr>
            </w:pPr>
            <w:r w:rsidRPr="0023367D">
              <w:rPr>
                <w:color w:val="000000"/>
              </w:rPr>
              <w:t>Debt/Equi</w:t>
            </w:r>
            <w:r w:rsidR="0043463F">
              <w:rPr>
                <w:color w:val="000000"/>
              </w:rPr>
              <w:t xml:space="preserve">ty </w:t>
            </w:r>
            <w:r w:rsidR="00327EED" w:rsidRPr="0023367D">
              <w:rPr>
                <w:color w:val="000000"/>
                <w:vertAlign w:val="superscript"/>
              </w:rPr>
              <w:t>(c)</w:t>
            </w:r>
          </w:p>
        </w:tc>
        <w:tc>
          <w:tcPr>
            <w:tcW w:w="571" w:type="pct"/>
            <w:tcBorders>
              <w:top w:val="nil"/>
              <w:left w:val="nil"/>
              <w:bottom w:val="single" w:sz="8" w:space="0" w:color="auto"/>
              <w:right w:val="single" w:sz="8" w:space="0" w:color="auto"/>
            </w:tcBorders>
            <w:shd w:val="clear" w:color="auto" w:fill="auto"/>
            <w:vAlign w:val="center"/>
          </w:tcPr>
          <w:p w14:paraId="1891646F" w14:textId="77777777" w:rsidR="00335619" w:rsidRPr="0023367D" w:rsidRDefault="00335619">
            <w:pPr>
              <w:jc w:val="center"/>
              <w:rPr>
                <w:color w:val="000000"/>
              </w:rPr>
            </w:pPr>
            <w:r w:rsidRPr="0023367D">
              <w:rPr>
                <w:color w:val="000000"/>
              </w:rPr>
              <w:t>1.325</w:t>
            </w:r>
          </w:p>
        </w:tc>
        <w:tc>
          <w:tcPr>
            <w:tcW w:w="634" w:type="pct"/>
            <w:tcBorders>
              <w:top w:val="nil"/>
              <w:left w:val="nil"/>
              <w:bottom w:val="single" w:sz="8" w:space="0" w:color="auto"/>
              <w:right w:val="single" w:sz="8" w:space="0" w:color="auto"/>
            </w:tcBorders>
            <w:shd w:val="clear" w:color="auto" w:fill="auto"/>
            <w:vAlign w:val="center"/>
          </w:tcPr>
          <w:p w14:paraId="1CC6C3E1" w14:textId="77777777" w:rsidR="00335619" w:rsidRPr="0023367D" w:rsidRDefault="00335619">
            <w:pPr>
              <w:jc w:val="center"/>
              <w:rPr>
                <w:color w:val="000000"/>
              </w:rPr>
            </w:pPr>
            <w:r w:rsidRPr="0023367D">
              <w:rPr>
                <w:color w:val="000000"/>
              </w:rPr>
              <w:t>0.435</w:t>
            </w:r>
          </w:p>
        </w:tc>
        <w:tc>
          <w:tcPr>
            <w:tcW w:w="589" w:type="pct"/>
            <w:tcBorders>
              <w:top w:val="nil"/>
              <w:left w:val="nil"/>
              <w:bottom w:val="single" w:sz="8" w:space="0" w:color="auto"/>
              <w:right w:val="single" w:sz="8" w:space="0" w:color="auto"/>
            </w:tcBorders>
            <w:shd w:val="clear" w:color="auto" w:fill="auto"/>
            <w:vAlign w:val="center"/>
          </w:tcPr>
          <w:p w14:paraId="10554224" w14:textId="77777777" w:rsidR="00335619" w:rsidRPr="0023367D" w:rsidRDefault="00335619">
            <w:pPr>
              <w:jc w:val="center"/>
              <w:rPr>
                <w:color w:val="000000"/>
              </w:rPr>
            </w:pPr>
            <w:r w:rsidRPr="0023367D">
              <w:rPr>
                <w:color w:val="000000"/>
              </w:rPr>
              <w:t>0.708</w:t>
            </w:r>
          </w:p>
        </w:tc>
        <w:tc>
          <w:tcPr>
            <w:tcW w:w="680" w:type="pct"/>
            <w:tcBorders>
              <w:top w:val="nil"/>
              <w:left w:val="nil"/>
              <w:bottom w:val="single" w:sz="8" w:space="0" w:color="auto"/>
              <w:right w:val="single" w:sz="8" w:space="0" w:color="auto"/>
            </w:tcBorders>
            <w:shd w:val="clear" w:color="auto" w:fill="auto"/>
            <w:vAlign w:val="center"/>
          </w:tcPr>
          <w:p w14:paraId="31D729C8" w14:textId="77777777" w:rsidR="00335619" w:rsidRPr="0023367D" w:rsidRDefault="00335619">
            <w:pPr>
              <w:jc w:val="center"/>
              <w:rPr>
                <w:color w:val="000000"/>
              </w:rPr>
            </w:pPr>
            <w:r w:rsidRPr="0023367D">
              <w:rPr>
                <w:color w:val="000000"/>
              </w:rPr>
              <w:t>1.346</w:t>
            </w:r>
          </w:p>
        </w:tc>
        <w:tc>
          <w:tcPr>
            <w:tcW w:w="998" w:type="pct"/>
            <w:tcBorders>
              <w:top w:val="nil"/>
              <w:left w:val="nil"/>
              <w:bottom w:val="single" w:sz="8" w:space="0" w:color="auto"/>
              <w:right w:val="single" w:sz="8" w:space="0" w:color="auto"/>
            </w:tcBorders>
            <w:shd w:val="clear" w:color="auto" w:fill="auto"/>
            <w:vAlign w:val="center"/>
          </w:tcPr>
          <w:p w14:paraId="266ABB2B" w14:textId="77777777" w:rsidR="00335619" w:rsidRPr="0023367D" w:rsidRDefault="00335619">
            <w:pPr>
              <w:jc w:val="center"/>
              <w:rPr>
                <w:color w:val="000000"/>
              </w:rPr>
            </w:pPr>
            <w:r w:rsidRPr="0023367D">
              <w:rPr>
                <w:color w:val="000000"/>
              </w:rPr>
              <w:t>0.586</w:t>
            </w:r>
          </w:p>
        </w:tc>
      </w:tr>
    </w:tbl>
    <w:p w14:paraId="4752A73B" w14:textId="77777777" w:rsidR="00335619" w:rsidRPr="0023367D" w:rsidRDefault="00335619" w:rsidP="00335619">
      <w:pPr>
        <w:pStyle w:val="ColorfulList-Accent11"/>
        <w:spacing w:after="0" w:line="240" w:lineRule="auto"/>
        <w:ind w:left="270"/>
        <w:rPr>
          <w:rFonts w:ascii="Times New Roman" w:hAnsi="Times New Roman" w:cs="Times New Roman"/>
          <w:b/>
          <w:sz w:val="24"/>
          <w:szCs w:val="24"/>
        </w:rPr>
      </w:pPr>
    </w:p>
    <w:p w14:paraId="48E66304" w14:textId="77777777" w:rsidR="00335619" w:rsidRPr="0023367D" w:rsidRDefault="00335619" w:rsidP="00335619">
      <w:pPr>
        <w:ind w:left="180" w:hanging="180"/>
        <w:rPr>
          <w:sz w:val="18"/>
          <w:szCs w:val="18"/>
        </w:rPr>
      </w:pPr>
      <w:r w:rsidRPr="0023367D">
        <w:rPr>
          <w:sz w:val="18"/>
          <w:szCs w:val="18"/>
          <w:vertAlign w:val="superscript"/>
        </w:rPr>
        <w:t xml:space="preserve">(a) </w:t>
      </w:r>
      <w:r w:rsidRPr="0023367D">
        <w:rPr>
          <w:sz w:val="18"/>
          <w:szCs w:val="18"/>
        </w:rPr>
        <w:t xml:space="preserve">The distribution of each variable (with the exception of the mean across the medians of the firm’s industry) is </w:t>
      </w:r>
      <w:proofErr w:type="spellStart"/>
      <w:proofErr w:type="gramStart"/>
      <w:r w:rsidRPr="0023367D">
        <w:rPr>
          <w:sz w:val="18"/>
          <w:szCs w:val="18"/>
        </w:rPr>
        <w:t>Winsorized</w:t>
      </w:r>
      <w:proofErr w:type="spellEnd"/>
      <w:proofErr w:type="gramEnd"/>
      <w:r w:rsidRPr="0023367D">
        <w:rPr>
          <w:sz w:val="18"/>
          <w:szCs w:val="18"/>
        </w:rPr>
        <w:t xml:space="preserve"> at the extreme 1% percent values of the distribution. All characteristics are measured at year-end.</w:t>
      </w:r>
    </w:p>
    <w:p w14:paraId="49716F76" w14:textId="77777777" w:rsidR="00335619" w:rsidRPr="0023367D" w:rsidRDefault="00335619" w:rsidP="00335619">
      <w:pPr>
        <w:ind w:left="180" w:hanging="180"/>
        <w:rPr>
          <w:sz w:val="18"/>
          <w:szCs w:val="18"/>
        </w:rPr>
      </w:pPr>
      <w:r w:rsidRPr="0023367D">
        <w:rPr>
          <w:sz w:val="18"/>
          <w:szCs w:val="18"/>
          <w:vertAlign w:val="superscript"/>
        </w:rPr>
        <w:t xml:space="preserve">(b) </w:t>
      </w:r>
      <w:r w:rsidRPr="0023367D">
        <w:rPr>
          <w:sz w:val="18"/>
          <w:szCs w:val="18"/>
        </w:rPr>
        <w:t>The firms’ respective 4-digit industries are used to compute the values in this column.</w:t>
      </w:r>
    </w:p>
    <w:p w14:paraId="1FCDE7FF" w14:textId="77777777" w:rsidR="00335619" w:rsidRPr="0023367D" w:rsidRDefault="00335619" w:rsidP="00335619">
      <w:pPr>
        <w:ind w:left="180" w:hanging="180"/>
        <w:rPr>
          <w:sz w:val="18"/>
          <w:szCs w:val="18"/>
        </w:rPr>
        <w:sectPr w:rsidR="00335619" w:rsidRPr="0023367D" w:rsidSect="00335619">
          <w:headerReference w:type="even" r:id="rId18"/>
          <w:footerReference w:type="default" r:id="rId19"/>
          <w:pgSz w:w="12240" w:h="15840"/>
          <w:pgMar w:top="1296" w:right="1440" w:bottom="230" w:left="1440" w:header="720" w:footer="720" w:gutter="0"/>
          <w:pgNumType w:start="1"/>
          <w:cols w:space="720"/>
          <w:titlePg/>
          <w:docGrid w:linePitch="360"/>
        </w:sectPr>
      </w:pPr>
      <w:r w:rsidRPr="0023367D">
        <w:rPr>
          <w:sz w:val="18"/>
          <w:szCs w:val="18"/>
          <w:vertAlign w:val="superscript"/>
        </w:rPr>
        <w:t xml:space="preserve">(c) </w:t>
      </w:r>
      <w:r w:rsidRPr="0023367D">
        <w:rPr>
          <w:sz w:val="18"/>
          <w:szCs w:val="18"/>
        </w:rPr>
        <w:t xml:space="preserve">Firms with negative equity values are not included in the computation of this ratio, reducing the number of observations to 488 in 1985 and 822 in 2005. </w:t>
      </w:r>
    </w:p>
    <w:p w14:paraId="3949EB38" w14:textId="77777777" w:rsidR="006B67F2" w:rsidRDefault="006B67F2" w:rsidP="006B67F2">
      <w:pPr>
        <w:jc w:val="center"/>
        <w:rPr>
          <w:rFonts w:eastAsia="Calibri"/>
          <w:b/>
          <w:bCs/>
          <w:szCs w:val="22"/>
        </w:rPr>
      </w:pPr>
      <w:r>
        <w:rPr>
          <w:rFonts w:eastAsia="Calibri"/>
          <w:b/>
          <w:bCs/>
          <w:szCs w:val="22"/>
        </w:rPr>
        <w:t>Table 3</w:t>
      </w:r>
    </w:p>
    <w:p w14:paraId="63D1850E" w14:textId="77777777" w:rsidR="006B67F2" w:rsidRPr="0023367D" w:rsidRDefault="006B67F2" w:rsidP="006B67F2">
      <w:pPr>
        <w:jc w:val="center"/>
        <w:rPr>
          <w:rFonts w:eastAsia="Calibri"/>
          <w:b/>
          <w:bCs/>
          <w:sz w:val="22"/>
          <w:szCs w:val="22"/>
        </w:rPr>
      </w:pPr>
      <w:r>
        <w:rPr>
          <w:rFonts w:eastAsia="Calibri"/>
          <w:b/>
          <w:bCs/>
          <w:szCs w:val="22"/>
        </w:rPr>
        <w:t>Bond Characteristics by Year</w:t>
      </w:r>
    </w:p>
    <w:p w14:paraId="77EA4F63" w14:textId="77777777" w:rsidR="006B67F2" w:rsidRPr="00EC4A0B" w:rsidRDefault="006B67F2" w:rsidP="006B67F2">
      <w:pPr>
        <w:pStyle w:val="ListParagraph"/>
        <w:ind w:left="0"/>
        <w:rPr>
          <w:rFonts w:eastAsia="Calibri"/>
          <w:bCs/>
          <w:sz w:val="22"/>
          <w:szCs w:val="22"/>
        </w:rPr>
      </w:pPr>
      <w:r w:rsidRPr="006B67F2">
        <w:rPr>
          <w:b/>
        </w:rPr>
        <w:t>A</w:t>
      </w:r>
      <w:r>
        <w:rPr>
          <w:b/>
        </w:rPr>
        <w:t xml:space="preserve">. </w:t>
      </w:r>
      <w:r w:rsidRPr="00EC4A0B">
        <w:rPr>
          <w:rFonts w:eastAsia="Calibri"/>
          <w:b/>
          <w:bCs/>
          <w:sz w:val="22"/>
          <w:szCs w:val="22"/>
        </w:rPr>
        <w:t>Full Sample</w:t>
      </w:r>
      <w:r>
        <w:rPr>
          <w:rFonts w:eastAsia="Calibri"/>
          <w:bCs/>
          <w:sz w:val="22"/>
          <w:szCs w:val="22"/>
        </w:rPr>
        <w:t xml:space="preserve"> (20,700 firm-years)</w:t>
      </w:r>
    </w:p>
    <w:tbl>
      <w:tblPr>
        <w:tblW w:w="5444" w:type="pct"/>
        <w:tblLayout w:type="fixed"/>
        <w:tblLook w:val="04A0" w:firstRow="1" w:lastRow="0" w:firstColumn="1" w:lastColumn="0" w:noHBand="0" w:noVBand="1"/>
      </w:tblPr>
      <w:tblGrid>
        <w:gridCol w:w="2009"/>
        <w:gridCol w:w="1066"/>
        <w:gridCol w:w="1241"/>
        <w:gridCol w:w="1066"/>
        <w:gridCol w:w="977"/>
        <w:gridCol w:w="1332"/>
        <w:gridCol w:w="1330"/>
        <w:gridCol w:w="1305"/>
      </w:tblGrid>
      <w:tr w:rsidR="00205AE5" w:rsidRPr="0023367D" w14:paraId="43C78633" w14:textId="77777777" w:rsidTr="00D958BD">
        <w:trPr>
          <w:trHeight w:val="315"/>
        </w:trPr>
        <w:tc>
          <w:tcPr>
            <w:tcW w:w="973" w:type="pct"/>
            <w:vMerge w:val="restart"/>
            <w:tcBorders>
              <w:top w:val="single" w:sz="8" w:space="0" w:color="auto"/>
              <w:left w:val="single" w:sz="8" w:space="0" w:color="auto"/>
              <w:right w:val="single" w:sz="8" w:space="0" w:color="auto"/>
            </w:tcBorders>
            <w:shd w:val="clear" w:color="auto" w:fill="auto"/>
            <w:noWrap/>
            <w:tcMar>
              <w:left w:w="58" w:type="dxa"/>
              <w:right w:w="58" w:type="dxa"/>
            </w:tcMar>
            <w:vAlign w:val="center"/>
          </w:tcPr>
          <w:p w14:paraId="72F478FB" w14:textId="77777777" w:rsidR="00205AE5" w:rsidRPr="0023367D" w:rsidRDefault="00205AE5" w:rsidP="00335619">
            <w:pPr>
              <w:jc w:val="center"/>
              <w:rPr>
                <w:bCs/>
                <w:color w:val="000000"/>
              </w:rPr>
            </w:pPr>
            <w:r w:rsidRPr="0023367D">
              <w:rPr>
                <w:sz w:val="22"/>
              </w:rPr>
              <w:br w:type="page"/>
            </w:r>
            <w:r w:rsidRPr="0023367D">
              <w:rPr>
                <w:rFonts w:eastAsia="Calibri"/>
                <w:bCs/>
                <w:color w:val="000000"/>
                <w:sz w:val="22"/>
              </w:rPr>
              <w:t>Year</w:t>
            </w:r>
          </w:p>
        </w:tc>
        <w:tc>
          <w:tcPr>
            <w:tcW w:w="4027" w:type="pct"/>
            <w:gridSpan w:val="7"/>
            <w:tcBorders>
              <w:top w:val="single" w:sz="8" w:space="0" w:color="auto"/>
              <w:left w:val="single" w:sz="8" w:space="0" w:color="auto"/>
              <w:bottom w:val="single" w:sz="8" w:space="0" w:color="auto"/>
              <w:right w:val="single" w:sz="8" w:space="0" w:color="auto"/>
            </w:tcBorders>
            <w:shd w:val="clear" w:color="auto" w:fill="auto"/>
            <w:tcMar>
              <w:left w:w="58" w:type="dxa"/>
              <w:right w:w="58" w:type="dxa"/>
            </w:tcMar>
            <w:vAlign w:val="center"/>
          </w:tcPr>
          <w:p w14:paraId="27D2244E" w14:textId="77777777" w:rsidR="00205AE5" w:rsidRPr="0023367D" w:rsidRDefault="00205AE5" w:rsidP="00205AE5">
            <w:pPr>
              <w:tabs>
                <w:tab w:val="left" w:pos="570"/>
              </w:tabs>
              <w:jc w:val="center"/>
              <w:rPr>
                <w:bCs/>
                <w:color w:val="000000"/>
              </w:rPr>
            </w:pPr>
            <w:r w:rsidRPr="0023367D">
              <w:rPr>
                <w:rFonts w:eastAsia="Calibri"/>
                <w:bCs/>
                <w:color w:val="000000"/>
              </w:rPr>
              <w:t>Mean Over the Years</w:t>
            </w:r>
            <w:r w:rsidRPr="0023367D">
              <w:rPr>
                <w:rFonts w:eastAsia="Calibri"/>
                <w:bCs/>
                <w:color w:val="000000"/>
                <w:vertAlign w:val="superscript"/>
              </w:rPr>
              <w:t>(a)</w:t>
            </w:r>
          </w:p>
        </w:tc>
      </w:tr>
      <w:tr w:rsidR="00205AE5" w:rsidRPr="0023367D" w14:paraId="731187E2" w14:textId="77777777" w:rsidTr="00D958BD">
        <w:trPr>
          <w:trHeight w:hRule="exact" w:val="288"/>
        </w:trPr>
        <w:tc>
          <w:tcPr>
            <w:tcW w:w="973" w:type="pct"/>
            <w:vMerge/>
            <w:tcBorders>
              <w:left w:val="single" w:sz="8" w:space="0" w:color="auto"/>
              <w:right w:val="single" w:sz="8" w:space="0" w:color="auto"/>
            </w:tcBorders>
            <w:shd w:val="clear" w:color="auto" w:fill="auto"/>
            <w:tcMar>
              <w:left w:w="58" w:type="dxa"/>
              <w:right w:w="58" w:type="dxa"/>
            </w:tcMar>
            <w:vAlign w:val="center"/>
          </w:tcPr>
          <w:p w14:paraId="58741F67" w14:textId="77777777" w:rsidR="00205AE5" w:rsidRPr="0023367D" w:rsidRDefault="00205AE5" w:rsidP="00335619">
            <w:pPr>
              <w:jc w:val="center"/>
              <w:rPr>
                <w:sz w:val="22"/>
              </w:rPr>
            </w:pPr>
          </w:p>
        </w:tc>
        <w:tc>
          <w:tcPr>
            <w:tcW w:w="516" w:type="pct"/>
            <w:vMerge w:val="restart"/>
            <w:tcBorders>
              <w:top w:val="nil"/>
              <w:left w:val="single" w:sz="8" w:space="0" w:color="auto"/>
              <w:right w:val="single" w:sz="18" w:space="0" w:color="auto"/>
            </w:tcBorders>
            <w:shd w:val="clear" w:color="auto" w:fill="auto"/>
            <w:tcMar>
              <w:left w:w="58" w:type="dxa"/>
              <w:right w:w="58" w:type="dxa"/>
            </w:tcMar>
            <w:vAlign w:val="center"/>
          </w:tcPr>
          <w:p w14:paraId="79E59A31" w14:textId="77777777" w:rsidR="00205AE5" w:rsidRPr="0023367D" w:rsidRDefault="00205AE5" w:rsidP="00335619">
            <w:pPr>
              <w:tabs>
                <w:tab w:val="left" w:pos="570"/>
              </w:tabs>
              <w:jc w:val="center"/>
              <w:rPr>
                <w:rFonts w:eastAsia="Calibri"/>
                <w:bCs/>
                <w:color w:val="000000"/>
                <w:sz w:val="22"/>
              </w:rPr>
            </w:pPr>
            <w:r w:rsidRPr="0023367D">
              <w:rPr>
                <w:rFonts w:eastAsia="Calibri"/>
                <w:bCs/>
                <w:color w:val="000000"/>
                <w:sz w:val="22"/>
              </w:rPr>
              <w:t xml:space="preserve">No. of Firms </w:t>
            </w:r>
            <w:r w:rsidRPr="0023367D">
              <w:rPr>
                <w:rFonts w:eastAsia="Calibri"/>
                <w:bCs/>
                <w:color w:val="000000"/>
                <w:sz w:val="22"/>
                <w:vertAlign w:val="superscript"/>
              </w:rPr>
              <w:t>(b)</w:t>
            </w:r>
          </w:p>
        </w:tc>
        <w:tc>
          <w:tcPr>
            <w:tcW w:w="601" w:type="pct"/>
            <w:vMerge w:val="restart"/>
            <w:tcBorders>
              <w:top w:val="nil"/>
              <w:left w:val="single" w:sz="18" w:space="0" w:color="auto"/>
              <w:right w:val="single" w:sz="8" w:space="0" w:color="auto"/>
            </w:tcBorders>
            <w:shd w:val="clear" w:color="auto" w:fill="auto"/>
            <w:tcMar>
              <w:left w:w="58" w:type="dxa"/>
              <w:right w:w="58" w:type="dxa"/>
            </w:tcMar>
            <w:vAlign w:val="center"/>
          </w:tcPr>
          <w:p w14:paraId="78593997" w14:textId="77777777" w:rsidR="00205AE5" w:rsidRPr="0023367D" w:rsidRDefault="00205AE5" w:rsidP="00335619">
            <w:pPr>
              <w:jc w:val="center"/>
              <w:rPr>
                <w:rFonts w:eastAsia="Calibri"/>
                <w:bCs/>
                <w:color w:val="000000"/>
                <w:sz w:val="22"/>
              </w:rPr>
            </w:pPr>
            <w:r w:rsidRPr="0023367D">
              <w:rPr>
                <w:rFonts w:eastAsia="Calibri"/>
                <w:bCs/>
                <w:color w:val="000000"/>
                <w:sz w:val="22"/>
              </w:rPr>
              <w:t>Issue Size</w:t>
            </w:r>
          </w:p>
          <w:p w14:paraId="1203565C" w14:textId="77777777" w:rsidR="00205AE5" w:rsidRPr="0023367D" w:rsidRDefault="00205AE5" w:rsidP="00335619">
            <w:pPr>
              <w:jc w:val="center"/>
              <w:rPr>
                <w:rFonts w:eastAsia="Calibri"/>
                <w:bCs/>
                <w:color w:val="000000"/>
                <w:sz w:val="22"/>
              </w:rPr>
            </w:pPr>
            <w:r w:rsidRPr="0023367D">
              <w:rPr>
                <w:rFonts w:eastAsia="Calibri"/>
                <w:bCs/>
                <w:color w:val="000000"/>
                <w:sz w:val="22"/>
              </w:rPr>
              <w:t>($ mil.)</w:t>
            </w:r>
            <w:r w:rsidRPr="0023367D">
              <w:rPr>
                <w:rFonts w:eastAsia="Calibri"/>
                <w:bCs/>
                <w:color w:val="000000"/>
                <w:sz w:val="22"/>
                <w:vertAlign w:val="superscript"/>
              </w:rPr>
              <w:t>(c)</w:t>
            </w:r>
          </w:p>
        </w:tc>
        <w:tc>
          <w:tcPr>
            <w:tcW w:w="516" w:type="pct"/>
            <w:vMerge w:val="restart"/>
            <w:tcBorders>
              <w:top w:val="nil"/>
              <w:left w:val="single" w:sz="8" w:space="0" w:color="auto"/>
              <w:right w:val="single" w:sz="18" w:space="0" w:color="auto"/>
            </w:tcBorders>
            <w:shd w:val="clear" w:color="auto" w:fill="auto"/>
            <w:tcMar>
              <w:left w:w="58" w:type="dxa"/>
              <w:right w:w="58" w:type="dxa"/>
            </w:tcMar>
            <w:vAlign w:val="center"/>
          </w:tcPr>
          <w:p w14:paraId="2514CEAE" w14:textId="77777777" w:rsidR="00205AE5" w:rsidRPr="0023367D" w:rsidRDefault="00205AE5" w:rsidP="00335619">
            <w:pPr>
              <w:jc w:val="center"/>
              <w:rPr>
                <w:rFonts w:eastAsia="Calibri"/>
                <w:bCs/>
                <w:color w:val="000000"/>
                <w:sz w:val="22"/>
              </w:rPr>
            </w:pPr>
            <w:r w:rsidRPr="0023367D">
              <w:rPr>
                <w:rFonts w:eastAsia="Calibri"/>
                <w:bCs/>
                <w:color w:val="000000"/>
                <w:sz w:val="22"/>
              </w:rPr>
              <w:t>Years to Maturity</w:t>
            </w:r>
          </w:p>
        </w:tc>
        <w:tc>
          <w:tcPr>
            <w:tcW w:w="473" w:type="pct"/>
            <w:vMerge w:val="restart"/>
            <w:tcBorders>
              <w:top w:val="nil"/>
              <w:left w:val="single" w:sz="18" w:space="0" w:color="auto"/>
              <w:right w:val="single" w:sz="8" w:space="0" w:color="auto"/>
            </w:tcBorders>
            <w:shd w:val="clear" w:color="auto" w:fill="auto"/>
            <w:tcMar>
              <w:left w:w="58" w:type="dxa"/>
              <w:right w:w="58" w:type="dxa"/>
            </w:tcMar>
            <w:vAlign w:val="center"/>
          </w:tcPr>
          <w:p w14:paraId="2A49B916" w14:textId="77777777" w:rsidR="00205AE5" w:rsidRPr="0023367D" w:rsidRDefault="00205AE5" w:rsidP="00335619">
            <w:pPr>
              <w:jc w:val="center"/>
              <w:rPr>
                <w:rFonts w:eastAsia="Calibri"/>
                <w:bCs/>
                <w:color w:val="000000"/>
                <w:sz w:val="22"/>
              </w:rPr>
            </w:pPr>
            <w:r w:rsidRPr="0023367D">
              <w:rPr>
                <w:rFonts w:eastAsia="Calibri"/>
                <w:bCs/>
                <w:color w:val="000000"/>
                <w:sz w:val="22"/>
              </w:rPr>
              <w:t>Duration (years)</w:t>
            </w:r>
          </w:p>
        </w:tc>
        <w:tc>
          <w:tcPr>
            <w:tcW w:w="645" w:type="pct"/>
            <w:vMerge w:val="restart"/>
            <w:tcBorders>
              <w:top w:val="nil"/>
              <w:left w:val="single" w:sz="8" w:space="0" w:color="auto"/>
              <w:right w:val="single" w:sz="18" w:space="0" w:color="auto"/>
            </w:tcBorders>
            <w:shd w:val="clear" w:color="auto" w:fill="auto"/>
            <w:tcMar>
              <w:left w:w="58" w:type="dxa"/>
              <w:right w:w="58" w:type="dxa"/>
            </w:tcMar>
            <w:vAlign w:val="center"/>
          </w:tcPr>
          <w:p w14:paraId="694E4C98" w14:textId="77777777" w:rsidR="00205AE5" w:rsidRPr="0023367D" w:rsidRDefault="00205AE5" w:rsidP="00335619">
            <w:pPr>
              <w:jc w:val="center"/>
              <w:rPr>
                <w:rFonts w:eastAsia="Calibri"/>
                <w:bCs/>
                <w:color w:val="000000"/>
                <w:sz w:val="22"/>
              </w:rPr>
            </w:pPr>
            <w:r w:rsidRPr="0023367D">
              <w:rPr>
                <w:rFonts w:eastAsia="Calibri"/>
                <w:bCs/>
                <w:color w:val="000000"/>
                <w:sz w:val="22"/>
              </w:rPr>
              <w:t>Yield to Maturity</w:t>
            </w:r>
            <w:r w:rsidRPr="0023367D">
              <w:rPr>
                <w:rFonts w:eastAsia="Calibri"/>
                <w:bCs/>
                <w:color w:val="000000"/>
                <w:sz w:val="22"/>
                <w:vertAlign w:val="superscript"/>
              </w:rPr>
              <w:t>(d)</w:t>
            </w:r>
          </w:p>
        </w:tc>
        <w:tc>
          <w:tcPr>
            <w:tcW w:w="1277" w:type="pct"/>
            <w:gridSpan w:val="2"/>
            <w:tcBorders>
              <w:top w:val="nil"/>
              <w:left w:val="single" w:sz="18" w:space="0" w:color="auto"/>
              <w:bottom w:val="single" w:sz="8" w:space="0" w:color="000000"/>
              <w:right w:val="single" w:sz="8" w:space="0" w:color="auto"/>
            </w:tcBorders>
            <w:shd w:val="clear" w:color="auto" w:fill="auto"/>
            <w:tcMar>
              <w:left w:w="58" w:type="dxa"/>
              <w:right w:w="58" w:type="dxa"/>
            </w:tcMar>
            <w:vAlign w:val="center"/>
          </w:tcPr>
          <w:p w14:paraId="7BDD479F" w14:textId="77777777" w:rsidR="00205AE5" w:rsidRPr="0023367D" w:rsidRDefault="00205AE5" w:rsidP="00205AE5">
            <w:pPr>
              <w:jc w:val="center"/>
              <w:rPr>
                <w:rFonts w:eastAsia="Calibri"/>
                <w:bCs/>
                <w:color w:val="000000"/>
                <w:sz w:val="22"/>
                <w:vertAlign w:val="superscript"/>
              </w:rPr>
            </w:pPr>
            <w:r w:rsidRPr="0023367D">
              <w:rPr>
                <w:rFonts w:eastAsia="Calibri"/>
                <w:bCs/>
                <w:color w:val="000000"/>
                <w:sz w:val="22"/>
              </w:rPr>
              <w:t xml:space="preserve">Frequency of: </w:t>
            </w:r>
            <w:r w:rsidRPr="0023367D">
              <w:rPr>
                <w:rFonts w:eastAsia="Calibri"/>
                <w:bCs/>
                <w:color w:val="000000"/>
                <w:sz w:val="22"/>
                <w:vertAlign w:val="superscript"/>
              </w:rPr>
              <w:t>(b)</w:t>
            </w:r>
          </w:p>
        </w:tc>
      </w:tr>
      <w:tr w:rsidR="00205AE5" w:rsidRPr="0023367D" w14:paraId="3AFBAAC3" w14:textId="77777777" w:rsidTr="00D958BD">
        <w:trPr>
          <w:trHeight w:val="739"/>
        </w:trPr>
        <w:tc>
          <w:tcPr>
            <w:tcW w:w="973" w:type="pct"/>
            <w:vMerge/>
            <w:tcBorders>
              <w:left w:val="single" w:sz="8" w:space="0" w:color="auto"/>
              <w:bottom w:val="single" w:sz="8" w:space="0" w:color="000000"/>
              <w:right w:val="single" w:sz="8" w:space="0" w:color="auto"/>
            </w:tcBorders>
            <w:shd w:val="clear" w:color="auto" w:fill="auto"/>
            <w:tcMar>
              <w:left w:w="58" w:type="dxa"/>
              <w:right w:w="58" w:type="dxa"/>
            </w:tcMar>
            <w:vAlign w:val="center"/>
          </w:tcPr>
          <w:p w14:paraId="0296E350" w14:textId="77777777" w:rsidR="00205AE5" w:rsidRPr="0023367D" w:rsidRDefault="00205AE5" w:rsidP="00335619">
            <w:pPr>
              <w:jc w:val="center"/>
              <w:rPr>
                <w:bCs/>
                <w:color w:val="000000"/>
                <w:sz w:val="22"/>
              </w:rPr>
            </w:pPr>
          </w:p>
        </w:tc>
        <w:tc>
          <w:tcPr>
            <w:tcW w:w="516" w:type="pct"/>
            <w:vMerge/>
            <w:tcBorders>
              <w:left w:val="single" w:sz="8" w:space="0" w:color="auto"/>
              <w:bottom w:val="single" w:sz="8" w:space="0" w:color="000000"/>
              <w:right w:val="single" w:sz="18" w:space="0" w:color="auto"/>
            </w:tcBorders>
            <w:shd w:val="clear" w:color="auto" w:fill="auto"/>
            <w:tcMar>
              <w:left w:w="58" w:type="dxa"/>
              <w:right w:w="58" w:type="dxa"/>
            </w:tcMar>
            <w:vAlign w:val="center"/>
          </w:tcPr>
          <w:p w14:paraId="719B316D" w14:textId="77777777" w:rsidR="00205AE5" w:rsidRPr="0023367D" w:rsidRDefault="00205AE5" w:rsidP="00335619">
            <w:pPr>
              <w:tabs>
                <w:tab w:val="left" w:pos="570"/>
              </w:tabs>
              <w:jc w:val="center"/>
              <w:rPr>
                <w:bCs/>
                <w:color w:val="000000"/>
                <w:sz w:val="22"/>
              </w:rPr>
            </w:pPr>
          </w:p>
        </w:tc>
        <w:tc>
          <w:tcPr>
            <w:tcW w:w="601" w:type="pct"/>
            <w:vMerge/>
            <w:tcBorders>
              <w:left w:val="single" w:sz="18" w:space="0" w:color="auto"/>
              <w:bottom w:val="single" w:sz="8" w:space="0" w:color="000000"/>
              <w:right w:val="single" w:sz="8" w:space="0" w:color="auto"/>
            </w:tcBorders>
            <w:shd w:val="clear" w:color="auto" w:fill="auto"/>
            <w:tcMar>
              <w:left w:w="58" w:type="dxa"/>
              <w:right w:w="58" w:type="dxa"/>
            </w:tcMar>
            <w:vAlign w:val="center"/>
          </w:tcPr>
          <w:p w14:paraId="69C419BC" w14:textId="77777777" w:rsidR="00205AE5" w:rsidRPr="0023367D" w:rsidRDefault="00205AE5" w:rsidP="00335619">
            <w:pPr>
              <w:jc w:val="center"/>
              <w:rPr>
                <w:bCs/>
                <w:color w:val="000000"/>
                <w:sz w:val="22"/>
              </w:rPr>
            </w:pPr>
          </w:p>
        </w:tc>
        <w:tc>
          <w:tcPr>
            <w:tcW w:w="516" w:type="pct"/>
            <w:vMerge/>
            <w:tcBorders>
              <w:left w:val="single" w:sz="8" w:space="0" w:color="auto"/>
              <w:bottom w:val="single" w:sz="8" w:space="0" w:color="000000"/>
              <w:right w:val="single" w:sz="18" w:space="0" w:color="auto"/>
            </w:tcBorders>
            <w:shd w:val="clear" w:color="auto" w:fill="auto"/>
            <w:tcMar>
              <w:left w:w="58" w:type="dxa"/>
              <w:right w:w="58" w:type="dxa"/>
            </w:tcMar>
            <w:vAlign w:val="center"/>
          </w:tcPr>
          <w:p w14:paraId="231C2ADF" w14:textId="77777777" w:rsidR="00205AE5" w:rsidRPr="0023367D" w:rsidRDefault="00205AE5" w:rsidP="00335619">
            <w:pPr>
              <w:jc w:val="center"/>
              <w:rPr>
                <w:bCs/>
                <w:color w:val="000000"/>
                <w:sz w:val="22"/>
              </w:rPr>
            </w:pPr>
          </w:p>
        </w:tc>
        <w:tc>
          <w:tcPr>
            <w:tcW w:w="473" w:type="pct"/>
            <w:vMerge/>
            <w:tcBorders>
              <w:left w:val="single" w:sz="18" w:space="0" w:color="auto"/>
              <w:bottom w:val="single" w:sz="8" w:space="0" w:color="000000"/>
              <w:right w:val="single" w:sz="8" w:space="0" w:color="auto"/>
            </w:tcBorders>
            <w:shd w:val="clear" w:color="auto" w:fill="auto"/>
            <w:tcMar>
              <w:left w:w="58" w:type="dxa"/>
              <w:right w:w="58" w:type="dxa"/>
            </w:tcMar>
            <w:vAlign w:val="center"/>
          </w:tcPr>
          <w:p w14:paraId="0AA5843B" w14:textId="77777777" w:rsidR="00205AE5" w:rsidRPr="0023367D" w:rsidRDefault="00205AE5" w:rsidP="00335619">
            <w:pPr>
              <w:jc w:val="center"/>
              <w:rPr>
                <w:bCs/>
                <w:color w:val="000000"/>
                <w:sz w:val="22"/>
              </w:rPr>
            </w:pPr>
          </w:p>
        </w:tc>
        <w:tc>
          <w:tcPr>
            <w:tcW w:w="645" w:type="pct"/>
            <w:vMerge/>
            <w:tcBorders>
              <w:left w:val="single" w:sz="8" w:space="0" w:color="auto"/>
              <w:bottom w:val="single" w:sz="8" w:space="0" w:color="000000"/>
              <w:right w:val="single" w:sz="18" w:space="0" w:color="auto"/>
            </w:tcBorders>
            <w:shd w:val="clear" w:color="auto" w:fill="auto"/>
            <w:tcMar>
              <w:left w:w="58" w:type="dxa"/>
              <w:right w:w="58" w:type="dxa"/>
            </w:tcMar>
            <w:vAlign w:val="center"/>
          </w:tcPr>
          <w:p w14:paraId="0ACE8F66" w14:textId="77777777" w:rsidR="00205AE5" w:rsidRPr="0023367D" w:rsidRDefault="00205AE5" w:rsidP="00335619">
            <w:pPr>
              <w:jc w:val="center"/>
              <w:rPr>
                <w:bCs/>
                <w:color w:val="000000"/>
                <w:sz w:val="22"/>
              </w:rPr>
            </w:pPr>
          </w:p>
        </w:tc>
        <w:tc>
          <w:tcPr>
            <w:tcW w:w="644" w:type="pct"/>
            <w:tcBorders>
              <w:top w:val="nil"/>
              <w:left w:val="single" w:sz="18" w:space="0" w:color="auto"/>
              <w:bottom w:val="single" w:sz="8" w:space="0" w:color="000000"/>
              <w:right w:val="single" w:sz="8" w:space="0" w:color="auto"/>
            </w:tcBorders>
            <w:shd w:val="clear" w:color="auto" w:fill="auto"/>
            <w:tcMar>
              <w:left w:w="58" w:type="dxa"/>
              <w:right w:w="58" w:type="dxa"/>
            </w:tcMar>
            <w:vAlign w:val="center"/>
          </w:tcPr>
          <w:p w14:paraId="315FE5DE" w14:textId="77777777" w:rsidR="00205AE5" w:rsidRPr="0023367D" w:rsidRDefault="00205AE5" w:rsidP="00205AE5">
            <w:pPr>
              <w:jc w:val="center"/>
              <w:rPr>
                <w:bCs/>
                <w:color w:val="000000"/>
                <w:sz w:val="22"/>
              </w:rPr>
            </w:pPr>
            <w:r w:rsidRPr="0023367D">
              <w:rPr>
                <w:rFonts w:eastAsia="Calibri"/>
                <w:bCs/>
                <w:color w:val="000000"/>
                <w:sz w:val="22"/>
              </w:rPr>
              <w:t>Senior Bonds</w:t>
            </w:r>
          </w:p>
        </w:tc>
        <w:tc>
          <w:tcPr>
            <w:tcW w:w="633" w:type="pct"/>
            <w:tcBorders>
              <w:top w:val="nil"/>
              <w:left w:val="single" w:sz="8" w:space="0" w:color="auto"/>
              <w:bottom w:val="single" w:sz="8" w:space="0" w:color="000000"/>
              <w:right w:val="single" w:sz="8" w:space="0" w:color="auto"/>
            </w:tcBorders>
            <w:shd w:val="clear" w:color="auto" w:fill="auto"/>
            <w:tcMar>
              <w:left w:w="58" w:type="dxa"/>
              <w:right w:w="58" w:type="dxa"/>
            </w:tcMar>
            <w:vAlign w:val="center"/>
          </w:tcPr>
          <w:p w14:paraId="470236C3" w14:textId="77777777" w:rsidR="00205AE5" w:rsidRPr="0023367D" w:rsidRDefault="00205AE5" w:rsidP="00205AE5">
            <w:pPr>
              <w:jc w:val="center"/>
              <w:rPr>
                <w:bCs/>
                <w:color w:val="000000"/>
                <w:sz w:val="22"/>
              </w:rPr>
            </w:pPr>
            <w:r w:rsidRPr="0023367D">
              <w:rPr>
                <w:rFonts w:eastAsia="Calibri"/>
                <w:bCs/>
                <w:color w:val="000000"/>
                <w:sz w:val="22"/>
              </w:rPr>
              <w:t>Call Feature</w:t>
            </w:r>
          </w:p>
        </w:tc>
      </w:tr>
      <w:tr w:rsidR="00335619" w:rsidRPr="0023367D" w14:paraId="3310D015" w14:textId="77777777" w:rsidTr="00D958BD">
        <w:trPr>
          <w:trHeight w:hRule="exact" w:val="893"/>
        </w:trPr>
        <w:tc>
          <w:tcPr>
            <w:tcW w:w="973" w:type="pct"/>
            <w:tcBorders>
              <w:top w:val="nil"/>
              <w:left w:val="single" w:sz="8" w:space="0" w:color="auto"/>
              <w:bottom w:val="single" w:sz="8" w:space="0" w:color="auto"/>
              <w:right w:val="single" w:sz="8" w:space="0" w:color="auto"/>
            </w:tcBorders>
            <w:shd w:val="clear" w:color="auto" w:fill="auto"/>
            <w:noWrap/>
            <w:tcMar>
              <w:left w:w="58" w:type="dxa"/>
              <w:right w:w="58" w:type="dxa"/>
            </w:tcMar>
            <w:vAlign w:val="center"/>
          </w:tcPr>
          <w:p w14:paraId="63D2BF19" w14:textId="77777777" w:rsidR="00335619" w:rsidRPr="0023367D" w:rsidRDefault="00335619" w:rsidP="00335619">
            <w:pPr>
              <w:jc w:val="center"/>
              <w:rPr>
                <w:rFonts w:eastAsia="Calibri"/>
                <w:color w:val="000000"/>
              </w:rPr>
            </w:pPr>
            <w:r w:rsidRPr="0023367D">
              <w:rPr>
                <w:rFonts w:eastAsia="Calibri"/>
                <w:bCs/>
                <w:color w:val="000000"/>
              </w:rPr>
              <w:t xml:space="preserve">All Years </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26FA0E21" w14:textId="77777777" w:rsidR="00335619" w:rsidRPr="0023367D" w:rsidRDefault="00335619" w:rsidP="00335619">
            <w:pPr>
              <w:ind w:right="15"/>
              <w:jc w:val="center"/>
              <w:rPr>
                <w:bCs/>
                <w:color w:val="000000"/>
              </w:rPr>
            </w:pPr>
            <w:r w:rsidRPr="0023367D">
              <w:rPr>
                <w:bCs/>
                <w:color w:val="000000"/>
              </w:rPr>
              <w:t>531</w:t>
            </w:r>
          </w:p>
        </w:tc>
        <w:tc>
          <w:tcPr>
            <w:tcW w:w="601"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61FCDEFA" w14:textId="77777777" w:rsidR="00335619" w:rsidRPr="0023367D" w:rsidRDefault="00335619" w:rsidP="00335619">
            <w:pPr>
              <w:ind w:right="24"/>
              <w:jc w:val="center"/>
              <w:rPr>
                <w:bCs/>
                <w:color w:val="000000"/>
              </w:rPr>
            </w:pPr>
            <w:r w:rsidRPr="0023367D">
              <w:rPr>
                <w:bCs/>
                <w:color w:val="000000"/>
              </w:rPr>
              <w:t>278</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3D03189A" w14:textId="77777777" w:rsidR="00335619" w:rsidRPr="0023367D" w:rsidRDefault="00335619" w:rsidP="00335619">
            <w:pPr>
              <w:ind w:right="244"/>
              <w:jc w:val="right"/>
              <w:rPr>
                <w:bCs/>
                <w:color w:val="000000"/>
              </w:rPr>
            </w:pPr>
            <w:r w:rsidRPr="0023367D">
              <w:rPr>
                <w:bCs/>
                <w:color w:val="000000"/>
              </w:rPr>
              <w:t>10.1</w:t>
            </w:r>
          </w:p>
        </w:tc>
        <w:tc>
          <w:tcPr>
            <w:tcW w:w="473"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3AD3A87B" w14:textId="77777777" w:rsidR="00335619" w:rsidRPr="0023367D" w:rsidRDefault="00335619" w:rsidP="00335619">
            <w:pPr>
              <w:ind w:right="244"/>
              <w:jc w:val="right"/>
              <w:rPr>
                <w:bCs/>
                <w:color w:val="000000"/>
              </w:rPr>
            </w:pPr>
            <w:r w:rsidRPr="0023367D">
              <w:rPr>
                <w:bCs/>
                <w:color w:val="000000"/>
              </w:rPr>
              <w:t>6.0</w:t>
            </w:r>
          </w:p>
        </w:tc>
        <w:tc>
          <w:tcPr>
            <w:tcW w:w="645"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64F35D09" w14:textId="77777777" w:rsidR="00335619" w:rsidRPr="0023367D" w:rsidRDefault="00335619" w:rsidP="00335619">
            <w:pPr>
              <w:ind w:right="199"/>
              <w:jc w:val="right"/>
              <w:rPr>
                <w:bCs/>
                <w:color w:val="000000"/>
              </w:rPr>
            </w:pPr>
            <w:r w:rsidRPr="0023367D">
              <w:rPr>
                <w:bCs/>
                <w:color w:val="000000"/>
              </w:rPr>
              <w:t>9.5%</w:t>
            </w:r>
          </w:p>
        </w:tc>
        <w:tc>
          <w:tcPr>
            <w:tcW w:w="644"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674500C1" w14:textId="77777777" w:rsidR="00335619" w:rsidRPr="0023367D" w:rsidRDefault="00335619" w:rsidP="00335619">
            <w:pPr>
              <w:ind w:right="219"/>
              <w:jc w:val="right"/>
              <w:rPr>
                <w:bCs/>
                <w:color w:val="000000"/>
              </w:rPr>
            </w:pPr>
            <w:r w:rsidRPr="0023367D">
              <w:rPr>
                <w:bCs/>
                <w:color w:val="000000"/>
              </w:rPr>
              <w:t>61.8%</w:t>
            </w:r>
          </w:p>
        </w:tc>
        <w:tc>
          <w:tcPr>
            <w:tcW w:w="633" w:type="pct"/>
            <w:tcBorders>
              <w:top w:val="nil"/>
              <w:left w:val="nil"/>
              <w:bottom w:val="single" w:sz="8" w:space="0" w:color="auto"/>
              <w:right w:val="single" w:sz="8" w:space="0" w:color="auto"/>
            </w:tcBorders>
            <w:shd w:val="clear" w:color="auto" w:fill="auto"/>
            <w:noWrap/>
            <w:tcMar>
              <w:left w:w="58" w:type="dxa"/>
              <w:right w:w="58" w:type="dxa"/>
            </w:tcMar>
            <w:vAlign w:val="center"/>
          </w:tcPr>
          <w:p w14:paraId="5D3AC7D3" w14:textId="77777777" w:rsidR="00335619" w:rsidRPr="0023367D" w:rsidRDefault="00335619" w:rsidP="00335619">
            <w:pPr>
              <w:ind w:right="237"/>
              <w:jc w:val="right"/>
              <w:rPr>
                <w:bCs/>
                <w:color w:val="000000"/>
              </w:rPr>
            </w:pPr>
            <w:r w:rsidRPr="0023367D">
              <w:rPr>
                <w:bCs/>
                <w:color w:val="000000"/>
              </w:rPr>
              <w:t>82.3%</w:t>
            </w:r>
          </w:p>
        </w:tc>
      </w:tr>
      <w:tr w:rsidR="00D958BD" w:rsidRPr="0023367D" w14:paraId="2C88C912" w14:textId="77777777" w:rsidTr="00D958BD">
        <w:trPr>
          <w:trHeight w:hRule="exact" w:val="596"/>
        </w:trPr>
        <w:tc>
          <w:tcPr>
            <w:tcW w:w="973" w:type="pct"/>
            <w:tcBorders>
              <w:top w:val="nil"/>
              <w:left w:val="single" w:sz="8" w:space="0" w:color="auto"/>
              <w:bottom w:val="single" w:sz="8" w:space="0" w:color="auto"/>
              <w:right w:val="single" w:sz="8" w:space="0" w:color="auto"/>
            </w:tcBorders>
            <w:shd w:val="clear" w:color="auto" w:fill="auto"/>
            <w:noWrap/>
            <w:tcMar>
              <w:left w:w="58" w:type="dxa"/>
              <w:right w:w="58" w:type="dxa"/>
            </w:tcMar>
            <w:vAlign w:val="center"/>
          </w:tcPr>
          <w:p w14:paraId="270B74B8" w14:textId="77777777" w:rsidR="00D958BD" w:rsidRPr="0043463F" w:rsidRDefault="00D958BD" w:rsidP="0043463F">
            <w:pPr>
              <w:rPr>
                <w:rFonts w:eastAsia="Calibri"/>
                <w:color w:val="000000"/>
                <w:vertAlign w:val="superscript"/>
              </w:rPr>
            </w:pPr>
            <w:r>
              <w:rPr>
                <w:rFonts w:eastAsia="Calibri"/>
                <w:color w:val="000000"/>
              </w:rPr>
              <w:t>By intervals</w:t>
            </w:r>
            <w:r w:rsidR="0043463F">
              <w:rPr>
                <w:rFonts w:eastAsia="Calibri"/>
                <w:color w:val="000000"/>
                <w:vertAlign w:val="superscript"/>
              </w:rPr>
              <w:t>(a)</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7D898E6E" w14:textId="77777777" w:rsidR="00D958BD" w:rsidRPr="0023367D" w:rsidRDefault="00D958BD" w:rsidP="00335619">
            <w:pPr>
              <w:ind w:right="15"/>
              <w:jc w:val="center"/>
              <w:rPr>
                <w:bCs/>
                <w:color w:val="000000"/>
              </w:rPr>
            </w:pPr>
          </w:p>
        </w:tc>
        <w:tc>
          <w:tcPr>
            <w:tcW w:w="601"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212A1F21" w14:textId="77777777" w:rsidR="00D958BD" w:rsidRPr="0023367D" w:rsidRDefault="00D958BD" w:rsidP="00335619">
            <w:pPr>
              <w:ind w:right="24"/>
              <w:jc w:val="center"/>
              <w:rPr>
                <w:bCs/>
                <w:color w:val="000000"/>
              </w:rPr>
            </w:pP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67F8F08E" w14:textId="77777777" w:rsidR="00D958BD" w:rsidRPr="0023367D" w:rsidRDefault="00D958BD" w:rsidP="00335619">
            <w:pPr>
              <w:ind w:right="244"/>
              <w:jc w:val="right"/>
              <w:rPr>
                <w:bCs/>
                <w:color w:val="000000"/>
              </w:rPr>
            </w:pPr>
          </w:p>
        </w:tc>
        <w:tc>
          <w:tcPr>
            <w:tcW w:w="473"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543160EF" w14:textId="77777777" w:rsidR="00D958BD" w:rsidRPr="0023367D" w:rsidRDefault="00D958BD" w:rsidP="00335619">
            <w:pPr>
              <w:ind w:right="244"/>
              <w:jc w:val="right"/>
              <w:rPr>
                <w:bCs/>
                <w:color w:val="000000"/>
              </w:rPr>
            </w:pPr>
          </w:p>
        </w:tc>
        <w:tc>
          <w:tcPr>
            <w:tcW w:w="645"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05609981" w14:textId="77777777" w:rsidR="00D958BD" w:rsidRPr="0023367D" w:rsidRDefault="00D958BD" w:rsidP="00335619">
            <w:pPr>
              <w:ind w:right="199"/>
              <w:jc w:val="right"/>
              <w:rPr>
                <w:bCs/>
                <w:color w:val="000000"/>
              </w:rPr>
            </w:pPr>
          </w:p>
        </w:tc>
        <w:tc>
          <w:tcPr>
            <w:tcW w:w="644"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65ED93D2" w14:textId="77777777" w:rsidR="00D958BD" w:rsidRPr="0023367D" w:rsidRDefault="00D958BD" w:rsidP="00335619">
            <w:pPr>
              <w:ind w:right="219"/>
              <w:jc w:val="right"/>
              <w:rPr>
                <w:bCs/>
                <w:color w:val="000000"/>
              </w:rPr>
            </w:pPr>
          </w:p>
        </w:tc>
        <w:tc>
          <w:tcPr>
            <w:tcW w:w="633" w:type="pct"/>
            <w:tcBorders>
              <w:top w:val="nil"/>
              <w:left w:val="nil"/>
              <w:bottom w:val="single" w:sz="8" w:space="0" w:color="auto"/>
              <w:right w:val="single" w:sz="8" w:space="0" w:color="auto"/>
            </w:tcBorders>
            <w:shd w:val="clear" w:color="auto" w:fill="auto"/>
            <w:noWrap/>
            <w:tcMar>
              <w:left w:w="58" w:type="dxa"/>
              <w:right w:w="58" w:type="dxa"/>
            </w:tcMar>
            <w:vAlign w:val="center"/>
          </w:tcPr>
          <w:p w14:paraId="664CD4B3" w14:textId="77777777" w:rsidR="00D958BD" w:rsidRPr="0023367D" w:rsidRDefault="00D958BD" w:rsidP="00335619">
            <w:pPr>
              <w:ind w:right="237"/>
              <w:jc w:val="right"/>
              <w:rPr>
                <w:bCs/>
                <w:color w:val="000000"/>
              </w:rPr>
            </w:pPr>
          </w:p>
        </w:tc>
      </w:tr>
      <w:tr w:rsidR="00335619" w:rsidRPr="0023367D" w14:paraId="023D7EA3" w14:textId="77777777" w:rsidTr="00D958BD">
        <w:trPr>
          <w:trHeight w:hRule="exact" w:val="288"/>
        </w:trPr>
        <w:tc>
          <w:tcPr>
            <w:tcW w:w="973" w:type="pct"/>
            <w:tcBorders>
              <w:top w:val="nil"/>
              <w:left w:val="single" w:sz="8" w:space="0" w:color="auto"/>
              <w:bottom w:val="single" w:sz="8" w:space="0" w:color="auto"/>
              <w:right w:val="single" w:sz="8" w:space="0" w:color="auto"/>
            </w:tcBorders>
            <w:shd w:val="clear" w:color="auto" w:fill="auto"/>
            <w:noWrap/>
            <w:tcMar>
              <w:left w:w="58" w:type="dxa"/>
              <w:right w:w="58" w:type="dxa"/>
            </w:tcMar>
            <w:vAlign w:val="center"/>
          </w:tcPr>
          <w:p w14:paraId="16967C8D" w14:textId="77777777" w:rsidR="00335619" w:rsidRPr="0023367D" w:rsidRDefault="00335619" w:rsidP="00335619">
            <w:pPr>
              <w:jc w:val="center"/>
              <w:rPr>
                <w:color w:val="000000"/>
              </w:rPr>
            </w:pPr>
            <w:r w:rsidRPr="0023367D">
              <w:rPr>
                <w:rFonts w:eastAsia="Calibri"/>
                <w:color w:val="000000"/>
              </w:rPr>
              <w:t>1975-1982</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2634EBDD" w14:textId="77777777" w:rsidR="00335619" w:rsidRPr="0023367D" w:rsidRDefault="00335619" w:rsidP="00335619">
            <w:pPr>
              <w:ind w:right="15"/>
              <w:jc w:val="center"/>
              <w:rPr>
                <w:bCs/>
                <w:color w:val="000000"/>
              </w:rPr>
            </w:pPr>
            <w:r w:rsidRPr="0023367D">
              <w:rPr>
                <w:bCs/>
                <w:color w:val="000000"/>
              </w:rPr>
              <w:t>286</w:t>
            </w:r>
          </w:p>
        </w:tc>
        <w:tc>
          <w:tcPr>
            <w:tcW w:w="601"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5749516E" w14:textId="77777777" w:rsidR="00335619" w:rsidRPr="0023367D" w:rsidRDefault="00335619" w:rsidP="00335619">
            <w:pPr>
              <w:ind w:right="24"/>
              <w:jc w:val="center"/>
              <w:rPr>
                <w:bCs/>
                <w:color w:val="000000"/>
              </w:rPr>
            </w:pPr>
            <w:r w:rsidRPr="0023367D">
              <w:rPr>
                <w:bCs/>
                <w:color w:val="000000"/>
              </w:rPr>
              <w:t>161</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32C5C220" w14:textId="77777777" w:rsidR="00335619" w:rsidRPr="0023367D" w:rsidRDefault="00335619" w:rsidP="00335619">
            <w:pPr>
              <w:ind w:right="244"/>
              <w:jc w:val="right"/>
              <w:rPr>
                <w:bCs/>
                <w:color w:val="000000"/>
              </w:rPr>
            </w:pPr>
            <w:r w:rsidRPr="0023367D">
              <w:rPr>
                <w:bCs/>
                <w:color w:val="000000"/>
              </w:rPr>
              <w:t>10.8</w:t>
            </w:r>
          </w:p>
        </w:tc>
        <w:tc>
          <w:tcPr>
            <w:tcW w:w="473"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67B5254E" w14:textId="77777777" w:rsidR="00335619" w:rsidRPr="0023367D" w:rsidRDefault="00335619" w:rsidP="00335619">
            <w:pPr>
              <w:ind w:right="244"/>
              <w:jc w:val="right"/>
              <w:rPr>
                <w:bCs/>
                <w:color w:val="000000"/>
              </w:rPr>
            </w:pPr>
            <w:r w:rsidRPr="0023367D">
              <w:rPr>
                <w:bCs/>
                <w:color w:val="000000"/>
              </w:rPr>
              <w:t>6.2</w:t>
            </w:r>
          </w:p>
        </w:tc>
        <w:tc>
          <w:tcPr>
            <w:tcW w:w="645"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2B651FD1" w14:textId="77777777" w:rsidR="00335619" w:rsidRPr="0023367D" w:rsidRDefault="00335619" w:rsidP="00335619">
            <w:pPr>
              <w:ind w:right="199"/>
              <w:jc w:val="right"/>
              <w:rPr>
                <w:bCs/>
                <w:color w:val="000000"/>
              </w:rPr>
            </w:pPr>
            <w:r w:rsidRPr="0023367D">
              <w:rPr>
                <w:bCs/>
                <w:color w:val="000000"/>
              </w:rPr>
              <w:t>11.7%</w:t>
            </w:r>
          </w:p>
        </w:tc>
        <w:tc>
          <w:tcPr>
            <w:tcW w:w="644"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61825FC7" w14:textId="77777777" w:rsidR="00335619" w:rsidRPr="0023367D" w:rsidRDefault="00335619" w:rsidP="00335619">
            <w:pPr>
              <w:ind w:right="219"/>
              <w:jc w:val="right"/>
              <w:rPr>
                <w:bCs/>
                <w:color w:val="000000"/>
              </w:rPr>
            </w:pPr>
            <w:r w:rsidRPr="0023367D">
              <w:rPr>
                <w:bCs/>
                <w:color w:val="000000"/>
              </w:rPr>
              <w:t>49.7%</w:t>
            </w:r>
          </w:p>
        </w:tc>
        <w:tc>
          <w:tcPr>
            <w:tcW w:w="633" w:type="pct"/>
            <w:tcBorders>
              <w:top w:val="nil"/>
              <w:left w:val="nil"/>
              <w:bottom w:val="single" w:sz="8" w:space="0" w:color="auto"/>
              <w:right w:val="single" w:sz="8" w:space="0" w:color="auto"/>
            </w:tcBorders>
            <w:shd w:val="clear" w:color="auto" w:fill="auto"/>
            <w:noWrap/>
            <w:tcMar>
              <w:left w:w="58" w:type="dxa"/>
              <w:right w:w="58" w:type="dxa"/>
            </w:tcMar>
            <w:vAlign w:val="center"/>
          </w:tcPr>
          <w:p w14:paraId="61A140BD" w14:textId="77777777" w:rsidR="00335619" w:rsidRPr="0023367D" w:rsidRDefault="00335619" w:rsidP="00335619">
            <w:pPr>
              <w:ind w:right="237"/>
              <w:jc w:val="right"/>
              <w:rPr>
                <w:bCs/>
                <w:color w:val="000000"/>
              </w:rPr>
            </w:pPr>
            <w:r w:rsidRPr="0023367D">
              <w:rPr>
                <w:bCs/>
                <w:color w:val="000000"/>
              </w:rPr>
              <w:t>93.4%</w:t>
            </w:r>
          </w:p>
        </w:tc>
      </w:tr>
      <w:tr w:rsidR="00335619" w:rsidRPr="0023367D" w14:paraId="12F30F91" w14:textId="77777777" w:rsidTr="00D958BD">
        <w:trPr>
          <w:trHeight w:hRule="exact" w:val="288"/>
        </w:trPr>
        <w:tc>
          <w:tcPr>
            <w:tcW w:w="973" w:type="pct"/>
            <w:tcBorders>
              <w:top w:val="nil"/>
              <w:left w:val="single" w:sz="8" w:space="0" w:color="auto"/>
              <w:bottom w:val="single" w:sz="8" w:space="0" w:color="auto"/>
              <w:right w:val="single" w:sz="8" w:space="0" w:color="auto"/>
            </w:tcBorders>
            <w:shd w:val="clear" w:color="auto" w:fill="auto"/>
            <w:noWrap/>
            <w:tcMar>
              <w:left w:w="58" w:type="dxa"/>
              <w:right w:w="58" w:type="dxa"/>
            </w:tcMar>
            <w:vAlign w:val="center"/>
          </w:tcPr>
          <w:p w14:paraId="0C2FDCE1" w14:textId="77777777" w:rsidR="00335619" w:rsidRPr="0023367D" w:rsidRDefault="00335619" w:rsidP="00335619">
            <w:pPr>
              <w:jc w:val="center"/>
              <w:rPr>
                <w:color w:val="000000"/>
              </w:rPr>
            </w:pPr>
            <w:r w:rsidRPr="0023367D">
              <w:rPr>
                <w:rFonts w:eastAsia="Calibri"/>
                <w:color w:val="000000"/>
              </w:rPr>
              <w:t>1983-1990</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233956EB" w14:textId="77777777" w:rsidR="00335619" w:rsidRPr="0023367D" w:rsidRDefault="00335619" w:rsidP="00335619">
            <w:pPr>
              <w:ind w:right="15"/>
              <w:jc w:val="center"/>
              <w:rPr>
                <w:bCs/>
                <w:color w:val="000000"/>
              </w:rPr>
            </w:pPr>
            <w:r w:rsidRPr="0023367D">
              <w:rPr>
                <w:bCs/>
                <w:color w:val="000000"/>
              </w:rPr>
              <w:t>503</w:t>
            </w:r>
          </w:p>
        </w:tc>
        <w:tc>
          <w:tcPr>
            <w:tcW w:w="601"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69C84229" w14:textId="77777777" w:rsidR="00335619" w:rsidRPr="0023367D" w:rsidRDefault="00335619" w:rsidP="00335619">
            <w:pPr>
              <w:ind w:right="24"/>
              <w:jc w:val="center"/>
              <w:rPr>
                <w:bCs/>
                <w:color w:val="000000"/>
              </w:rPr>
            </w:pPr>
            <w:r w:rsidRPr="0023367D">
              <w:rPr>
                <w:bCs/>
                <w:color w:val="000000"/>
              </w:rPr>
              <w:t>186</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429F16D1" w14:textId="77777777" w:rsidR="00335619" w:rsidRPr="0023367D" w:rsidRDefault="00335619" w:rsidP="00335619">
            <w:pPr>
              <w:ind w:right="244"/>
              <w:jc w:val="right"/>
              <w:rPr>
                <w:bCs/>
                <w:color w:val="000000"/>
              </w:rPr>
            </w:pPr>
            <w:r w:rsidRPr="0023367D">
              <w:rPr>
                <w:bCs/>
                <w:color w:val="000000"/>
              </w:rPr>
              <w:t>12.2</w:t>
            </w:r>
          </w:p>
        </w:tc>
        <w:tc>
          <w:tcPr>
            <w:tcW w:w="473"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6C3B3214" w14:textId="77777777" w:rsidR="00335619" w:rsidRPr="0023367D" w:rsidRDefault="00335619" w:rsidP="00335619">
            <w:pPr>
              <w:ind w:right="244"/>
              <w:jc w:val="right"/>
              <w:rPr>
                <w:bCs/>
                <w:color w:val="000000"/>
              </w:rPr>
            </w:pPr>
            <w:r w:rsidRPr="0023367D">
              <w:rPr>
                <w:bCs/>
                <w:color w:val="000000"/>
              </w:rPr>
              <w:t>6.2</w:t>
            </w:r>
          </w:p>
        </w:tc>
        <w:tc>
          <w:tcPr>
            <w:tcW w:w="645"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35FD2785" w14:textId="77777777" w:rsidR="00335619" w:rsidRPr="0023367D" w:rsidRDefault="00335619" w:rsidP="00335619">
            <w:pPr>
              <w:ind w:right="199"/>
              <w:jc w:val="right"/>
              <w:rPr>
                <w:bCs/>
                <w:color w:val="000000"/>
              </w:rPr>
            </w:pPr>
            <w:r w:rsidRPr="0023367D">
              <w:rPr>
                <w:bCs/>
                <w:color w:val="000000"/>
              </w:rPr>
              <w:t>11.9%</w:t>
            </w:r>
          </w:p>
        </w:tc>
        <w:tc>
          <w:tcPr>
            <w:tcW w:w="644"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4BE1F5B4" w14:textId="77777777" w:rsidR="00335619" w:rsidRPr="0023367D" w:rsidRDefault="00335619" w:rsidP="00335619">
            <w:pPr>
              <w:ind w:right="219"/>
              <w:jc w:val="right"/>
              <w:rPr>
                <w:bCs/>
                <w:color w:val="000000"/>
              </w:rPr>
            </w:pPr>
            <w:r w:rsidRPr="0023367D">
              <w:rPr>
                <w:bCs/>
                <w:color w:val="000000"/>
              </w:rPr>
              <w:t>51.3%</w:t>
            </w:r>
          </w:p>
        </w:tc>
        <w:tc>
          <w:tcPr>
            <w:tcW w:w="633" w:type="pct"/>
            <w:tcBorders>
              <w:top w:val="nil"/>
              <w:left w:val="nil"/>
              <w:bottom w:val="single" w:sz="8" w:space="0" w:color="auto"/>
              <w:right w:val="single" w:sz="8" w:space="0" w:color="auto"/>
            </w:tcBorders>
            <w:shd w:val="clear" w:color="auto" w:fill="auto"/>
            <w:noWrap/>
            <w:tcMar>
              <w:left w:w="58" w:type="dxa"/>
              <w:right w:w="58" w:type="dxa"/>
            </w:tcMar>
            <w:vAlign w:val="center"/>
          </w:tcPr>
          <w:p w14:paraId="369BD2CF" w14:textId="77777777" w:rsidR="00335619" w:rsidRPr="0023367D" w:rsidRDefault="00335619" w:rsidP="00335619">
            <w:pPr>
              <w:ind w:right="237"/>
              <w:jc w:val="right"/>
              <w:rPr>
                <w:bCs/>
                <w:color w:val="000000"/>
              </w:rPr>
            </w:pPr>
            <w:r w:rsidRPr="0023367D">
              <w:rPr>
                <w:bCs/>
                <w:color w:val="000000"/>
              </w:rPr>
              <w:t>87.7%</w:t>
            </w:r>
          </w:p>
        </w:tc>
      </w:tr>
      <w:tr w:rsidR="00335619" w:rsidRPr="0023367D" w14:paraId="7439BCEB" w14:textId="77777777" w:rsidTr="00D958BD">
        <w:trPr>
          <w:trHeight w:hRule="exact" w:val="380"/>
        </w:trPr>
        <w:tc>
          <w:tcPr>
            <w:tcW w:w="973" w:type="pct"/>
            <w:tcBorders>
              <w:top w:val="nil"/>
              <w:left w:val="single" w:sz="8" w:space="0" w:color="auto"/>
              <w:bottom w:val="single" w:sz="8" w:space="0" w:color="auto"/>
              <w:right w:val="single" w:sz="8" w:space="0" w:color="auto"/>
            </w:tcBorders>
            <w:shd w:val="clear" w:color="auto" w:fill="auto"/>
            <w:noWrap/>
            <w:tcMar>
              <w:left w:w="58" w:type="dxa"/>
              <w:right w:w="58" w:type="dxa"/>
            </w:tcMar>
            <w:vAlign w:val="center"/>
          </w:tcPr>
          <w:p w14:paraId="11A8E247" w14:textId="77777777" w:rsidR="00335619" w:rsidRPr="0023367D" w:rsidRDefault="00335619" w:rsidP="00335619">
            <w:pPr>
              <w:jc w:val="center"/>
              <w:rPr>
                <w:color w:val="000000"/>
              </w:rPr>
            </w:pPr>
            <w:r w:rsidRPr="0023367D">
              <w:rPr>
                <w:rFonts w:eastAsia="Calibri"/>
                <w:color w:val="000000"/>
              </w:rPr>
              <w:t>1991-1998</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16FD84E7" w14:textId="77777777" w:rsidR="00335619" w:rsidRPr="0023367D" w:rsidRDefault="00335619" w:rsidP="00335619">
            <w:pPr>
              <w:ind w:right="15"/>
              <w:jc w:val="center"/>
              <w:rPr>
                <w:bCs/>
                <w:color w:val="000000"/>
              </w:rPr>
            </w:pPr>
            <w:r w:rsidRPr="0023367D">
              <w:rPr>
                <w:bCs/>
                <w:color w:val="000000"/>
              </w:rPr>
              <w:t>560</w:t>
            </w:r>
          </w:p>
        </w:tc>
        <w:tc>
          <w:tcPr>
            <w:tcW w:w="601"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16E053DC" w14:textId="77777777" w:rsidR="00335619" w:rsidRPr="0023367D" w:rsidRDefault="00335619" w:rsidP="00335619">
            <w:pPr>
              <w:ind w:right="24"/>
              <w:jc w:val="center"/>
              <w:rPr>
                <w:bCs/>
                <w:color w:val="000000"/>
              </w:rPr>
            </w:pPr>
            <w:r w:rsidRPr="0023367D">
              <w:rPr>
                <w:bCs/>
                <w:color w:val="000000"/>
              </w:rPr>
              <w:t>235</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36FDCC67" w14:textId="77777777" w:rsidR="00335619" w:rsidRPr="0023367D" w:rsidRDefault="00335619" w:rsidP="00335619">
            <w:pPr>
              <w:ind w:right="244"/>
              <w:jc w:val="right"/>
              <w:rPr>
                <w:bCs/>
                <w:color w:val="000000"/>
              </w:rPr>
            </w:pPr>
            <w:r w:rsidRPr="0023367D">
              <w:rPr>
                <w:bCs/>
                <w:color w:val="000000"/>
              </w:rPr>
              <w:t>10.5</w:t>
            </w:r>
          </w:p>
        </w:tc>
        <w:tc>
          <w:tcPr>
            <w:tcW w:w="473"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41976F13" w14:textId="77777777" w:rsidR="00335619" w:rsidRPr="0023367D" w:rsidRDefault="00335619" w:rsidP="00335619">
            <w:pPr>
              <w:ind w:right="244"/>
              <w:jc w:val="right"/>
              <w:rPr>
                <w:bCs/>
                <w:color w:val="000000"/>
              </w:rPr>
            </w:pPr>
            <w:r w:rsidRPr="0023367D">
              <w:rPr>
                <w:bCs/>
                <w:color w:val="000000"/>
              </w:rPr>
              <w:t>6.1</w:t>
            </w:r>
          </w:p>
        </w:tc>
        <w:tc>
          <w:tcPr>
            <w:tcW w:w="645"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698CF5B4" w14:textId="77777777" w:rsidR="00335619" w:rsidRPr="0023367D" w:rsidRDefault="00335619" w:rsidP="00335619">
            <w:pPr>
              <w:ind w:right="199"/>
              <w:jc w:val="right"/>
              <w:rPr>
                <w:bCs/>
                <w:color w:val="000000"/>
              </w:rPr>
            </w:pPr>
            <w:r w:rsidRPr="0023367D">
              <w:rPr>
                <w:bCs/>
                <w:color w:val="000000"/>
              </w:rPr>
              <w:t>9.0%</w:t>
            </w:r>
          </w:p>
        </w:tc>
        <w:tc>
          <w:tcPr>
            <w:tcW w:w="644"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5FBAF75F" w14:textId="77777777" w:rsidR="00335619" w:rsidRPr="0023367D" w:rsidRDefault="00335619" w:rsidP="00335619">
            <w:pPr>
              <w:ind w:right="219"/>
              <w:jc w:val="right"/>
              <w:rPr>
                <w:bCs/>
                <w:color w:val="000000"/>
              </w:rPr>
            </w:pPr>
            <w:r w:rsidRPr="0023367D">
              <w:rPr>
                <w:bCs/>
                <w:color w:val="000000"/>
              </w:rPr>
              <w:t>57.4%</w:t>
            </w:r>
          </w:p>
        </w:tc>
        <w:tc>
          <w:tcPr>
            <w:tcW w:w="633" w:type="pct"/>
            <w:tcBorders>
              <w:top w:val="nil"/>
              <w:left w:val="nil"/>
              <w:bottom w:val="single" w:sz="8" w:space="0" w:color="auto"/>
              <w:right w:val="single" w:sz="8" w:space="0" w:color="auto"/>
            </w:tcBorders>
            <w:shd w:val="clear" w:color="auto" w:fill="auto"/>
            <w:noWrap/>
            <w:tcMar>
              <w:left w:w="58" w:type="dxa"/>
              <w:right w:w="58" w:type="dxa"/>
            </w:tcMar>
            <w:vAlign w:val="center"/>
          </w:tcPr>
          <w:p w14:paraId="22B0D074" w14:textId="77777777" w:rsidR="00335619" w:rsidRPr="0023367D" w:rsidRDefault="00335619" w:rsidP="00335619">
            <w:pPr>
              <w:ind w:right="237"/>
              <w:jc w:val="right"/>
              <w:rPr>
                <w:bCs/>
                <w:color w:val="000000"/>
              </w:rPr>
            </w:pPr>
            <w:r w:rsidRPr="0023367D">
              <w:rPr>
                <w:bCs/>
                <w:color w:val="000000"/>
              </w:rPr>
              <w:t>62.1%</w:t>
            </w:r>
          </w:p>
        </w:tc>
      </w:tr>
      <w:tr w:rsidR="00335619" w:rsidRPr="0023367D" w14:paraId="743F817D" w14:textId="77777777" w:rsidTr="00D958BD">
        <w:trPr>
          <w:trHeight w:hRule="exact" w:val="288"/>
        </w:trPr>
        <w:tc>
          <w:tcPr>
            <w:tcW w:w="973" w:type="pct"/>
            <w:tcBorders>
              <w:top w:val="nil"/>
              <w:left w:val="single" w:sz="8" w:space="0" w:color="auto"/>
              <w:bottom w:val="single" w:sz="8" w:space="0" w:color="auto"/>
              <w:right w:val="single" w:sz="8" w:space="0" w:color="auto"/>
            </w:tcBorders>
            <w:shd w:val="clear" w:color="auto" w:fill="auto"/>
            <w:noWrap/>
            <w:tcMar>
              <w:left w:w="58" w:type="dxa"/>
              <w:right w:w="58" w:type="dxa"/>
            </w:tcMar>
            <w:vAlign w:val="center"/>
          </w:tcPr>
          <w:p w14:paraId="661167D9" w14:textId="77777777" w:rsidR="00335619" w:rsidRPr="0023367D" w:rsidRDefault="00335619" w:rsidP="00335619">
            <w:pPr>
              <w:jc w:val="center"/>
              <w:rPr>
                <w:color w:val="000000"/>
              </w:rPr>
            </w:pPr>
            <w:r w:rsidRPr="0023367D">
              <w:rPr>
                <w:rFonts w:eastAsia="Calibri"/>
                <w:color w:val="000000"/>
              </w:rPr>
              <w:t>1999-2006</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44C9E000" w14:textId="77777777" w:rsidR="00335619" w:rsidRPr="0023367D" w:rsidRDefault="00335619" w:rsidP="00335619">
            <w:pPr>
              <w:ind w:right="15"/>
              <w:jc w:val="center"/>
              <w:rPr>
                <w:bCs/>
                <w:color w:val="000000"/>
              </w:rPr>
            </w:pPr>
            <w:r w:rsidRPr="0023367D">
              <w:rPr>
                <w:bCs/>
                <w:color w:val="000000"/>
              </w:rPr>
              <w:t>814</w:t>
            </w:r>
          </w:p>
        </w:tc>
        <w:tc>
          <w:tcPr>
            <w:tcW w:w="601"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0FA3369F" w14:textId="77777777" w:rsidR="00335619" w:rsidRPr="0023367D" w:rsidRDefault="00335619" w:rsidP="00335619">
            <w:pPr>
              <w:ind w:right="24"/>
              <w:jc w:val="center"/>
              <w:rPr>
                <w:bCs/>
                <w:color w:val="000000"/>
              </w:rPr>
            </w:pPr>
            <w:r w:rsidRPr="0023367D">
              <w:rPr>
                <w:bCs/>
                <w:color w:val="000000"/>
              </w:rPr>
              <w:t>336</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03732458" w14:textId="77777777" w:rsidR="00335619" w:rsidRPr="0023367D" w:rsidRDefault="00335619" w:rsidP="00335619">
            <w:pPr>
              <w:ind w:right="244"/>
              <w:jc w:val="right"/>
              <w:rPr>
                <w:bCs/>
                <w:color w:val="000000"/>
              </w:rPr>
            </w:pPr>
            <w:r w:rsidRPr="0023367D">
              <w:rPr>
                <w:bCs/>
                <w:color w:val="000000"/>
              </w:rPr>
              <w:t>8.7</w:t>
            </w:r>
          </w:p>
        </w:tc>
        <w:tc>
          <w:tcPr>
            <w:tcW w:w="473"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7345E862" w14:textId="77777777" w:rsidR="00335619" w:rsidRPr="0023367D" w:rsidRDefault="00335619" w:rsidP="00335619">
            <w:pPr>
              <w:ind w:right="244"/>
              <w:jc w:val="right"/>
              <w:rPr>
                <w:bCs/>
                <w:color w:val="000000"/>
              </w:rPr>
            </w:pPr>
            <w:r w:rsidRPr="0023367D">
              <w:rPr>
                <w:bCs/>
                <w:color w:val="000000"/>
              </w:rPr>
              <w:t>5.7</w:t>
            </w:r>
          </w:p>
        </w:tc>
        <w:tc>
          <w:tcPr>
            <w:tcW w:w="645"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5BF0DC14" w14:textId="77777777" w:rsidR="00335619" w:rsidRPr="0023367D" w:rsidRDefault="00335619" w:rsidP="00335619">
            <w:pPr>
              <w:ind w:right="199"/>
              <w:jc w:val="right"/>
              <w:rPr>
                <w:bCs/>
                <w:color w:val="000000"/>
              </w:rPr>
            </w:pPr>
            <w:r w:rsidRPr="0023367D">
              <w:rPr>
                <w:bCs/>
                <w:color w:val="000000"/>
              </w:rPr>
              <w:t>8.6%</w:t>
            </w:r>
          </w:p>
        </w:tc>
        <w:tc>
          <w:tcPr>
            <w:tcW w:w="644"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4237DB6F" w14:textId="77777777" w:rsidR="00335619" w:rsidRPr="0023367D" w:rsidRDefault="00335619" w:rsidP="00335619">
            <w:pPr>
              <w:ind w:right="219"/>
              <w:jc w:val="right"/>
              <w:rPr>
                <w:bCs/>
                <w:color w:val="000000"/>
              </w:rPr>
            </w:pPr>
            <w:r w:rsidRPr="0023367D">
              <w:rPr>
                <w:bCs/>
                <w:color w:val="000000"/>
              </w:rPr>
              <w:t>67.0%</w:t>
            </w:r>
          </w:p>
        </w:tc>
        <w:tc>
          <w:tcPr>
            <w:tcW w:w="633" w:type="pct"/>
            <w:tcBorders>
              <w:top w:val="nil"/>
              <w:left w:val="nil"/>
              <w:bottom w:val="single" w:sz="8" w:space="0" w:color="auto"/>
              <w:right w:val="single" w:sz="8" w:space="0" w:color="auto"/>
            </w:tcBorders>
            <w:shd w:val="clear" w:color="auto" w:fill="auto"/>
            <w:noWrap/>
            <w:tcMar>
              <w:left w:w="58" w:type="dxa"/>
              <w:right w:w="58" w:type="dxa"/>
            </w:tcMar>
            <w:vAlign w:val="center"/>
          </w:tcPr>
          <w:p w14:paraId="73EA07F0" w14:textId="77777777" w:rsidR="00335619" w:rsidRPr="0023367D" w:rsidRDefault="00335619" w:rsidP="00335619">
            <w:pPr>
              <w:ind w:right="237"/>
              <w:jc w:val="right"/>
              <w:rPr>
                <w:bCs/>
                <w:color w:val="000000"/>
              </w:rPr>
            </w:pPr>
            <w:r w:rsidRPr="0023367D">
              <w:rPr>
                <w:bCs/>
                <w:color w:val="000000"/>
              </w:rPr>
              <w:t>76.2%</w:t>
            </w:r>
          </w:p>
        </w:tc>
      </w:tr>
      <w:tr w:rsidR="00335619" w:rsidRPr="0023367D" w14:paraId="04F75C99" w14:textId="77777777" w:rsidTr="00D958BD">
        <w:trPr>
          <w:trHeight w:hRule="exact" w:val="288"/>
        </w:trPr>
        <w:tc>
          <w:tcPr>
            <w:tcW w:w="973" w:type="pct"/>
            <w:tcBorders>
              <w:top w:val="nil"/>
              <w:left w:val="single" w:sz="8" w:space="0" w:color="auto"/>
              <w:bottom w:val="single" w:sz="8" w:space="0" w:color="auto"/>
              <w:right w:val="single" w:sz="8" w:space="0" w:color="auto"/>
            </w:tcBorders>
            <w:shd w:val="clear" w:color="auto" w:fill="auto"/>
            <w:noWrap/>
            <w:tcMar>
              <w:left w:w="58" w:type="dxa"/>
              <w:right w:w="58" w:type="dxa"/>
            </w:tcMar>
            <w:vAlign w:val="center"/>
          </w:tcPr>
          <w:p w14:paraId="435789A0" w14:textId="77777777" w:rsidR="00335619" w:rsidRPr="00D958BD" w:rsidRDefault="004B561A" w:rsidP="00335619">
            <w:pPr>
              <w:jc w:val="center"/>
              <w:rPr>
                <w:color w:val="000000"/>
                <w:vertAlign w:val="superscript"/>
              </w:rPr>
            </w:pPr>
            <w:r>
              <w:rPr>
                <w:rFonts w:eastAsia="Calibri"/>
                <w:color w:val="000000"/>
              </w:rPr>
              <w:t xml:space="preserve">   </w:t>
            </w:r>
            <w:r w:rsidR="00335619" w:rsidRPr="0023367D">
              <w:rPr>
                <w:rFonts w:eastAsia="Calibri"/>
                <w:color w:val="000000"/>
              </w:rPr>
              <w:t>2007-2013</w:t>
            </w:r>
            <w:r w:rsidR="00D958BD">
              <w:rPr>
                <w:rFonts w:eastAsia="Calibri"/>
                <w:color w:val="000000"/>
                <w:vertAlign w:val="superscript"/>
              </w:rPr>
              <w:t>(a)</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1047AAA6" w14:textId="77777777" w:rsidR="00335619" w:rsidRPr="0023367D" w:rsidRDefault="00335619" w:rsidP="00335619">
            <w:pPr>
              <w:ind w:right="15"/>
              <w:jc w:val="center"/>
              <w:rPr>
                <w:bCs/>
                <w:color w:val="000000"/>
              </w:rPr>
            </w:pPr>
            <w:r w:rsidRPr="0023367D">
              <w:rPr>
                <w:bCs/>
                <w:color w:val="000000"/>
              </w:rPr>
              <w:t>486</w:t>
            </w:r>
          </w:p>
        </w:tc>
        <w:tc>
          <w:tcPr>
            <w:tcW w:w="601"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286A6EE2" w14:textId="77777777" w:rsidR="00335619" w:rsidRPr="0023367D" w:rsidRDefault="00335619" w:rsidP="00335619">
            <w:pPr>
              <w:ind w:right="24"/>
              <w:jc w:val="center"/>
              <w:rPr>
                <w:bCs/>
                <w:color w:val="000000"/>
              </w:rPr>
            </w:pPr>
            <w:r w:rsidRPr="0023367D">
              <w:rPr>
                <w:bCs/>
                <w:color w:val="000000"/>
              </w:rPr>
              <w:t>499</w:t>
            </w:r>
          </w:p>
        </w:tc>
        <w:tc>
          <w:tcPr>
            <w:tcW w:w="516"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162CA002" w14:textId="77777777" w:rsidR="00335619" w:rsidRPr="0023367D" w:rsidRDefault="00335619" w:rsidP="00335619">
            <w:pPr>
              <w:ind w:right="244"/>
              <w:jc w:val="right"/>
              <w:rPr>
                <w:bCs/>
                <w:color w:val="000000"/>
              </w:rPr>
            </w:pPr>
            <w:r w:rsidRPr="0023367D">
              <w:rPr>
                <w:bCs/>
                <w:color w:val="000000"/>
              </w:rPr>
              <w:t>7.9</w:t>
            </w:r>
          </w:p>
        </w:tc>
        <w:tc>
          <w:tcPr>
            <w:tcW w:w="473"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49032047" w14:textId="77777777" w:rsidR="00335619" w:rsidRPr="0023367D" w:rsidRDefault="00335619" w:rsidP="00335619">
            <w:pPr>
              <w:ind w:right="244"/>
              <w:jc w:val="right"/>
              <w:rPr>
                <w:bCs/>
                <w:color w:val="000000"/>
              </w:rPr>
            </w:pPr>
            <w:r w:rsidRPr="0023367D">
              <w:rPr>
                <w:bCs/>
                <w:color w:val="000000"/>
              </w:rPr>
              <w:t>5.5</w:t>
            </w:r>
          </w:p>
        </w:tc>
        <w:tc>
          <w:tcPr>
            <w:tcW w:w="645" w:type="pct"/>
            <w:tcBorders>
              <w:top w:val="nil"/>
              <w:left w:val="nil"/>
              <w:bottom w:val="single" w:sz="8" w:space="0" w:color="auto"/>
              <w:right w:val="single" w:sz="18" w:space="0" w:color="auto"/>
            </w:tcBorders>
            <w:shd w:val="clear" w:color="auto" w:fill="auto"/>
            <w:noWrap/>
            <w:tcMar>
              <w:left w:w="58" w:type="dxa"/>
              <w:right w:w="58" w:type="dxa"/>
            </w:tcMar>
            <w:vAlign w:val="center"/>
          </w:tcPr>
          <w:p w14:paraId="17FA1C70" w14:textId="77777777" w:rsidR="00335619" w:rsidRPr="0023367D" w:rsidRDefault="00335619" w:rsidP="00335619">
            <w:pPr>
              <w:ind w:right="199"/>
              <w:jc w:val="right"/>
              <w:rPr>
                <w:bCs/>
                <w:color w:val="000000"/>
              </w:rPr>
            </w:pPr>
            <w:r w:rsidRPr="0023367D">
              <w:rPr>
                <w:bCs/>
                <w:color w:val="000000"/>
              </w:rPr>
              <w:t>5.7%</w:t>
            </w:r>
          </w:p>
        </w:tc>
        <w:tc>
          <w:tcPr>
            <w:tcW w:w="644" w:type="pct"/>
            <w:tcBorders>
              <w:top w:val="nil"/>
              <w:left w:val="single" w:sz="18" w:space="0" w:color="auto"/>
              <w:bottom w:val="single" w:sz="8" w:space="0" w:color="auto"/>
              <w:right w:val="single" w:sz="8" w:space="0" w:color="auto"/>
            </w:tcBorders>
            <w:shd w:val="clear" w:color="auto" w:fill="auto"/>
            <w:noWrap/>
            <w:tcMar>
              <w:left w:w="58" w:type="dxa"/>
              <w:right w:w="58" w:type="dxa"/>
            </w:tcMar>
            <w:vAlign w:val="center"/>
          </w:tcPr>
          <w:p w14:paraId="7121A397" w14:textId="77777777" w:rsidR="00335619" w:rsidRPr="0023367D" w:rsidRDefault="00335619" w:rsidP="00335619">
            <w:pPr>
              <w:ind w:right="219"/>
              <w:jc w:val="right"/>
              <w:rPr>
                <w:bCs/>
                <w:color w:val="000000"/>
              </w:rPr>
            </w:pPr>
            <w:r w:rsidRPr="0023367D">
              <w:rPr>
                <w:bCs/>
                <w:color w:val="000000"/>
              </w:rPr>
              <w:t>86.9%</w:t>
            </w:r>
          </w:p>
        </w:tc>
        <w:tc>
          <w:tcPr>
            <w:tcW w:w="633" w:type="pct"/>
            <w:tcBorders>
              <w:top w:val="nil"/>
              <w:left w:val="nil"/>
              <w:bottom w:val="single" w:sz="8" w:space="0" w:color="auto"/>
              <w:right w:val="single" w:sz="8" w:space="0" w:color="auto"/>
            </w:tcBorders>
            <w:shd w:val="clear" w:color="auto" w:fill="auto"/>
            <w:noWrap/>
            <w:tcMar>
              <w:left w:w="58" w:type="dxa"/>
              <w:right w:w="58" w:type="dxa"/>
            </w:tcMar>
            <w:vAlign w:val="center"/>
          </w:tcPr>
          <w:p w14:paraId="328DCCD2" w14:textId="77777777" w:rsidR="00335619" w:rsidRPr="0023367D" w:rsidRDefault="00335619" w:rsidP="00335619">
            <w:pPr>
              <w:ind w:right="237"/>
              <w:jc w:val="right"/>
              <w:rPr>
                <w:bCs/>
                <w:color w:val="000000"/>
              </w:rPr>
            </w:pPr>
            <w:r w:rsidRPr="0023367D">
              <w:rPr>
                <w:bCs/>
                <w:color w:val="000000"/>
              </w:rPr>
              <w:t>93.6%</w:t>
            </w:r>
          </w:p>
        </w:tc>
      </w:tr>
    </w:tbl>
    <w:p w14:paraId="20A817ED" w14:textId="77777777" w:rsidR="00335619" w:rsidRPr="006122CC" w:rsidRDefault="00D958BD" w:rsidP="00FF7D77">
      <w:pPr>
        <w:pStyle w:val="ColorfulList-Accent11"/>
        <w:spacing w:after="120" w:line="240" w:lineRule="auto"/>
        <w:ind w:left="0"/>
        <w:rPr>
          <w:rFonts w:ascii="Times New Roman" w:hAnsi="Times New Roman" w:cs="Times New Roman"/>
          <w:sz w:val="18"/>
          <w:szCs w:val="18"/>
        </w:rPr>
      </w:pPr>
      <w:r w:rsidRPr="006122CC">
        <w:rPr>
          <w:rFonts w:ascii="Times New Roman" w:hAnsi="Times New Roman" w:cs="Times New Roman"/>
          <w:sz w:val="18"/>
          <w:szCs w:val="18"/>
          <w:vertAlign w:val="superscript"/>
        </w:rPr>
        <w:t>(a)</w:t>
      </w:r>
      <w:r w:rsidRPr="006122CC">
        <w:rPr>
          <w:rFonts w:ascii="Times New Roman" w:hAnsi="Times New Roman" w:cs="Times New Roman"/>
          <w:sz w:val="18"/>
          <w:szCs w:val="18"/>
        </w:rPr>
        <w:t xml:space="preserve"> </w:t>
      </w:r>
      <w:r w:rsidR="0043463F" w:rsidRPr="006122CC">
        <w:rPr>
          <w:rFonts w:ascii="Times New Roman" w:hAnsi="Times New Roman" w:cs="Times New Roman"/>
          <w:sz w:val="18"/>
          <w:szCs w:val="18"/>
        </w:rPr>
        <w:t xml:space="preserve">All intervals contain 8 years except the most recent one which contains </w:t>
      </w:r>
      <w:r w:rsidRPr="006122CC">
        <w:rPr>
          <w:rFonts w:ascii="Times New Roman" w:hAnsi="Times New Roman" w:cs="Times New Roman"/>
          <w:sz w:val="18"/>
          <w:szCs w:val="18"/>
        </w:rPr>
        <w:t>seven years.</w:t>
      </w:r>
    </w:p>
    <w:p w14:paraId="6BAA975E" w14:textId="77777777" w:rsidR="00205AE5" w:rsidRPr="0023367D" w:rsidRDefault="00205AE5" w:rsidP="00335619">
      <w:pPr>
        <w:pStyle w:val="ColorfulList-Accent11"/>
        <w:spacing w:after="120" w:line="240" w:lineRule="auto"/>
        <w:ind w:left="0"/>
        <w:rPr>
          <w:rFonts w:ascii="Times New Roman" w:hAnsi="Times New Roman" w:cs="Times New Roman"/>
          <w:sz w:val="20"/>
          <w:szCs w:val="20"/>
        </w:rPr>
      </w:pPr>
    </w:p>
    <w:p w14:paraId="0A7DDACD" w14:textId="77777777" w:rsidR="00335619" w:rsidRPr="0023367D" w:rsidRDefault="00335619" w:rsidP="00335619">
      <w:pPr>
        <w:spacing w:after="120"/>
        <w:ind w:right="-180"/>
        <w:rPr>
          <w:rFonts w:eastAsia="Calibri"/>
          <w:sz w:val="23"/>
          <w:szCs w:val="23"/>
        </w:rPr>
      </w:pPr>
      <w:r w:rsidRPr="0023367D">
        <w:rPr>
          <w:rFonts w:eastAsia="Calibri"/>
          <w:b/>
          <w:bCs/>
          <w:szCs w:val="22"/>
        </w:rPr>
        <w:t xml:space="preserve">B. Homogenous-Liquid Sample </w:t>
      </w:r>
      <w:r w:rsidRPr="0023367D">
        <w:rPr>
          <w:rFonts w:eastAsia="Calibri"/>
          <w:b/>
          <w:bCs/>
          <w:sz w:val="23"/>
          <w:szCs w:val="23"/>
        </w:rPr>
        <w:t>(</w:t>
      </w:r>
      <w:r w:rsidRPr="0023367D">
        <w:rPr>
          <w:rFonts w:eastAsia="Calibri"/>
          <w:bCs/>
          <w:sz w:val="23"/>
          <w:szCs w:val="23"/>
        </w:rPr>
        <w:t>6,536 firm-years</w:t>
      </w:r>
      <w:r w:rsidRPr="0023367D">
        <w:rPr>
          <w:rFonts w:eastAsia="Calibri"/>
          <w:b/>
          <w:bCs/>
          <w:sz w:val="23"/>
          <w:szCs w:val="23"/>
        </w:rPr>
        <w:t>;</w:t>
      </w:r>
      <w:r w:rsidRPr="0023367D">
        <w:rPr>
          <w:rFonts w:eastAsia="Calibri"/>
          <w:bCs/>
          <w:sz w:val="23"/>
          <w:szCs w:val="23"/>
        </w:rPr>
        <w:t xml:space="preserve"> </w:t>
      </w:r>
      <w:r w:rsidR="00205AE5" w:rsidRPr="0023367D">
        <w:rPr>
          <w:rFonts w:eastAsia="Calibri"/>
          <w:bCs/>
          <w:sz w:val="23"/>
          <w:szCs w:val="23"/>
        </w:rPr>
        <w:t>A</w:t>
      </w:r>
      <w:r w:rsidRPr="0023367D">
        <w:rPr>
          <w:rFonts w:eastAsia="Calibri"/>
          <w:bCs/>
          <w:sz w:val="23"/>
          <w:szCs w:val="23"/>
        </w:rPr>
        <w:t xml:space="preserve">ll bonds are senior and callable - see section </w:t>
      </w:r>
      <w:r w:rsidR="00AC1350" w:rsidRPr="0023367D">
        <w:rPr>
          <w:rFonts w:eastAsia="Calibri"/>
          <w:bCs/>
          <w:sz w:val="23"/>
          <w:szCs w:val="23"/>
        </w:rPr>
        <w:t>5</w:t>
      </w:r>
      <w:r w:rsidR="004B561A">
        <w:rPr>
          <w:rFonts w:eastAsia="Calibri"/>
          <w:bCs/>
          <w:sz w:val="23"/>
          <w:szCs w:val="23"/>
        </w:rPr>
        <w:t>.</w:t>
      </w:r>
      <w:r w:rsidRPr="0023367D">
        <w:rPr>
          <w:rFonts w:eastAsia="Calibri"/>
          <w:bCs/>
          <w:sz w:val="23"/>
          <w:szCs w:val="23"/>
        </w:rPr>
        <w:t>)</w:t>
      </w:r>
    </w:p>
    <w:tbl>
      <w:tblPr>
        <w:tblW w:w="4083" w:type="pct"/>
        <w:tblLayout w:type="fixed"/>
        <w:tblLook w:val="04A0" w:firstRow="1" w:lastRow="0" w:firstColumn="1" w:lastColumn="0" w:noHBand="0" w:noVBand="1"/>
      </w:tblPr>
      <w:tblGrid>
        <w:gridCol w:w="2125"/>
        <w:gridCol w:w="965"/>
        <w:gridCol w:w="1233"/>
        <w:gridCol w:w="1050"/>
        <w:gridCol w:w="1055"/>
        <w:gridCol w:w="1317"/>
      </w:tblGrid>
      <w:tr w:rsidR="00335619" w:rsidRPr="0023367D" w14:paraId="1031C91C" w14:textId="77777777" w:rsidTr="004B561A">
        <w:trPr>
          <w:trHeight w:hRule="exact" w:val="280"/>
        </w:trPr>
        <w:tc>
          <w:tcPr>
            <w:tcW w:w="1372" w:type="pct"/>
            <w:tcBorders>
              <w:top w:val="single" w:sz="4" w:space="0" w:color="auto"/>
              <w:left w:val="single" w:sz="8" w:space="0" w:color="auto"/>
              <w:bottom w:val="single" w:sz="8" w:space="0" w:color="000000"/>
              <w:right w:val="single" w:sz="8" w:space="0" w:color="auto"/>
            </w:tcBorders>
            <w:shd w:val="clear" w:color="auto" w:fill="auto"/>
            <w:vAlign w:val="center"/>
          </w:tcPr>
          <w:p w14:paraId="193FA272" w14:textId="77777777" w:rsidR="00335619" w:rsidRPr="0023367D" w:rsidRDefault="00335619" w:rsidP="00335619"/>
        </w:tc>
        <w:tc>
          <w:tcPr>
            <w:tcW w:w="3628" w:type="pct"/>
            <w:gridSpan w:val="5"/>
            <w:tcBorders>
              <w:top w:val="single" w:sz="4" w:space="0" w:color="auto"/>
              <w:left w:val="single" w:sz="8" w:space="0" w:color="auto"/>
              <w:bottom w:val="single" w:sz="8" w:space="0" w:color="000000"/>
              <w:right w:val="single" w:sz="8" w:space="0" w:color="auto"/>
            </w:tcBorders>
            <w:shd w:val="clear" w:color="auto" w:fill="auto"/>
            <w:vAlign w:val="center"/>
          </w:tcPr>
          <w:p w14:paraId="3947BD31" w14:textId="77777777" w:rsidR="00335619" w:rsidRPr="0023367D" w:rsidRDefault="00335619" w:rsidP="00335619">
            <w:pPr>
              <w:jc w:val="center"/>
              <w:rPr>
                <w:rFonts w:eastAsia="Calibri"/>
                <w:bCs/>
                <w:color w:val="000000"/>
              </w:rPr>
            </w:pPr>
            <w:r w:rsidRPr="0023367D">
              <w:rPr>
                <w:rFonts w:eastAsia="Calibri"/>
                <w:bCs/>
                <w:color w:val="000000"/>
              </w:rPr>
              <w:t>Mean Over the Years</w:t>
            </w:r>
            <w:r w:rsidRPr="0023367D">
              <w:rPr>
                <w:rFonts w:eastAsia="Calibri"/>
                <w:bCs/>
                <w:color w:val="000000"/>
                <w:vertAlign w:val="superscript"/>
              </w:rPr>
              <w:t>(a)</w:t>
            </w:r>
          </w:p>
        </w:tc>
      </w:tr>
      <w:tr w:rsidR="00335619" w:rsidRPr="0023367D" w14:paraId="4B45E913" w14:textId="77777777" w:rsidTr="004B561A">
        <w:trPr>
          <w:trHeight w:hRule="exact" w:val="288"/>
        </w:trPr>
        <w:tc>
          <w:tcPr>
            <w:tcW w:w="1372" w:type="pct"/>
            <w:vMerge w:val="restart"/>
            <w:tcBorders>
              <w:top w:val="nil"/>
              <w:left w:val="single" w:sz="8" w:space="0" w:color="auto"/>
              <w:bottom w:val="single" w:sz="8" w:space="0" w:color="000000"/>
              <w:right w:val="single" w:sz="8" w:space="0" w:color="auto"/>
            </w:tcBorders>
            <w:shd w:val="clear" w:color="auto" w:fill="auto"/>
            <w:vAlign w:val="center"/>
          </w:tcPr>
          <w:p w14:paraId="60FCF583" w14:textId="77777777" w:rsidR="00335619" w:rsidRPr="0023367D" w:rsidRDefault="00335619" w:rsidP="00335619">
            <w:pPr>
              <w:jc w:val="center"/>
              <w:rPr>
                <w:bCs/>
                <w:color w:val="000000"/>
                <w:sz w:val="22"/>
              </w:rPr>
            </w:pPr>
            <w:r w:rsidRPr="0023367D">
              <w:rPr>
                <w:sz w:val="22"/>
              </w:rPr>
              <w:br w:type="page"/>
            </w:r>
            <w:r w:rsidRPr="0023367D">
              <w:rPr>
                <w:rFonts w:eastAsia="Calibri"/>
                <w:bCs/>
                <w:color w:val="000000"/>
                <w:sz w:val="22"/>
              </w:rPr>
              <w:t>Year</w:t>
            </w:r>
          </w:p>
        </w:tc>
        <w:tc>
          <w:tcPr>
            <w:tcW w:w="623" w:type="pct"/>
            <w:vMerge w:val="restart"/>
            <w:tcBorders>
              <w:top w:val="nil"/>
              <w:left w:val="single" w:sz="8" w:space="0" w:color="auto"/>
              <w:bottom w:val="single" w:sz="8" w:space="0" w:color="000000"/>
              <w:right w:val="single" w:sz="18" w:space="0" w:color="auto"/>
            </w:tcBorders>
            <w:shd w:val="clear" w:color="auto" w:fill="auto"/>
            <w:vAlign w:val="center"/>
          </w:tcPr>
          <w:p w14:paraId="63638139" w14:textId="77777777" w:rsidR="00335619" w:rsidRPr="0023367D" w:rsidRDefault="00335619" w:rsidP="00335619">
            <w:pPr>
              <w:tabs>
                <w:tab w:val="left" w:pos="570"/>
              </w:tabs>
              <w:jc w:val="center"/>
              <w:rPr>
                <w:bCs/>
                <w:color w:val="000000"/>
                <w:sz w:val="22"/>
              </w:rPr>
            </w:pPr>
            <w:r w:rsidRPr="0023367D">
              <w:rPr>
                <w:rFonts w:eastAsia="Calibri"/>
                <w:bCs/>
                <w:color w:val="000000"/>
                <w:sz w:val="22"/>
              </w:rPr>
              <w:t xml:space="preserve">No. of Firms </w:t>
            </w:r>
            <w:r w:rsidRPr="0023367D">
              <w:rPr>
                <w:rFonts w:eastAsia="Calibri"/>
                <w:bCs/>
                <w:color w:val="000000"/>
                <w:sz w:val="22"/>
                <w:vertAlign w:val="superscript"/>
              </w:rPr>
              <w:t>(b)</w:t>
            </w:r>
          </w:p>
        </w:tc>
        <w:tc>
          <w:tcPr>
            <w:tcW w:w="796" w:type="pct"/>
            <w:vMerge w:val="restart"/>
            <w:tcBorders>
              <w:top w:val="nil"/>
              <w:left w:val="single" w:sz="18" w:space="0" w:color="auto"/>
              <w:bottom w:val="single" w:sz="8" w:space="0" w:color="000000"/>
              <w:right w:val="single" w:sz="8" w:space="0" w:color="auto"/>
            </w:tcBorders>
            <w:shd w:val="clear" w:color="auto" w:fill="auto"/>
            <w:vAlign w:val="center"/>
          </w:tcPr>
          <w:p w14:paraId="7B61515A" w14:textId="77777777" w:rsidR="00335619" w:rsidRPr="0023367D" w:rsidRDefault="00335619" w:rsidP="00335619">
            <w:pPr>
              <w:jc w:val="center"/>
              <w:rPr>
                <w:rFonts w:eastAsia="Calibri"/>
                <w:bCs/>
                <w:color w:val="000000"/>
                <w:sz w:val="22"/>
              </w:rPr>
            </w:pPr>
            <w:r w:rsidRPr="0023367D">
              <w:rPr>
                <w:rFonts w:eastAsia="Calibri"/>
                <w:bCs/>
                <w:color w:val="000000"/>
                <w:sz w:val="22"/>
              </w:rPr>
              <w:t>Issue Size</w:t>
            </w:r>
          </w:p>
          <w:p w14:paraId="5F7AEE3E" w14:textId="77777777" w:rsidR="00335619" w:rsidRPr="0023367D" w:rsidRDefault="00335619" w:rsidP="00335619">
            <w:pPr>
              <w:jc w:val="center"/>
              <w:rPr>
                <w:bCs/>
                <w:color w:val="000000"/>
                <w:sz w:val="22"/>
              </w:rPr>
            </w:pPr>
            <w:r w:rsidRPr="0023367D">
              <w:rPr>
                <w:rFonts w:eastAsia="Calibri"/>
                <w:bCs/>
                <w:color w:val="000000"/>
                <w:sz w:val="22"/>
              </w:rPr>
              <w:t>($ mil.)</w:t>
            </w:r>
            <w:r w:rsidRPr="0023367D">
              <w:rPr>
                <w:rFonts w:eastAsia="Calibri"/>
                <w:bCs/>
                <w:color w:val="000000"/>
                <w:sz w:val="22"/>
                <w:vertAlign w:val="superscript"/>
              </w:rPr>
              <w:t>(c)</w:t>
            </w:r>
          </w:p>
        </w:tc>
        <w:tc>
          <w:tcPr>
            <w:tcW w:w="678" w:type="pct"/>
            <w:vMerge w:val="restart"/>
            <w:tcBorders>
              <w:top w:val="nil"/>
              <w:left w:val="single" w:sz="8" w:space="0" w:color="auto"/>
              <w:bottom w:val="single" w:sz="8" w:space="0" w:color="000000"/>
              <w:right w:val="single" w:sz="18" w:space="0" w:color="auto"/>
            </w:tcBorders>
            <w:shd w:val="clear" w:color="auto" w:fill="auto"/>
            <w:vAlign w:val="center"/>
          </w:tcPr>
          <w:p w14:paraId="0A12A6CE" w14:textId="77777777" w:rsidR="00335619" w:rsidRPr="0023367D" w:rsidRDefault="00335619" w:rsidP="00335619">
            <w:pPr>
              <w:jc w:val="center"/>
              <w:rPr>
                <w:bCs/>
                <w:color w:val="000000"/>
                <w:sz w:val="22"/>
              </w:rPr>
            </w:pPr>
            <w:r w:rsidRPr="0023367D">
              <w:rPr>
                <w:rFonts w:eastAsia="Calibri"/>
                <w:bCs/>
                <w:color w:val="000000"/>
                <w:sz w:val="22"/>
              </w:rPr>
              <w:t>Years to Maturity</w:t>
            </w:r>
          </w:p>
        </w:tc>
        <w:tc>
          <w:tcPr>
            <w:tcW w:w="681" w:type="pct"/>
            <w:vMerge w:val="restart"/>
            <w:tcBorders>
              <w:top w:val="nil"/>
              <w:left w:val="single" w:sz="18" w:space="0" w:color="auto"/>
              <w:bottom w:val="single" w:sz="8" w:space="0" w:color="000000"/>
              <w:right w:val="single" w:sz="8" w:space="0" w:color="auto"/>
            </w:tcBorders>
            <w:shd w:val="clear" w:color="auto" w:fill="auto"/>
            <w:vAlign w:val="center"/>
          </w:tcPr>
          <w:p w14:paraId="0895DDFE" w14:textId="77777777" w:rsidR="00335619" w:rsidRPr="0023367D" w:rsidRDefault="00335619" w:rsidP="00335619">
            <w:pPr>
              <w:jc w:val="center"/>
              <w:rPr>
                <w:bCs/>
                <w:color w:val="000000"/>
                <w:sz w:val="22"/>
              </w:rPr>
            </w:pPr>
            <w:r w:rsidRPr="0023367D">
              <w:rPr>
                <w:rFonts w:eastAsia="Calibri"/>
                <w:bCs/>
                <w:color w:val="000000"/>
                <w:sz w:val="22"/>
              </w:rPr>
              <w:t>Duration (years)</w:t>
            </w:r>
          </w:p>
        </w:tc>
        <w:tc>
          <w:tcPr>
            <w:tcW w:w="850" w:type="pct"/>
            <w:vMerge w:val="restart"/>
            <w:tcBorders>
              <w:top w:val="nil"/>
              <w:left w:val="single" w:sz="8" w:space="0" w:color="auto"/>
              <w:bottom w:val="single" w:sz="8" w:space="0" w:color="000000"/>
              <w:right w:val="single" w:sz="8" w:space="0" w:color="auto"/>
            </w:tcBorders>
            <w:shd w:val="clear" w:color="auto" w:fill="auto"/>
            <w:vAlign w:val="center"/>
          </w:tcPr>
          <w:p w14:paraId="787212BE" w14:textId="77777777" w:rsidR="00335619" w:rsidRPr="0023367D" w:rsidRDefault="00335619" w:rsidP="00335619">
            <w:pPr>
              <w:jc w:val="center"/>
              <w:rPr>
                <w:bCs/>
                <w:color w:val="000000"/>
                <w:sz w:val="22"/>
              </w:rPr>
            </w:pPr>
            <w:r w:rsidRPr="0023367D">
              <w:rPr>
                <w:rFonts w:eastAsia="Calibri"/>
                <w:bCs/>
                <w:color w:val="000000"/>
                <w:sz w:val="22"/>
              </w:rPr>
              <w:t>Yield to Maturity</w:t>
            </w:r>
            <w:r w:rsidRPr="0023367D">
              <w:rPr>
                <w:rFonts w:eastAsia="Calibri"/>
                <w:bCs/>
                <w:color w:val="000000"/>
                <w:sz w:val="22"/>
                <w:vertAlign w:val="superscript"/>
              </w:rPr>
              <w:t>(d)</w:t>
            </w:r>
          </w:p>
        </w:tc>
      </w:tr>
      <w:tr w:rsidR="00335619" w:rsidRPr="0023367D" w14:paraId="2A781950" w14:textId="77777777" w:rsidTr="004B561A">
        <w:trPr>
          <w:trHeight w:val="285"/>
        </w:trPr>
        <w:tc>
          <w:tcPr>
            <w:tcW w:w="1372" w:type="pct"/>
            <w:vMerge/>
            <w:tcBorders>
              <w:top w:val="nil"/>
              <w:left w:val="single" w:sz="8" w:space="0" w:color="auto"/>
              <w:bottom w:val="single" w:sz="8" w:space="0" w:color="000000"/>
              <w:right w:val="single" w:sz="8" w:space="0" w:color="auto"/>
            </w:tcBorders>
            <w:vAlign w:val="center"/>
          </w:tcPr>
          <w:p w14:paraId="540B6707" w14:textId="77777777" w:rsidR="00335619" w:rsidRPr="0023367D" w:rsidRDefault="00335619" w:rsidP="00335619">
            <w:pPr>
              <w:rPr>
                <w:bCs/>
                <w:color w:val="000000"/>
              </w:rPr>
            </w:pPr>
          </w:p>
        </w:tc>
        <w:tc>
          <w:tcPr>
            <w:tcW w:w="623" w:type="pct"/>
            <w:vMerge/>
            <w:tcBorders>
              <w:top w:val="nil"/>
              <w:left w:val="single" w:sz="8" w:space="0" w:color="auto"/>
              <w:bottom w:val="single" w:sz="8" w:space="0" w:color="000000"/>
              <w:right w:val="single" w:sz="18" w:space="0" w:color="auto"/>
            </w:tcBorders>
            <w:vAlign w:val="center"/>
          </w:tcPr>
          <w:p w14:paraId="547C4B50" w14:textId="77777777" w:rsidR="00335619" w:rsidRPr="0023367D" w:rsidRDefault="00335619" w:rsidP="00335619">
            <w:pPr>
              <w:tabs>
                <w:tab w:val="left" w:pos="570"/>
              </w:tabs>
              <w:rPr>
                <w:bCs/>
                <w:color w:val="000000"/>
              </w:rPr>
            </w:pPr>
          </w:p>
        </w:tc>
        <w:tc>
          <w:tcPr>
            <w:tcW w:w="796" w:type="pct"/>
            <w:vMerge/>
            <w:tcBorders>
              <w:top w:val="nil"/>
              <w:left w:val="single" w:sz="18" w:space="0" w:color="auto"/>
              <w:bottom w:val="single" w:sz="8" w:space="0" w:color="000000"/>
              <w:right w:val="single" w:sz="8" w:space="0" w:color="auto"/>
            </w:tcBorders>
            <w:vAlign w:val="center"/>
          </w:tcPr>
          <w:p w14:paraId="3F6218C0" w14:textId="77777777" w:rsidR="00335619" w:rsidRPr="0023367D" w:rsidRDefault="00335619" w:rsidP="00335619">
            <w:pPr>
              <w:rPr>
                <w:bCs/>
                <w:color w:val="000000"/>
              </w:rPr>
            </w:pPr>
          </w:p>
        </w:tc>
        <w:tc>
          <w:tcPr>
            <w:tcW w:w="678" w:type="pct"/>
            <w:vMerge/>
            <w:tcBorders>
              <w:top w:val="nil"/>
              <w:left w:val="single" w:sz="8" w:space="0" w:color="auto"/>
              <w:bottom w:val="single" w:sz="8" w:space="0" w:color="000000"/>
              <w:right w:val="single" w:sz="18" w:space="0" w:color="auto"/>
            </w:tcBorders>
            <w:vAlign w:val="center"/>
          </w:tcPr>
          <w:p w14:paraId="315C4BAD" w14:textId="77777777" w:rsidR="00335619" w:rsidRPr="0023367D" w:rsidRDefault="00335619" w:rsidP="00335619">
            <w:pPr>
              <w:rPr>
                <w:bCs/>
                <w:color w:val="000000"/>
              </w:rPr>
            </w:pPr>
          </w:p>
        </w:tc>
        <w:tc>
          <w:tcPr>
            <w:tcW w:w="681" w:type="pct"/>
            <w:vMerge/>
            <w:tcBorders>
              <w:top w:val="nil"/>
              <w:left w:val="single" w:sz="18" w:space="0" w:color="auto"/>
              <w:bottom w:val="single" w:sz="8" w:space="0" w:color="000000"/>
              <w:right w:val="single" w:sz="8" w:space="0" w:color="auto"/>
            </w:tcBorders>
            <w:vAlign w:val="center"/>
          </w:tcPr>
          <w:p w14:paraId="3CD00217" w14:textId="77777777" w:rsidR="00335619" w:rsidRPr="0023367D" w:rsidRDefault="00335619" w:rsidP="00335619">
            <w:pPr>
              <w:rPr>
                <w:bCs/>
                <w:color w:val="000000"/>
              </w:rPr>
            </w:pPr>
          </w:p>
        </w:tc>
        <w:tc>
          <w:tcPr>
            <w:tcW w:w="850" w:type="pct"/>
            <w:vMerge/>
            <w:tcBorders>
              <w:top w:val="nil"/>
              <w:left w:val="single" w:sz="8" w:space="0" w:color="auto"/>
              <w:bottom w:val="single" w:sz="8" w:space="0" w:color="000000"/>
              <w:right w:val="single" w:sz="8" w:space="0" w:color="auto"/>
            </w:tcBorders>
            <w:vAlign w:val="center"/>
          </w:tcPr>
          <w:p w14:paraId="12ED08D2" w14:textId="77777777" w:rsidR="00335619" w:rsidRPr="0023367D" w:rsidRDefault="00335619" w:rsidP="00335619">
            <w:pPr>
              <w:rPr>
                <w:bCs/>
                <w:color w:val="000000"/>
              </w:rPr>
            </w:pPr>
          </w:p>
        </w:tc>
      </w:tr>
      <w:tr w:rsidR="00335619" w:rsidRPr="0023367D" w14:paraId="5C6B44DE" w14:textId="77777777" w:rsidTr="004B561A">
        <w:trPr>
          <w:trHeight w:hRule="exact" w:val="722"/>
        </w:trPr>
        <w:tc>
          <w:tcPr>
            <w:tcW w:w="1372" w:type="pct"/>
            <w:tcBorders>
              <w:top w:val="nil"/>
              <w:left w:val="single" w:sz="8" w:space="0" w:color="auto"/>
              <w:bottom w:val="single" w:sz="8" w:space="0" w:color="auto"/>
              <w:right w:val="single" w:sz="8" w:space="0" w:color="auto"/>
            </w:tcBorders>
            <w:shd w:val="clear" w:color="auto" w:fill="auto"/>
            <w:noWrap/>
            <w:vAlign w:val="center"/>
          </w:tcPr>
          <w:p w14:paraId="5C6FCE4E" w14:textId="77777777" w:rsidR="00335619" w:rsidRPr="0023367D" w:rsidRDefault="00335619" w:rsidP="00335619">
            <w:pPr>
              <w:jc w:val="center"/>
              <w:rPr>
                <w:rFonts w:eastAsia="Calibri"/>
                <w:color w:val="000000"/>
              </w:rPr>
            </w:pPr>
            <w:r w:rsidRPr="0023367D">
              <w:rPr>
                <w:rFonts w:eastAsia="Calibri"/>
                <w:bCs/>
                <w:color w:val="000000"/>
              </w:rPr>
              <w:t xml:space="preserve">All Years </w:t>
            </w:r>
          </w:p>
        </w:tc>
        <w:tc>
          <w:tcPr>
            <w:tcW w:w="623" w:type="pct"/>
            <w:tcBorders>
              <w:top w:val="nil"/>
              <w:left w:val="nil"/>
              <w:bottom w:val="single" w:sz="8" w:space="0" w:color="auto"/>
              <w:right w:val="single" w:sz="18" w:space="0" w:color="auto"/>
            </w:tcBorders>
            <w:shd w:val="clear" w:color="auto" w:fill="auto"/>
            <w:noWrap/>
            <w:vAlign w:val="center"/>
          </w:tcPr>
          <w:p w14:paraId="484A61AC" w14:textId="77777777" w:rsidR="00335619" w:rsidRPr="0023367D" w:rsidRDefault="00335619" w:rsidP="00335619">
            <w:pPr>
              <w:jc w:val="center"/>
              <w:rPr>
                <w:bCs/>
                <w:color w:val="000000"/>
              </w:rPr>
            </w:pPr>
            <w:r w:rsidRPr="0023367D">
              <w:rPr>
                <w:bCs/>
                <w:color w:val="000000"/>
              </w:rPr>
              <w:t>168</w:t>
            </w:r>
          </w:p>
        </w:tc>
        <w:tc>
          <w:tcPr>
            <w:tcW w:w="796" w:type="pct"/>
            <w:tcBorders>
              <w:top w:val="nil"/>
              <w:left w:val="single" w:sz="18" w:space="0" w:color="auto"/>
              <w:bottom w:val="single" w:sz="8" w:space="0" w:color="auto"/>
              <w:right w:val="single" w:sz="8" w:space="0" w:color="auto"/>
            </w:tcBorders>
            <w:shd w:val="clear" w:color="auto" w:fill="auto"/>
            <w:noWrap/>
            <w:vAlign w:val="center"/>
          </w:tcPr>
          <w:p w14:paraId="6891ED6E" w14:textId="77777777" w:rsidR="00335619" w:rsidRPr="0023367D" w:rsidRDefault="00335619" w:rsidP="00335619">
            <w:pPr>
              <w:jc w:val="center"/>
              <w:rPr>
                <w:bCs/>
                <w:color w:val="000000"/>
              </w:rPr>
            </w:pPr>
            <w:r w:rsidRPr="0023367D">
              <w:rPr>
                <w:bCs/>
                <w:color w:val="000000"/>
              </w:rPr>
              <w:t>244</w:t>
            </w:r>
          </w:p>
        </w:tc>
        <w:tc>
          <w:tcPr>
            <w:tcW w:w="678" w:type="pct"/>
            <w:tcBorders>
              <w:top w:val="nil"/>
              <w:left w:val="nil"/>
              <w:bottom w:val="single" w:sz="8" w:space="0" w:color="auto"/>
              <w:right w:val="single" w:sz="18" w:space="0" w:color="auto"/>
            </w:tcBorders>
            <w:shd w:val="clear" w:color="auto" w:fill="auto"/>
            <w:noWrap/>
            <w:vAlign w:val="center"/>
          </w:tcPr>
          <w:p w14:paraId="414E8F05" w14:textId="77777777" w:rsidR="00335619" w:rsidRPr="0023367D" w:rsidRDefault="00335619" w:rsidP="00335619">
            <w:pPr>
              <w:jc w:val="center"/>
              <w:rPr>
                <w:bCs/>
                <w:color w:val="000000"/>
              </w:rPr>
            </w:pPr>
            <w:r w:rsidRPr="0023367D">
              <w:rPr>
                <w:bCs/>
                <w:color w:val="000000"/>
              </w:rPr>
              <w:t>7.4</w:t>
            </w:r>
          </w:p>
        </w:tc>
        <w:tc>
          <w:tcPr>
            <w:tcW w:w="681" w:type="pct"/>
            <w:tcBorders>
              <w:top w:val="nil"/>
              <w:left w:val="single" w:sz="18" w:space="0" w:color="auto"/>
              <w:bottom w:val="single" w:sz="8" w:space="0" w:color="auto"/>
              <w:right w:val="single" w:sz="8" w:space="0" w:color="auto"/>
            </w:tcBorders>
            <w:shd w:val="clear" w:color="auto" w:fill="auto"/>
            <w:noWrap/>
            <w:vAlign w:val="center"/>
          </w:tcPr>
          <w:p w14:paraId="7DD18888" w14:textId="77777777" w:rsidR="00335619" w:rsidRPr="0023367D" w:rsidRDefault="00335619" w:rsidP="00335619">
            <w:pPr>
              <w:jc w:val="center"/>
              <w:rPr>
                <w:bCs/>
                <w:color w:val="000000"/>
              </w:rPr>
            </w:pPr>
            <w:r w:rsidRPr="0023367D">
              <w:rPr>
                <w:bCs/>
                <w:color w:val="000000"/>
              </w:rPr>
              <w:t>5.3</w:t>
            </w:r>
          </w:p>
        </w:tc>
        <w:tc>
          <w:tcPr>
            <w:tcW w:w="850" w:type="pct"/>
            <w:tcBorders>
              <w:top w:val="nil"/>
              <w:left w:val="nil"/>
              <w:bottom w:val="single" w:sz="8" w:space="0" w:color="auto"/>
              <w:right w:val="single" w:sz="8" w:space="0" w:color="auto"/>
            </w:tcBorders>
            <w:shd w:val="clear" w:color="auto" w:fill="auto"/>
            <w:noWrap/>
            <w:vAlign w:val="center"/>
          </w:tcPr>
          <w:p w14:paraId="6A6FC1D0" w14:textId="77777777" w:rsidR="00335619" w:rsidRPr="0023367D" w:rsidRDefault="00335619" w:rsidP="00335619">
            <w:pPr>
              <w:jc w:val="center"/>
              <w:rPr>
                <w:bCs/>
                <w:color w:val="000000"/>
              </w:rPr>
            </w:pPr>
            <w:r w:rsidRPr="0023367D">
              <w:rPr>
                <w:bCs/>
                <w:color w:val="000000"/>
              </w:rPr>
              <w:t>9.3%</w:t>
            </w:r>
          </w:p>
        </w:tc>
      </w:tr>
      <w:tr w:rsidR="004B561A" w:rsidRPr="0023367D" w14:paraId="7F48EB5F" w14:textId="77777777" w:rsidTr="004B561A">
        <w:trPr>
          <w:trHeight w:hRule="exact" w:val="288"/>
        </w:trPr>
        <w:tc>
          <w:tcPr>
            <w:tcW w:w="1372" w:type="pct"/>
            <w:tcBorders>
              <w:top w:val="nil"/>
              <w:left w:val="single" w:sz="8" w:space="0" w:color="auto"/>
              <w:bottom w:val="single" w:sz="8" w:space="0" w:color="auto"/>
              <w:right w:val="single" w:sz="8" w:space="0" w:color="auto"/>
            </w:tcBorders>
            <w:shd w:val="clear" w:color="auto" w:fill="auto"/>
            <w:noWrap/>
            <w:vAlign w:val="center"/>
          </w:tcPr>
          <w:p w14:paraId="1A3DDF9A" w14:textId="77777777" w:rsidR="004B561A" w:rsidRPr="00AE2DE7" w:rsidRDefault="004B561A" w:rsidP="0043463F">
            <w:pPr>
              <w:rPr>
                <w:rFonts w:eastAsia="Calibri"/>
                <w:color w:val="000000"/>
                <w:vertAlign w:val="superscript"/>
              </w:rPr>
            </w:pPr>
            <w:r>
              <w:rPr>
                <w:rFonts w:eastAsia="Calibri"/>
                <w:color w:val="000000"/>
              </w:rPr>
              <w:t>By intervals:</w:t>
            </w:r>
            <w:r w:rsidR="0043463F">
              <w:rPr>
                <w:rFonts w:eastAsia="Calibri"/>
                <w:color w:val="000000"/>
                <w:vertAlign w:val="superscript"/>
              </w:rPr>
              <w:t>(e)</w:t>
            </w:r>
          </w:p>
        </w:tc>
        <w:tc>
          <w:tcPr>
            <w:tcW w:w="623" w:type="pct"/>
            <w:tcBorders>
              <w:top w:val="nil"/>
              <w:left w:val="nil"/>
              <w:bottom w:val="single" w:sz="8" w:space="0" w:color="auto"/>
              <w:right w:val="single" w:sz="18" w:space="0" w:color="auto"/>
            </w:tcBorders>
            <w:shd w:val="clear" w:color="auto" w:fill="auto"/>
            <w:noWrap/>
            <w:vAlign w:val="center"/>
          </w:tcPr>
          <w:p w14:paraId="52B7E073" w14:textId="77777777" w:rsidR="004B561A" w:rsidRPr="0023367D" w:rsidRDefault="004B561A" w:rsidP="00335619">
            <w:pPr>
              <w:jc w:val="center"/>
              <w:rPr>
                <w:color w:val="000000"/>
              </w:rPr>
            </w:pPr>
          </w:p>
        </w:tc>
        <w:tc>
          <w:tcPr>
            <w:tcW w:w="796" w:type="pct"/>
            <w:tcBorders>
              <w:top w:val="nil"/>
              <w:left w:val="single" w:sz="18" w:space="0" w:color="auto"/>
              <w:bottom w:val="single" w:sz="8" w:space="0" w:color="auto"/>
              <w:right w:val="single" w:sz="8" w:space="0" w:color="auto"/>
            </w:tcBorders>
            <w:shd w:val="clear" w:color="auto" w:fill="auto"/>
            <w:noWrap/>
            <w:vAlign w:val="center"/>
          </w:tcPr>
          <w:p w14:paraId="732A7CE2" w14:textId="77777777" w:rsidR="004B561A" w:rsidRPr="0023367D" w:rsidRDefault="004B561A" w:rsidP="00335619">
            <w:pPr>
              <w:jc w:val="center"/>
              <w:rPr>
                <w:color w:val="000000"/>
              </w:rPr>
            </w:pPr>
          </w:p>
        </w:tc>
        <w:tc>
          <w:tcPr>
            <w:tcW w:w="678" w:type="pct"/>
            <w:tcBorders>
              <w:top w:val="nil"/>
              <w:left w:val="nil"/>
              <w:bottom w:val="single" w:sz="8" w:space="0" w:color="auto"/>
              <w:right w:val="single" w:sz="18" w:space="0" w:color="auto"/>
            </w:tcBorders>
            <w:shd w:val="clear" w:color="auto" w:fill="auto"/>
            <w:noWrap/>
            <w:vAlign w:val="center"/>
          </w:tcPr>
          <w:p w14:paraId="4005D387" w14:textId="77777777" w:rsidR="004B561A" w:rsidRPr="0023367D" w:rsidRDefault="004B561A" w:rsidP="00335619">
            <w:pPr>
              <w:jc w:val="center"/>
              <w:rPr>
                <w:color w:val="000000"/>
              </w:rPr>
            </w:pPr>
          </w:p>
        </w:tc>
        <w:tc>
          <w:tcPr>
            <w:tcW w:w="681" w:type="pct"/>
            <w:tcBorders>
              <w:top w:val="nil"/>
              <w:left w:val="single" w:sz="18" w:space="0" w:color="auto"/>
              <w:bottom w:val="single" w:sz="8" w:space="0" w:color="auto"/>
              <w:right w:val="single" w:sz="8" w:space="0" w:color="auto"/>
            </w:tcBorders>
            <w:shd w:val="clear" w:color="auto" w:fill="auto"/>
            <w:noWrap/>
            <w:vAlign w:val="center"/>
          </w:tcPr>
          <w:p w14:paraId="3A90AB66" w14:textId="77777777" w:rsidR="004B561A" w:rsidRPr="0023367D" w:rsidRDefault="004B561A" w:rsidP="00335619">
            <w:pPr>
              <w:jc w:val="center"/>
              <w:rPr>
                <w:color w:val="000000"/>
              </w:rPr>
            </w:pPr>
          </w:p>
        </w:tc>
        <w:tc>
          <w:tcPr>
            <w:tcW w:w="850" w:type="pct"/>
            <w:tcBorders>
              <w:top w:val="nil"/>
              <w:left w:val="nil"/>
              <w:bottom w:val="single" w:sz="8" w:space="0" w:color="auto"/>
              <w:right w:val="single" w:sz="8" w:space="0" w:color="auto"/>
            </w:tcBorders>
            <w:shd w:val="clear" w:color="auto" w:fill="auto"/>
            <w:noWrap/>
            <w:vAlign w:val="center"/>
          </w:tcPr>
          <w:p w14:paraId="5B0C3B39" w14:textId="77777777" w:rsidR="004B561A" w:rsidRPr="0023367D" w:rsidRDefault="004B561A" w:rsidP="00335619">
            <w:pPr>
              <w:jc w:val="center"/>
              <w:rPr>
                <w:color w:val="000000"/>
              </w:rPr>
            </w:pPr>
          </w:p>
        </w:tc>
      </w:tr>
      <w:tr w:rsidR="00335619" w:rsidRPr="0023367D" w14:paraId="33AA8983" w14:textId="77777777" w:rsidTr="004B561A">
        <w:trPr>
          <w:trHeight w:hRule="exact" w:val="288"/>
        </w:trPr>
        <w:tc>
          <w:tcPr>
            <w:tcW w:w="1372" w:type="pct"/>
            <w:tcBorders>
              <w:top w:val="nil"/>
              <w:left w:val="single" w:sz="8" w:space="0" w:color="auto"/>
              <w:bottom w:val="single" w:sz="8" w:space="0" w:color="auto"/>
              <w:right w:val="single" w:sz="8" w:space="0" w:color="auto"/>
            </w:tcBorders>
            <w:shd w:val="clear" w:color="auto" w:fill="auto"/>
            <w:noWrap/>
            <w:vAlign w:val="center"/>
          </w:tcPr>
          <w:p w14:paraId="2B7A8A68" w14:textId="77777777" w:rsidR="00335619" w:rsidRPr="0023367D" w:rsidRDefault="00335619" w:rsidP="00335619">
            <w:pPr>
              <w:jc w:val="center"/>
              <w:rPr>
                <w:color w:val="000000"/>
              </w:rPr>
            </w:pPr>
            <w:r w:rsidRPr="0023367D">
              <w:rPr>
                <w:rFonts w:eastAsia="Calibri"/>
                <w:color w:val="000000"/>
              </w:rPr>
              <w:t>1975-1982</w:t>
            </w:r>
          </w:p>
        </w:tc>
        <w:tc>
          <w:tcPr>
            <w:tcW w:w="623" w:type="pct"/>
            <w:tcBorders>
              <w:top w:val="nil"/>
              <w:left w:val="nil"/>
              <w:bottom w:val="single" w:sz="8" w:space="0" w:color="auto"/>
              <w:right w:val="single" w:sz="18" w:space="0" w:color="auto"/>
            </w:tcBorders>
            <w:shd w:val="clear" w:color="auto" w:fill="auto"/>
            <w:noWrap/>
            <w:vAlign w:val="center"/>
          </w:tcPr>
          <w:p w14:paraId="171C8B08" w14:textId="77777777" w:rsidR="00335619" w:rsidRPr="0023367D" w:rsidRDefault="00335619" w:rsidP="00335619">
            <w:pPr>
              <w:jc w:val="center"/>
              <w:rPr>
                <w:color w:val="000000"/>
              </w:rPr>
            </w:pPr>
            <w:r w:rsidRPr="0023367D">
              <w:rPr>
                <w:color w:val="000000"/>
              </w:rPr>
              <w:t>130</w:t>
            </w:r>
          </w:p>
        </w:tc>
        <w:tc>
          <w:tcPr>
            <w:tcW w:w="796" w:type="pct"/>
            <w:tcBorders>
              <w:top w:val="nil"/>
              <w:left w:val="single" w:sz="18" w:space="0" w:color="auto"/>
              <w:bottom w:val="single" w:sz="8" w:space="0" w:color="auto"/>
              <w:right w:val="single" w:sz="8" w:space="0" w:color="auto"/>
            </w:tcBorders>
            <w:shd w:val="clear" w:color="auto" w:fill="auto"/>
            <w:noWrap/>
            <w:vAlign w:val="center"/>
          </w:tcPr>
          <w:p w14:paraId="3D0E5DD1" w14:textId="77777777" w:rsidR="00335619" w:rsidRPr="0023367D" w:rsidRDefault="00335619" w:rsidP="00335619">
            <w:pPr>
              <w:jc w:val="center"/>
              <w:rPr>
                <w:color w:val="000000"/>
              </w:rPr>
            </w:pPr>
            <w:r w:rsidRPr="0023367D">
              <w:rPr>
                <w:color w:val="000000"/>
              </w:rPr>
              <w:t>167</w:t>
            </w:r>
          </w:p>
        </w:tc>
        <w:tc>
          <w:tcPr>
            <w:tcW w:w="678" w:type="pct"/>
            <w:tcBorders>
              <w:top w:val="nil"/>
              <w:left w:val="nil"/>
              <w:bottom w:val="single" w:sz="8" w:space="0" w:color="auto"/>
              <w:right w:val="single" w:sz="18" w:space="0" w:color="auto"/>
            </w:tcBorders>
            <w:shd w:val="clear" w:color="auto" w:fill="auto"/>
            <w:noWrap/>
            <w:vAlign w:val="center"/>
          </w:tcPr>
          <w:p w14:paraId="6B31DF55" w14:textId="77777777" w:rsidR="00335619" w:rsidRPr="0023367D" w:rsidRDefault="00335619" w:rsidP="00335619">
            <w:pPr>
              <w:jc w:val="center"/>
              <w:rPr>
                <w:color w:val="000000"/>
              </w:rPr>
            </w:pPr>
            <w:r w:rsidRPr="0023367D">
              <w:rPr>
                <w:color w:val="000000"/>
              </w:rPr>
              <w:t>7.7</w:t>
            </w:r>
          </w:p>
        </w:tc>
        <w:tc>
          <w:tcPr>
            <w:tcW w:w="681" w:type="pct"/>
            <w:tcBorders>
              <w:top w:val="nil"/>
              <w:left w:val="single" w:sz="18" w:space="0" w:color="auto"/>
              <w:bottom w:val="single" w:sz="8" w:space="0" w:color="auto"/>
              <w:right w:val="single" w:sz="8" w:space="0" w:color="auto"/>
            </w:tcBorders>
            <w:shd w:val="clear" w:color="auto" w:fill="auto"/>
            <w:noWrap/>
            <w:vAlign w:val="center"/>
          </w:tcPr>
          <w:p w14:paraId="7351B9DC" w14:textId="77777777" w:rsidR="00335619" w:rsidRPr="0023367D" w:rsidRDefault="00335619" w:rsidP="00335619">
            <w:pPr>
              <w:jc w:val="center"/>
              <w:rPr>
                <w:color w:val="000000"/>
              </w:rPr>
            </w:pPr>
            <w:r w:rsidRPr="0023367D">
              <w:rPr>
                <w:color w:val="000000"/>
              </w:rPr>
              <w:t>5.4</w:t>
            </w:r>
          </w:p>
        </w:tc>
        <w:tc>
          <w:tcPr>
            <w:tcW w:w="850" w:type="pct"/>
            <w:tcBorders>
              <w:top w:val="nil"/>
              <w:left w:val="nil"/>
              <w:bottom w:val="single" w:sz="8" w:space="0" w:color="auto"/>
              <w:right w:val="single" w:sz="8" w:space="0" w:color="auto"/>
            </w:tcBorders>
            <w:shd w:val="clear" w:color="auto" w:fill="auto"/>
            <w:noWrap/>
            <w:vAlign w:val="center"/>
          </w:tcPr>
          <w:p w14:paraId="21542209" w14:textId="77777777" w:rsidR="00335619" w:rsidRPr="0023367D" w:rsidRDefault="00335619" w:rsidP="00335619">
            <w:pPr>
              <w:jc w:val="center"/>
              <w:rPr>
                <w:color w:val="000000"/>
              </w:rPr>
            </w:pPr>
            <w:r w:rsidRPr="0023367D">
              <w:rPr>
                <w:color w:val="000000"/>
              </w:rPr>
              <w:t>12.2%</w:t>
            </w:r>
          </w:p>
        </w:tc>
      </w:tr>
      <w:tr w:rsidR="00335619" w:rsidRPr="0023367D" w14:paraId="2F8903DC" w14:textId="77777777" w:rsidTr="004B561A">
        <w:trPr>
          <w:trHeight w:hRule="exact" w:val="407"/>
        </w:trPr>
        <w:tc>
          <w:tcPr>
            <w:tcW w:w="1372" w:type="pct"/>
            <w:tcBorders>
              <w:top w:val="nil"/>
              <w:left w:val="single" w:sz="8" w:space="0" w:color="auto"/>
              <w:bottom w:val="single" w:sz="8" w:space="0" w:color="auto"/>
              <w:right w:val="single" w:sz="8" w:space="0" w:color="auto"/>
            </w:tcBorders>
            <w:shd w:val="clear" w:color="auto" w:fill="auto"/>
            <w:noWrap/>
            <w:vAlign w:val="center"/>
          </w:tcPr>
          <w:p w14:paraId="306A430D" w14:textId="77777777" w:rsidR="00335619" w:rsidRPr="0023367D" w:rsidRDefault="00335619" w:rsidP="00335619">
            <w:pPr>
              <w:jc w:val="center"/>
              <w:rPr>
                <w:color w:val="000000"/>
              </w:rPr>
            </w:pPr>
            <w:r w:rsidRPr="0023367D">
              <w:rPr>
                <w:rFonts w:eastAsia="Calibri"/>
                <w:color w:val="000000"/>
              </w:rPr>
              <w:t>1983-1990</w:t>
            </w:r>
          </w:p>
        </w:tc>
        <w:tc>
          <w:tcPr>
            <w:tcW w:w="623" w:type="pct"/>
            <w:tcBorders>
              <w:top w:val="nil"/>
              <w:left w:val="nil"/>
              <w:bottom w:val="single" w:sz="8" w:space="0" w:color="auto"/>
              <w:right w:val="single" w:sz="18" w:space="0" w:color="auto"/>
            </w:tcBorders>
            <w:shd w:val="clear" w:color="auto" w:fill="auto"/>
            <w:noWrap/>
            <w:vAlign w:val="center"/>
          </w:tcPr>
          <w:p w14:paraId="779B291A" w14:textId="77777777" w:rsidR="00335619" w:rsidRPr="0023367D" w:rsidRDefault="00335619" w:rsidP="00335619">
            <w:pPr>
              <w:jc w:val="center"/>
              <w:rPr>
                <w:color w:val="000000"/>
              </w:rPr>
            </w:pPr>
            <w:r w:rsidRPr="0023367D">
              <w:rPr>
                <w:color w:val="000000"/>
              </w:rPr>
              <w:t>149</w:t>
            </w:r>
          </w:p>
        </w:tc>
        <w:tc>
          <w:tcPr>
            <w:tcW w:w="796" w:type="pct"/>
            <w:tcBorders>
              <w:top w:val="nil"/>
              <w:left w:val="single" w:sz="18" w:space="0" w:color="auto"/>
              <w:bottom w:val="single" w:sz="8" w:space="0" w:color="auto"/>
              <w:right w:val="single" w:sz="8" w:space="0" w:color="auto"/>
            </w:tcBorders>
            <w:shd w:val="clear" w:color="auto" w:fill="auto"/>
            <w:noWrap/>
            <w:vAlign w:val="center"/>
          </w:tcPr>
          <w:p w14:paraId="1684D36B" w14:textId="77777777" w:rsidR="00335619" w:rsidRPr="0023367D" w:rsidRDefault="00335619" w:rsidP="00335619">
            <w:pPr>
              <w:jc w:val="center"/>
              <w:rPr>
                <w:color w:val="000000"/>
              </w:rPr>
            </w:pPr>
            <w:r w:rsidRPr="0023367D">
              <w:rPr>
                <w:color w:val="000000"/>
              </w:rPr>
              <w:t>219</w:t>
            </w:r>
          </w:p>
        </w:tc>
        <w:tc>
          <w:tcPr>
            <w:tcW w:w="678" w:type="pct"/>
            <w:tcBorders>
              <w:top w:val="nil"/>
              <w:left w:val="nil"/>
              <w:bottom w:val="single" w:sz="8" w:space="0" w:color="auto"/>
              <w:right w:val="single" w:sz="18" w:space="0" w:color="auto"/>
            </w:tcBorders>
            <w:shd w:val="clear" w:color="auto" w:fill="auto"/>
            <w:noWrap/>
            <w:vAlign w:val="center"/>
          </w:tcPr>
          <w:p w14:paraId="00AF64D9" w14:textId="77777777" w:rsidR="00335619" w:rsidRPr="0023367D" w:rsidRDefault="00335619" w:rsidP="00335619">
            <w:pPr>
              <w:jc w:val="center"/>
              <w:rPr>
                <w:color w:val="000000"/>
              </w:rPr>
            </w:pPr>
            <w:r w:rsidRPr="0023367D">
              <w:rPr>
                <w:color w:val="000000"/>
              </w:rPr>
              <w:t>8.2</w:t>
            </w:r>
          </w:p>
        </w:tc>
        <w:tc>
          <w:tcPr>
            <w:tcW w:w="681" w:type="pct"/>
            <w:tcBorders>
              <w:top w:val="nil"/>
              <w:left w:val="single" w:sz="18" w:space="0" w:color="auto"/>
              <w:bottom w:val="single" w:sz="8" w:space="0" w:color="auto"/>
              <w:right w:val="single" w:sz="8" w:space="0" w:color="auto"/>
            </w:tcBorders>
            <w:shd w:val="clear" w:color="auto" w:fill="auto"/>
            <w:noWrap/>
            <w:vAlign w:val="center"/>
          </w:tcPr>
          <w:p w14:paraId="63BC9C6A" w14:textId="77777777" w:rsidR="00335619" w:rsidRPr="0023367D" w:rsidRDefault="00335619" w:rsidP="00335619">
            <w:pPr>
              <w:jc w:val="center"/>
              <w:rPr>
                <w:color w:val="000000"/>
              </w:rPr>
            </w:pPr>
            <w:r w:rsidRPr="0023367D">
              <w:rPr>
                <w:color w:val="000000"/>
              </w:rPr>
              <w:t>5.5</w:t>
            </w:r>
          </w:p>
        </w:tc>
        <w:tc>
          <w:tcPr>
            <w:tcW w:w="850" w:type="pct"/>
            <w:tcBorders>
              <w:top w:val="nil"/>
              <w:left w:val="nil"/>
              <w:bottom w:val="single" w:sz="8" w:space="0" w:color="auto"/>
              <w:right w:val="single" w:sz="8" w:space="0" w:color="auto"/>
            </w:tcBorders>
            <w:shd w:val="clear" w:color="auto" w:fill="auto"/>
            <w:noWrap/>
            <w:vAlign w:val="center"/>
          </w:tcPr>
          <w:p w14:paraId="55C98891" w14:textId="77777777" w:rsidR="00335619" w:rsidRPr="0023367D" w:rsidRDefault="00335619" w:rsidP="00335619">
            <w:pPr>
              <w:jc w:val="center"/>
              <w:rPr>
                <w:color w:val="000000"/>
              </w:rPr>
            </w:pPr>
            <w:r w:rsidRPr="0023367D">
              <w:rPr>
                <w:color w:val="000000"/>
              </w:rPr>
              <w:t>10.8%</w:t>
            </w:r>
          </w:p>
        </w:tc>
      </w:tr>
      <w:tr w:rsidR="00335619" w:rsidRPr="0023367D" w14:paraId="2EB2731B" w14:textId="77777777" w:rsidTr="004B561A">
        <w:trPr>
          <w:trHeight w:hRule="exact" w:val="407"/>
        </w:trPr>
        <w:tc>
          <w:tcPr>
            <w:tcW w:w="1372" w:type="pct"/>
            <w:tcBorders>
              <w:top w:val="nil"/>
              <w:left w:val="single" w:sz="8" w:space="0" w:color="auto"/>
              <w:bottom w:val="single" w:sz="8" w:space="0" w:color="auto"/>
              <w:right w:val="single" w:sz="8" w:space="0" w:color="auto"/>
            </w:tcBorders>
            <w:shd w:val="clear" w:color="auto" w:fill="auto"/>
            <w:noWrap/>
            <w:vAlign w:val="center"/>
          </w:tcPr>
          <w:p w14:paraId="3665D8F4" w14:textId="77777777" w:rsidR="00335619" w:rsidRPr="0023367D" w:rsidRDefault="00335619" w:rsidP="00335619">
            <w:pPr>
              <w:jc w:val="center"/>
              <w:rPr>
                <w:color w:val="000000"/>
              </w:rPr>
            </w:pPr>
            <w:r w:rsidRPr="0023367D">
              <w:rPr>
                <w:rFonts w:eastAsia="Calibri"/>
                <w:color w:val="000000"/>
              </w:rPr>
              <w:t>1991-1998</w:t>
            </w:r>
          </w:p>
        </w:tc>
        <w:tc>
          <w:tcPr>
            <w:tcW w:w="623" w:type="pct"/>
            <w:tcBorders>
              <w:top w:val="nil"/>
              <w:left w:val="nil"/>
              <w:bottom w:val="single" w:sz="8" w:space="0" w:color="auto"/>
              <w:right w:val="single" w:sz="18" w:space="0" w:color="auto"/>
            </w:tcBorders>
            <w:shd w:val="clear" w:color="auto" w:fill="auto"/>
            <w:noWrap/>
            <w:vAlign w:val="center"/>
          </w:tcPr>
          <w:p w14:paraId="7C40CDCC" w14:textId="77777777" w:rsidR="00335619" w:rsidRPr="0023367D" w:rsidRDefault="00335619" w:rsidP="00335619">
            <w:pPr>
              <w:jc w:val="center"/>
              <w:rPr>
                <w:color w:val="000000"/>
              </w:rPr>
            </w:pPr>
            <w:r w:rsidRPr="0023367D">
              <w:rPr>
                <w:color w:val="000000"/>
              </w:rPr>
              <w:t>115</w:t>
            </w:r>
          </w:p>
        </w:tc>
        <w:tc>
          <w:tcPr>
            <w:tcW w:w="796" w:type="pct"/>
            <w:tcBorders>
              <w:top w:val="nil"/>
              <w:left w:val="single" w:sz="18" w:space="0" w:color="auto"/>
              <w:bottom w:val="single" w:sz="8" w:space="0" w:color="auto"/>
              <w:right w:val="single" w:sz="8" w:space="0" w:color="auto"/>
            </w:tcBorders>
            <w:shd w:val="clear" w:color="auto" w:fill="auto"/>
            <w:noWrap/>
            <w:vAlign w:val="center"/>
          </w:tcPr>
          <w:p w14:paraId="5D23FE0C" w14:textId="77777777" w:rsidR="00335619" w:rsidRPr="0023367D" w:rsidRDefault="00335619" w:rsidP="00335619">
            <w:pPr>
              <w:jc w:val="center"/>
              <w:rPr>
                <w:color w:val="000000"/>
              </w:rPr>
            </w:pPr>
            <w:r w:rsidRPr="0023367D">
              <w:rPr>
                <w:color w:val="000000"/>
              </w:rPr>
              <w:t>271</w:t>
            </w:r>
          </w:p>
        </w:tc>
        <w:tc>
          <w:tcPr>
            <w:tcW w:w="678" w:type="pct"/>
            <w:tcBorders>
              <w:top w:val="nil"/>
              <w:left w:val="nil"/>
              <w:bottom w:val="single" w:sz="8" w:space="0" w:color="auto"/>
              <w:right w:val="single" w:sz="18" w:space="0" w:color="auto"/>
            </w:tcBorders>
            <w:shd w:val="clear" w:color="auto" w:fill="auto"/>
            <w:noWrap/>
            <w:vAlign w:val="center"/>
          </w:tcPr>
          <w:p w14:paraId="48D604C6" w14:textId="77777777" w:rsidR="00335619" w:rsidRPr="0023367D" w:rsidRDefault="00335619" w:rsidP="00335619">
            <w:pPr>
              <w:jc w:val="center"/>
              <w:rPr>
                <w:color w:val="000000"/>
              </w:rPr>
            </w:pPr>
            <w:r w:rsidRPr="0023367D">
              <w:rPr>
                <w:color w:val="000000"/>
              </w:rPr>
              <w:t>7.7</w:t>
            </w:r>
          </w:p>
        </w:tc>
        <w:tc>
          <w:tcPr>
            <w:tcW w:w="681" w:type="pct"/>
            <w:tcBorders>
              <w:top w:val="nil"/>
              <w:left w:val="single" w:sz="18" w:space="0" w:color="auto"/>
              <w:bottom w:val="single" w:sz="8" w:space="0" w:color="auto"/>
              <w:right w:val="single" w:sz="8" w:space="0" w:color="auto"/>
            </w:tcBorders>
            <w:shd w:val="clear" w:color="auto" w:fill="auto"/>
            <w:noWrap/>
            <w:vAlign w:val="center"/>
          </w:tcPr>
          <w:p w14:paraId="558207C8" w14:textId="77777777" w:rsidR="00335619" w:rsidRPr="0023367D" w:rsidRDefault="00335619" w:rsidP="00335619">
            <w:pPr>
              <w:jc w:val="center"/>
              <w:rPr>
                <w:color w:val="000000"/>
              </w:rPr>
            </w:pPr>
            <w:r w:rsidRPr="0023367D">
              <w:rPr>
                <w:color w:val="000000"/>
              </w:rPr>
              <w:t>5.4</w:t>
            </w:r>
          </w:p>
        </w:tc>
        <w:tc>
          <w:tcPr>
            <w:tcW w:w="850" w:type="pct"/>
            <w:tcBorders>
              <w:top w:val="nil"/>
              <w:left w:val="nil"/>
              <w:bottom w:val="single" w:sz="8" w:space="0" w:color="auto"/>
              <w:right w:val="single" w:sz="8" w:space="0" w:color="auto"/>
            </w:tcBorders>
            <w:shd w:val="clear" w:color="auto" w:fill="auto"/>
            <w:noWrap/>
            <w:vAlign w:val="center"/>
          </w:tcPr>
          <w:p w14:paraId="7871540D" w14:textId="77777777" w:rsidR="00335619" w:rsidRPr="0023367D" w:rsidRDefault="00335619" w:rsidP="00335619">
            <w:pPr>
              <w:jc w:val="center"/>
              <w:rPr>
                <w:color w:val="000000"/>
              </w:rPr>
            </w:pPr>
            <w:r w:rsidRPr="0023367D">
              <w:rPr>
                <w:color w:val="000000"/>
              </w:rPr>
              <w:t>9.0%</w:t>
            </w:r>
          </w:p>
        </w:tc>
      </w:tr>
      <w:tr w:rsidR="00335619" w:rsidRPr="0023367D" w14:paraId="38A79EC5" w14:textId="77777777" w:rsidTr="004B561A">
        <w:trPr>
          <w:trHeight w:hRule="exact" w:val="407"/>
        </w:trPr>
        <w:tc>
          <w:tcPr>
            <w:tcW w:w="1372" w:type="pct"/>
            <w:tcBorders>
              <w:top w:val="nil"/>
              <w:left w:val="single" w:sz="8" w:space="0" w:color="auto"/>
              <w:bottom w:val="single" w:sz="8" w:space="0" w:color="auto"/>
              <w:right w:val="single" w:sz="8" w:space="0" w:color="auto"/>
            </w:tcBorders>
            <w:shd w:val="clear" w:color="auto" w:fill="auto"/>
            <w:noWrap/>
            <w:vAlign w:val="center"/>
          </w:tcPr>
          <w:p w14:paraId="0EF69A5E" w14:textId="77777777" w:rsidR="00335619" w:rsidRPr="0023367D" w:rsidRDefault="00335619" w:rsidP="00335619">
            <w:pPr>
              <w:jc w:val="center"/>
              <w:rPr>
                <w:color w:val="000000"/>
              </w:rPr>
            </w:pPr>
            <w:r w:rsidRPr="0023367D">
              <w:rPr>
                <w:rFonts w:eastAsia="Calibri"/>
                <w:color w:val="000000"/>
              </w:rPr>
              <w:t>1999-2006</w:t>
            </w:r>
          </w:p>
        </w:tc>
        <w:tc>
          <w:tcPr>
            <w:tcW w:w="623" w:type="pct"/>
            <w:tcBorders>
              <w:top w:val="nil"/>
              <w:left w:val="nil"/>
              <w:bottom w:val="single" w:sz="8" w:space="0" w:color="auto"/>
              <w:right w:val="single" w:sz="18" w:space="0" w:color="auto"/>
            </w:tcBorders>
            <w:shd w:val="clear" w:color="auto" w:fill="auto"/>
            <w:noWrap/>
            <w:vAlign w:val="center"/>
          </w:tcPr>
          <w:p w14:paraId="258CCD89" w14:textId="77777777" w:rsidR="00335619" w:rsidRPr="0023367D" w:rsidRDefault="00335619" w:rsidP="00335619">
            <w:pPr>
              <w:jc w:val="center"/>
              <w:rPr>
                <w:color w:val="000000"/>
              </w:rPr>
            </w:pPr>
            <w:r w:rsidRPr="0023367D">
              <w:rPr>
                <w:color w:val="000000"/>
              </w:rPr>
              <w:t>260</w:t>
            </w:r>
          </w:p>
        </w:tc>
        <w:tc>
          <w:tcPr>
            <w:tcW w:w="796" w:type="pct"/>
            <w:tcBorders>
              <w:top w:val="nil"/>
              <w:left w:val="single" w:sz="18" w:space="0" w:color="auto"/>
              <w:bottom w:val="single" w:sz="8" w:space="0" w:color="auto"/>
              <w:right w:val="single" w:sz="8" w:space="0" w:color="auto"/>
            </w:tcBorders>
            <w:shd w:val="clear" w:color="auto" w:fill="auto"/>
            <w:noWrap/>
            <w:vAlign w:val="center"/>
          </w:tcPr>
          <w:p w14:paraId="25B5BBE4" w14:textId="77777777" w:rsidR="00335619" w:rsidRPr="0023367D" w:rsidRDefault="00335619" w:rsidP="00335619">
            <w:pPr>
              <w:jc w:val="center"/>
              <w:rPr>
                <w:color w:val="000000"/>
              </w:rPr>
            </w:pPr>
            <w:r w:rsidRPr="0023367D">
              <w:rPr>
                <w:color w:val="000000"/>
              </w:rPr>
              <w:t>265</w:t>
            </w:r>
          </w:p>
        </w:tc>
        <w:tc>
          <w:tcPr>
            <w:tcW w:w="678" w:type="pct"/>
            <w:tcBorders>
              <w:top w:val="nil"/>
              <w:left w:val="nil"/>
              <w:bottom w:val="single" w:sz="8" w:space="0" w:color="auto"/>
              <w:right w:val="single" w:sz="18" w:space="0" w:color="auto"/>
            </w:tcBorders>
            <w:shd w:val="clear" w:color="auto" w:fill="auto"/>
            <w:noWrap/>
            <w:vAlign w:val="center"/>
          </w:tcPr>
          <w:p w14:paraId="47F5D95E" w14:textId="77777777" w:rsidR="00335619" w:rsidRPr="0023367D" w:rsidRDefault="00335619" w:rsidP="00335619">
            <w:pPr>
              <w:jc w:val="center"/>
              <w:rPr>
                <w:color w:val="000000"/>
              </w:rPr>
            </w:pPr>
            <w:r w:rsidRPr="0023367D">
              <w:rPr>
                <w:color w:val="000000"/>
              </w:rPr>
              <w:t>7.0</w:t>
            </w:r>
          </w:p>
        </w:tc>
        <w:tc>
          <w:tcPr>
            <w:tcW w:w="681" w:type="pct"/>
            <w:tcBorders>
              <w:top w:val="nil"/>
              <w:left w:val="single" w:sz="18" w:space="0" w:color="auto"/>
              <w:bottom w:val="single" w:sz="8" w:space="0" w:color="auto"/>
              <w:right w:val="single" w:sz="8" w:space="0" w:color="auto"/>
            </w:tcBorders>
            <w:shd w:val="clear" w:color="auto" w:fill="auto"/>
            <w:noWrap/>
            <w:vAlign w:val="center"/>
          </w:tcPr>
          <w:p w14:paraId="3DA0C630" w14:textId="77777777" w:rsidR="00335619" w:rsidRPr="0023367D" w:rsidRDefault="00335619" w:rsidP="00335619">
            <w:pPr>
              <w:jc w:val="center"/>
              <w:rPr>
                <w:color w:val="000000"/>
              </w:rPr>
            </w:pPr>
            <w:r w:rsidRPr="0023367D">
              <w:rPr>
                <w:color w:val="000000"/>
              </w:rPr>
              <w:t>5.3</w:t>
            </w:r>
          </w:p>
        </w:tc>
        <w:tc>
          <w:tcPr>
            <w:tcW w:w="850" w:type="pct"/>
            <w:tcBorders>
              <w:top w:val="nil"/>
              <w:left w:val="nil"/>
              <w:bottom w:val="single" w:sz="8" w:space="0" w:color="auto"/>
              <w:right w:val="single" w:sz="8" w:space="0" w:color="auto"/>
            </w:tcBorders>
            <w:shd w:val="clear" w:color="auto" w:fill="auto"/>
            <w:noWrap/>
            <w:vAlign w:val="center"/>
          </w:tcPr>
          <w:p w14:paraId="5BDFED83" w14:textId="77777777" w:rsidR="00335619" w:rsidRPr="0023367D" w:rsidRDefault="00335619" w:rsidP="00335619">
            <w:pPr>
              <w:jc w:val="center"/>
              <w:rPr>
                <w:color w:val="000000"/>
              </w:rPr>
            </w:pPr>
            <w:r w:rsidRPr="0023367D">
              <w:rPr>
                <w:color w:val="000000"/>
              </w:rPr>
              <w:t>7.9%</w:t>
            </w:r>
          </w:p>
        </w:tc>
      </w:tr>
      <w:tr w:rsidR="00335619" w:rsidRPr="0023367D" w14:paraId="01F083D2" w14:textId="77777777" w:rsidTr="004B561A">
        <w:trPr>
          <w:trHeight w:hRule="exact" w:val="288"/>
        </w:trPr>
        <w:tc>
          <w:tcPr>
            <w:tcW w:w="1372" w:type="pct"/>
            <w:tcBorders>
              <w:top w:val="nil"/>
              <w:left w:val="single" w:sz="8" w:space="0" w:color="auto"/>
              <w:bottom w:val="nil"/>
              <w:right w:val="single" w:sz="8" w:space="0" w:color="auto"/>
            </w:tcBorders>
            <w:shd w:val="clear" w:color="auto" w:fill="auto"/>
            <w:noWrap/>
            <w:vAlign w:val="center"/>
          </w:tcPr>
          <w:p w14:paraId="1182BFCA" w14:textId="77777777" w:rsidR="00335619" w:rsidRPr="004B561A" w:rsidRDefault="004B561A" w:rsidP="0043463F">
            <w:pPr>
              <w:jc w:val="center"/>
              <w:rPr>
                <w:color w:val="000000"/>
                <w:vertAlign w:val="superscript"/>
              </w:rPr>
            </w:pPr>
            <w:r>
              <w:rPr>
                <w:rFonts w:eastAsia="Calibri"/>
                <w:color w:val="000000"/>
              </w:rPr>
              <w:t xml:space="preserve">   </w:t>
            </w:r>
            <w:r w:rsidR="00335619" w:rsidRPr="0023367D">
              <w:rPr>
                <w:rFonts w:eastAsia="Calibri"/>
                <w:color w:val="000000"/>
              </w:rPr>
              <w:t>2007-2013</w:t>
            </w:r>
          </w:p>
        </w:tc>
        <w:tc>
          <w:tcPr>
            <w:tcW w:w="623" w:type="pct"/>
            <w:tcBorders>
              <w:top w:val="nil"/>
              <w:left w:val="nil"/>
              <w:bottom w:val="nil"/>
              <w:right w:val="single" w:sz="18" w:space="0" w:color="auto"/>
            </w:tcBorders>
            <w:shd w:val="clear" w:color="auto" w:fill="auto"/>
            <w:noWrap/>
            <w:vAlign w:val="center"/>
          </w:tcPr>
          <w:p w14:paraId="60046227" w14:textId="77777777" w:rsidR="00335619" w:rsidRPr="0023367D" w:rsidRDefault="00335619" w:rsidP="00335619">
            <w:pPr>
              <w:jc w:val="center"/>
              <w:rPr>
                <w:color w:val="000000"/>
              </w:rPr>
            </w:pPr>
            <w:r w:rsidRPr="0023367D">
              <w:rPr>
                <w:color w:val="000000"/>
              </w:rPr>
              <w:t>188</w:t>
            </w:r>
          </w:p>
        </w:tc>
        <w:tc>
          <w:tcPr>
            <w:tcW w:w="796" w:type="pct"/>
            <w:tcBorders>
              <w:top w:val="nil"/>
              <w:left w:val="single" w:sz="18" w:space="0" w:color="auto"/>
              <w:bottom w:val="nil"/>
              <w:right w:val="single" w:sz="8" w:space="0" w:color="auto"/>
            </w:tcBorders>
            <w:shd w:val="clear" w:color="auto" w:fill="auto"/>
            <w:noWrap/>
            <w:vAlign w:val="center"/>
          </w:tcPr>
          <w:p w14:paraId="23364DBC" w14:textId="77777777" w:rsidR="00335619" w:rsidRPr="0023367D" w:rsidRDefault="00335619" w:rsidP="00335619">
            <w:pPr>
              <w:jc w:val="center"/>
              <w:rPr>
                <w:color w:val="000000"/>
              </w:rPr>
            </w:pPr>
            <w:r w:rsidRPr="0023367D">
              <w:rPr>
                <w:color w:val="000000"/>
              </w:rPr>
              <w:t>305</w:t>
            </w:r>
          </w:p>
        </w:tc>
        <w:tc>
          <w:tcPr>
            <w:tcW w:w="678" w:type="pct"/>
            <w:tcBorders>
              <w:top w:val="nil"/>
              <w:left w:val="nil"/>
              <w:bottom w:val="nil"/>
              <w:right w:val="single" w:sz="18" w:space="0" w:color="auto"/>
            </w:tcBorders>
            <w:shd w:val="clear" w:color="auto" w:fill="auto"/>
            <w:noWrap/>
            <w:vAlign w:val="center"/>
          </w:tcPr>
          <w:p w14:paraId="7550D76C" w14:textId="77777777" w:rsidR="00335619" w:rsidRPr="0023367D" w:rsidRDefault="00335619" w:rsidP="00335619">
            <w:pPr>
              <w:jc w:val="center"/>
              <w:rPr>
                <w:color w:val="000000"/>
              </w:rPr>
            </w:pPr>
            <w:r w:rsidRPr="0023367D">
              <w:rPr>
                <w:color w:val="000000"/>
              </w:rPr>
              <w:t>6.3</w:t>
            </w:r>
          </w:p>
        </w:tc>
        <w:tc>
          <w:tcPr>
            <w:tcW w:w="681" w:type="pct"/>
            <w:tcBorders>
              <w:top w:val="nil"/>
              <w:left w:val="single" w:sz="18" w:space="0" w:color="auto"/>
              <w:bottom w:val="nil"/>
              <w:right w:val="single" w:sz="8" w:space="0" w:color="auto"/>
            </w:tcBorders>
            <w:shd w:val="clear" w:color="auto" w:fill="auto"/>
            <w:noWrap/>
            <w:vAlign w:val="center"/>
          </w:tcPr>
          <w:p w14:paraId="396537EE" w14:textId="77777777" w:rsidR="00335619" w:rsidRPr="0023367D" w:rsidRDefault="00335619" w:rsidP="00335619">
            <w:pPr>
              <w:jc w:val="center"/>
              <w:rPr>
                <w:color w:val="000000"/>
              </w:rPr>
            </w:pPr>
            <w:r w:rsidRPr="0023367D">
              <w:rPr>
                <w:color w:val="000000"/>
              </w:rPr>
              <w:t>5.2</w:t>
            </w:r>
          </w:p>
        </w:tc>
        <w:tc>
          <w:tcPr>
            <w:tcW w:w="850" w:type="pct"/>
            <w:tcBorders>
              <w:top w:val="nil"/>
              <w:left w:val="nil"/>
              <w:bottom w:val="nil"/>
              <w:right w:val="single" w:sz="8" w:space="0" w:color="auto"/>
            </w:tcBorders>
            <w:shd w:val="clear" w:color="auto" w:fill="auto"/>
            <w:noWrap/>
            <w:vAlign w:val="center"/>
          </w:tcPr>
          <w:p w14:paraId="7B1F7C4D" w14:textId="77777777" w:rsidR="00335619" w:rsidRPr="0023367D" w:rsidRDefault="00335619" w:rsidP="00335619">
            <w:pPr>
              <w:jc w:val="center"/>
              <w:rPr>
                <w:color w:val="000000"/>
              </w:rPr>
            </w:pPr>
            <w:r w:rsidRPr="0023367D">
              <w:rPr>
                <w:color w:val="000000"/>
              </w:rPr>
              <w:t>6.0%</w:t>
            </w:r>
          </w:p>
        </w:tc>
      </w:tr>
      <w:tr w:rsidR="00335619" w:rsidRPr="0023367D" w14:paraId="02BA5350" w14:textId="77777777" w:rsidTr="004B561A">
        <w:trPr>
          <w:trHeight w:hRule="exact" w:val="69"/>
        </w:trPr>
        <w:tc>
          <w:tcPr>
            <w:tcW w:w="1372" w:type="pct"/>
            <w:tcBorders>
              <w:top w:val="nil"/>
              <w:left w:val="single" w:sz="8" w:space="0" w:color="auto"/>
              <w:bottom w:val="single" w:sz="8" w:space="0" w:color="auto"/>
              <w:right w:val="single" w:sz="8" w:space="0" w:color="auto"/>
            </w:tcBorders>
            <w:shd w:val="clear" w:color="auto" w:fill="auto"/>
            <w:noWrap/>
            <w:vAlign w:val="center"/>
          </w:tcPr>
          <w:p w14:paraId="02FDCDDC" w14:textId="77777777" w:rsidR="00335619" w:rsidRPr="0023367D" w:rsidRDefault="00335619" w:rsidP="00335619">
            <w:pPr>
              <w:jc w:val="center"/>
              <w:rPr>
                <w:rFonts w:eastAsia="Calibri"/>
                <w:color w:val="000000"/>
              </w:rPr>
            </w:pPr>
          </w:p>
          <w:p w14:paraId="5DCF17BC" w14:textId="77777777" w:rsidR="00335619" w:rsidRPr="0023367D" w:rsidRDefault="00335619" w:rsidP="00335619">
            <w:pPr>
              <w:jc w:val="center"/>
              <w:rPr>
                <w:rFonts w:eastAsia="Calibri"/>
                <w:color w:val="000000"/>
              </w:rPr>
            </w:pPr>
          </w:p>
          <w:p w14:paraId="6CCE7B94" w14:textId="77777777" w:rsidR="00335619" w:rsidRPr="0023367D" w:rsidRDefault="00335619" w:rsidP="00335619">
            <w:pPr>
              <w:jc w:val="center"/>
              <w:rPr>
                <w:rFonts w:eastAsia="Calibri"/>
                <w:color w:val="000000"/>
              </w:rPr>
            </w:pPr>
          </w:p>
          <w:p w14:paraId="4867D1BA" w14:textId="77777777" w:rsidR="00335619" w:rsidRPr="0023367D" w:rsidRDefault="00335619" w:rsidP="00335619">
            <w:pPr>
              <w:jc w:val="center"/>
              <w:rPr>
                <w:rFonts w:eastAsia="Calibri"/>
                <w:color w:val="000000"/>
              </w:rPr>
            </w:pPr>
          </w:p>
          <w:p w14:paraId="51E5BB3D" w14:textId="77777777" w:rsidR="00335619" w:rsidRPr="0023367D" w:rsidRDefault="00335619" w:rsidP="00335619">
            <w:pPr>
              <w:jc w:val="center"/>
              <w:rPr>
                <w:rFonts w:eastAsia="Calibri"/>
                <w:color w:val="000000"/>
              </w:rPr>
            </w:pPr>
          </w:p>
          <w:p w14:paraId="754CF7DC" w14:textId="77777777" w:rsidR="00335619" w:rsidRPr="0023367D" w:rsidRDefault="00335619" w:rsidP="00335619">
            <w:pPr>
              <w:jc w:val="center"/>
              <w:rPr>
                <w:rFonts w:eastAsia="Calibri"/>
                <w:color w:val="000000"/>
              </w:rPr>
            </w:pPr>
          </w:p>
        </w:tc>
        <w:tc>
          <w:tcPr>
            <w:tcW w:w="623" w:type="pct"/>
            <w:tcBorders>
              <w:top w:val="nil"/>
              <w:left w:val="nil"/>
              <w:bottom w:val="single" w:sz="8" w:space="0" w:color="auto"/>
              <w:right w:val="single" w:sz="8" w:space="0" w:color="auto"/>
            </w:tcBorders>
            <w:shd w:val="clear" w:color="auto" w:fill="auto"/>
            <w:noWrap/>
            <w:vAlign w:val="center"/>
          </w:tcPr>
          <w:p w14:paraId="24CDB7EC" w14:textId="77777777" w:rsidR="00335619" w:rsidRPr="0023367D" w:rsidRDefault="00335619" w:rsidP="00335619">
            <w:pPr>
              <w:jc w:val="right"/>
              <w:rPr>
                <w:bCs/>
                <w:color w:val="000000"/>
              </w:rPr>
            </w:pPr>
          </w:p>
        </w:tc>
        <w:tc>
          <w:tcPr>
            <w:tcW w:w="796" w:type="pct"/>
            <w:tcBorders>
              <w:top w:val="nil"/>
              <w:left w:val="nil"/>
              <w:bottom w:val="single" w:sz="8" w:space="0" w:color="auto"/>
              <w:right w:val="single" w:sz="8" w:space="0" w:color="auto"/>
            </w:tcBorders>
            <w:shd w:val="clear" w:color="auto" w:fill="auto"/>
            <w:noWrap/>
            <w:vAlign w:val="center"/>
          </w:tcPr>
          <w:p w14:paraId="03159C19" w14:textId="77777777" w:rsidR="00335619" w:rsidRPr="0023367D" w:rsidRDefault="00335619" w:rsidP="00335619">
            <w:pPr>
              <w:jc w:val="right"/>
              <w:rPr>
                <w:bCs/>
                <w:color w:val="000000"/>
              </w:rPr>
            </w:pPr>
          </w:p>
        </w:tc>
        <w:tc>
          <w:tcPr>
            <w:tcW w:w="678" w:type="pct"/>
            <w:tcBorders>
              <w:top w:val="nil"/>
              <w:left w:val="nil"/>
              <w:bottom w:val="single" w:sz="8" w:space="0" w:color="auto"/>
              <w:right w:val="single" w:sz="8" w:space="0" w:color="auto"/>
            </w:tcBorders>
            <w:shd w:val="clear" w:color="auto" w:fill="auto"/>
            <w:noWrap/>
            <w:vAlign w:val="center"/>
          </w:tcPr>
          <w:p w14:paraId="6F1229DF" w14:textId="77777777" w:rsidR="00335619" w:rsidRPr="0023367D" w:rsidRDefault="00335619" w:rsidP="00335619">
            <w:pPr>
              <w:jc w:val="right"/>
              <w:rPr>
                <w:bCs/>
                <w:color w:val="000000"/>
              </w:rPr>
            </w:pPr>
          </w:p>
        </w:tc>
        <w:tc>
          <w:tcPr>
            <w:tcW w:w="681" w:type="pct"/>
            <w:tcBorders>
              <w:top w:val="nil"/>
              <w:left w:val="nil"/>
              <w:bottom w:val="single" w:sz="8" w:space="0" w:color="auto"/>
              <w:right w:val="single" w:sz="8" w:space="0" w:color="auto"/>
            </w:tcBorders>
            <w:shd w:val="clear" w:color="auto" w:fill="auto"/>
            <w:noWrap/>
            <w:vAlign w:val="center"/>
          </w:tcPr>
          <w:p w14:paraId="26DD3219" w14:textId="77777777" w:rsidR="00335619" w:rsidRPr="0023367D" w:rsidRDefault="00335619" w:rsidP="00335619">
            <w:pPr>
              <w:jc w:val="right"/>
              <w:rPr>
                <w:bCs/>
                <w:color w:val="000000"/>
              </w:rPr>
            </w:pPr>
          </w:p>
        </w:tc>
        <w:tc>
          <w:tcPr>
            <w:tcW w:w="850" w:type="pct"/>
            <w:tcBorders>
              <w:top w:val="nil"/>
              <w:left w:val="nil"/>
              <w:bottom w:val="single" w:sz="8" w:space="0" w:color="auto"/>
              <w:right w:val="single" w:sz="8" w:space="0" w:color="auto"/>
            </w:tcBorders>
            <w:shd w:val="clear" w:color="auto" w:fill="auto"/>
            <w:noWrap/>
            <w:vAlign w:val="center"/>
          </w:tcPr>
          <w:p w14:paraId="0ED7AAA6" w14:textId="77777777" w:rsidR="00335619" w:rsidRPr="0023367D" w:rsidRDefault="00335619" w:rsidP="00335619">
            <w:pPr>
              <w:jc w:val="right"/>
              <w:rPr>
                <w:bCs/>
                <w:color w:val="000000"/>
              </w:rPr>
            </w:pPr>
          </w:p>
        </w:tc>
      </w:tr>
    </w:tbl>
    <w:p w14:paraId="411ACF99" w14:textId="1CBCC9F2" w:rsidR="00272906" w:rsidRPr="00FF7D77" w:rsidRDefault="00335619" w:rsidP="00205AE5">
      <w:pPr>
        <w:tabs>
          <w:tab w:val="left" w:pos="2673"/>
        </w:tabs>
        <w:rPr>
          <w:sz w:val="12"/>
          <w:szCs w:val="20"/>
        </w:rPr>
      </w:pPr>
      <w:r w:rsidRPr="0023367D">
        <w:rPr>
          <w:sz w:val="20"/>
          <w:szCs w:val="20"/>
        </w:rPr>
        <w:fldChar w:fldCharType="begin"/>
      </w:r>
      <w:r w:rsidRPr="0023367D">
        <w:rPr>
          <w:sz w:val="20"/>
          <w:szCs w:val="20"/>
        </w:rPr>
        <w:instrText xml:space="preserve"> LINK </w:instrText>
      </w:r>
      <w:r w:rsidR="00AE0122">
        <w:rPr>
          <w:sz w:val="20"/>
          <w:szCs w:val="20"/>
        </w:rPr>
        <w:instrText xml:space="preserve">Excel.Sheet.12 "C:\\Users\\Carla Hayn\\Documents\\Research\\Rearrange table in paper.xlsx" Sheet1!R3C3:R51C13 </w:instrText>
      </w:r>
      <w:r w:rsidRPr="0023367D">
        <w:rPr>
          <w:sz w:val="20"/>
          <w:szCs w:val="20"/>
        </w:rPr>
        <w:instrText xml:space="preserve">\a \f 5 \h  \* MERGEFORMAT </w:instrText>
      </w:r>
      <w:r w:rsidRPr="0023367D">
        <w:rPr>
          <w:sz w:val="20"/>
          <w:szCs w:val="20"/>
        </w:rPr>
        <w:fldChar w:fldCharType="separate"/>
      </w:r>
    </w:p>
    <w:p w14:paraId="3C9AE884" w14:textId="77777777" w:rsidR="00335619" w:rsidRPr="0023367D" w:rsidRDefault="00335619" w:rsidP="00335619">
      <w:pPr>
        <w:pStyle w:val="ColorfulList-Accent11"/>
        <w:spacing w:after="120" w:line="240" w:lineRule="auto"/>
        <w:ind w:left="180" w:hanging="180"/>
        <w:rPr>
          <w:rFonts w:ascii="Times New Roman" w:hAnsi="Times New Roman" w:cs="Times New Roman"/>
          <w:sz w:val="18"/>
          <w:szCs w:val="18"/>
        </w:rPr>
      </w:pPr>
      <w:r w:rsidRPr="0023367D">
        <w:rPr>
          <w:rFonts w:ascii="Times New Roman" w:hAnsi="Times New Roman" w:cs="Times New Roman"/>
          <w:sz w:val="20"/>
          <w:szCs w:val="20"/>
          <w:vertAlign w:val="superscript"/>
        </w:rPr>
        <w:t xml:space="preserve">(a) </w:t>
      </w:r>
      <w:r w:rsidRPr="0023367D">
        <w:rPr>
          <w:rFonts w:ascii="Times New Roman" w:hAnsi="Times New Roman" w:cs="Times New Roman"/>
          <w:sz w:val="18"/>
          <w:szCs w:val="18"/>
        </w:rPr>
        <w:t>Mean</w:t>
      </w:r>
      <w:r w:rsidR="00205AE5" w:rsidRPr="0023367D">
        <w:rPr>
          <w:rFonts w:ascii="Times New Roman" w:hAnsi="Times New Roman" w:cs="Times New Roman"/>
          <w:sz w:val="18"/>
          <w:szCs w:val="18"/>
        </w:rPr>
        <w:t xml:space="preserve"> values</w:t>
      </w:r>
      <w:r w:rsidRPr="0023367D">
        <w:rPr>
          <w:rFonts w:ascii="Times New Roman" w:hAnsi="Times New Roman" w:cs="Times New Roman"/>
          <w:sz w:val="18"/>
          <w:szCs w:val="18"/>
        </w:rPr>
        <w:t xml:space="preserve"> are </w:t>
      </w:r>
      <w:r w:rsidR="00205AE5" w:rsidRPr="0023367D">
        <w:rPr>
          <w:rFonts w:ascii="Times New Roman" w:hAnsi="Times New Roman" w:cs="Times New Roman"/>
          <w:sz w:val="18"/>
          <w:szCs w:val="18"/>
        </w:rPr>
        <w:t xml:space="preserve">computed </w:t>
      </w:r>
      <w:r w:rsidRPr="0023367D">
        <w:rPr>
          <w:rFonts w:ascii="Times New Roman" w:hAnsi="Times New Roman" w:cs="Times New Roman"/>
          <w:sz w:val="18"/>
          <w:szCs w:val="18"/>
        </w:rPr>
        <w:t xml:space="preserve">across years. Firm-year observations are </w:t>
      </w:r>
      <w:proofErr w:type="spellStart"/>
      <w:proofErr w:type="gramStart"/>
      <w:r w:rsidRPr="0023367D">
        <w:rPr>
          <w:rFonts w:ascii="Times New Roman" w:hAnsi="Times New Roman" w:cs="Times New Roman"/>
          <w:sz w:val="18"/>
          <w:szCs w:val="18"/>
        </w:rPr>
        <w:t>Winsorized</w:t>
      </w:r>
      <w:proofErr w:type="spellEnd"/>
      <w:proofErr w:type="gramEnd"/>
      <w:r w:rsidRPr="0023367D">
        <w:rPr>
          <w:rFonts w:ascii="Times New Roman" w:hAnsi="Times New Roman" w:cs="Times New Roman"/>
          <w:sz w:val="18"/>
          <w:szCs w:val="18"/>
        </w:rPr>
        <w:t xml:space="preserve"> each year at the extreme 1% values of the annual distribution. </w:t>
      </w:r>
    </w:p>
    <w:p w14:paraId="1DD6E8D2" w14:textId="77777777" w:rsidR="00335619" w:rsidRPr="0023367D" w:rsidRDefault="00335619" w:rsidP="00335619">
      <w:pPr>
        <w:pStyle w:val="ColorfulList-Accent11"/>
        <w:spacing w:after="120" w:line="240" w:lineRule="auto"/>
        <w:ind w:left="180" w:hanging="180"/>
        <w:rPr>
          <w:rFonts w:ascii="Times New Roman" w:hAnsi="Times New Roman" w:cs="Times New Roman"/>
          <w:sz w:val="18"/>
          <w:szCs w:val="18"/>
        </w:rPr>
      </w:pPr>
      <w:r w:rsidRPr="0023367D">
        <w:rPr>
          <w:rFonts w:ascii="Times New Roman" w:hAnsi="Times New Roman" w:cs="Times New Roman"/>
          <w:sz w:val="18"/>
          <w:szCs w:val="18"/>
          <w:vertAlign w:val="superscript"/>
        </w:rPr>
        <w:t xml:space="preserve">(b) </w:t>
      </w:r>
      <w:r w:rsidRPr="0023367D">
        <w:rPr>
          <w:rFonts w:ascii="Times New Roman" w:hAnsi="Times New Roman" w:cs="Times New Roman"/>
          <w:sz w:val="18"/>
          <w:szCs w:val="18"/>
        </w:rPr>
        <w:t>When a firm has multiple bond issues outstanding in a given year, these are averaged before computing the reported values. The results for issuance size and frequencies of senior debt and call feature are based on 17,928 and 5,643 firm-years in Panels A and B, respectively.</w:t>
      </w:r>
    </w:p>
    <w:p w14:paraId="58AE8419" w14:textId="77777777" w:rsidR="00335619" w:rsidRPr="0023367D" w:rsidRDefault="00335619" w:rsidP="00335619">
      <w:pPr>
        <w:pStyle w:val="ColorfulList-Accent11"/>
        <w:spacing w:after="120" w:line="240" w:lineRule="auto"/>
        <w:ind w:left="180" w:hanging="180"/>
        <w:rPr>
          <w:rFonts w:ascii="Times New Roman" w:hAnsi="Times New Roman" w:cs="Times New Roman"/>
          <w:sz w:val="18"/>
          <w:szCs w:val="18"/>
        </w:rPr>
      </w:pPr>
      <w:r w:rsidRPr="0023367D">
        <w:rPr>
          <w:rFonts w:ascii="Times New Roman" w:hAnsi="Times New Roman" w:cs="Times New Roman"/>
          <w:sz w:val="18"/>
          <w:szCs w:val="18"/>
          <w:vertAlign w:val="superscript"/>
        </w:rPr>
        <w:t xml:space="preserve">(c) </w:t>
      </w:r>
      <w:r w:rsidRPr="0023367D">
        <w:rPr>
          <w:rFonts w:ascii="Times New Roman" w:hAnsi="Times New Roman" w:cs="Times New Roman"/>
          <w:sz w:val="18"/>
          <w:szCs w:val="18"/>
        </w:rPr>
        <w:t>Issue size is in 2013 dollars (CPI adjusted).</w:t>
      </w:r>
    </w:p>
    <w:p w14:paraId="3A0E9BAF" w14:textId="77777777" w:rsidR="00335619" w:rsidRDefault="00335619" w:rsidP="00335619">
      <w:pPr>
        <w:pStyle w:val="ColorfulList-Accent11"/>
        <w:spacing w:after="120" w:line="240" w:lineRule="auto"/>
        <w:ind w:left="180" w:hanging="180"/>
        <w:rPr>
          <w:sz w:val="20"/>
          <w:szCs w:val="20"/>
        </w:rPr>
      </w:pPr>
      <w:r w:rsidRPr="0023367D">
        <w:rPr>
          <w:rFonts w:ascii="Times New Roman" w:hAnsi="Times New Roman" w:cs="Times New Roman"/>
          <w:iCs/>
          <w:sz w:val="18"/>
          <w:szCs w:val="18"/>
          <w:vertAlign w:val="superscript"/>
        </w:rPr>
        <w:t xml:space="preserve">(d) </w:t>
      </w:r>
      <w:r w:rsidRPr="0023367D">
        <w:rPr>
          <w:rFonts w:ascii="Times New Roman" w:hAnsi="Times New Roman" w:cs="Times New Roman"/>
          <w:iCs/>
          <w:sz w:val="18"/>
          <w:szCs w:val="18"/>
        </w:rPr>
        <w:t>Yield-to-maturity</w:t>
      </w:r>
      <w:r w:rsidRPr="0023367D">
        <w:rPr>
          <w:rFonts w:ascii="Times New Roman" w:hAnsi="Times New Roman" w:cs="Times New Roman"/>
          <w:sz w:val="18"/>
          <w:szCs w:val="18"/>
        </w:rPr>
        <w:t xml:space="preserve"> is the annual yield to maturity as of the end of the third month after the end of the firm’s fiscal year t as reported by Interactive Data.</w:t>
      </w:r>
      <w:r w:rsidRPr="0023367D">
        <w:rPr>
          <w:sz w:val="20"/>
          <w:szCs w:val="20"/>
        </w:rPr>
        <w:fldChar w:fldCharType="end"/>
      </w:r>
    </w:p>
    <w:p w14:paraId="5D7751ED" w14:textId="77777777" w:rsidR="004B561A" w:rsidRPr="006122CC" w:rsidRDefault="004B561A" w:rsidP="00335619">
      <w:pPr>
        <w:pStyle w:val="ColorfulList-Accent11"/>
        <w:spacing w:after="120" w:line="240" w:lineRule="auto"/>
        <w:ind w:left="180" w:hanging="180"/>
        <w:rPr>
          <w:rFonts w:ascii="Times New Roman" w:hAnsi="Times New Roman" w:cs="Times New Roman"/>
          <w:sz w:val="16"/>
          <w:szCs w:val="16"/>
        </w:rPr>
      </w:pPr>
      <w:r w:rsidRPr="006122CC">
        <w:rPr>
          <w:sz w:val="18"/>
          <w:szCs w:val="18"/>
          <w:vertAlign w:val="superscript"/>
        </w:rPr>
        <w:t>(e</w:t>
      </w:r>
      <w:r w:rsidRPr="006122CC">
        <w:rPr>
          <w:rFonts w:ascii="Times New Roman" w:hAnsi="Times New Roman" w:cs="Times New Roman"/>
          <w:sz w:val="16"/>
          <w:szCs w:val="16"/>
          <w:vertAlign w:val="superscript"/>
        </w:rPr>
        <w:t>)</w:t>
      </w:r>
      <w:r w:rsidRPr="006122CC">
        <w:rPr>
          <w:rFonts w:ascii="Times New Roman" w:hAnsi="Times New Roman" w:cs="Times New Roman"/>
          <w:sz w:val="16"/>
          <w:szCs w:val="16"/>
        </w:rPr>
        <w:t xml:space="preserve"> </w:t>
      </w:r>
      <w:r w:rsidR="0043463F" w:rsidRPr="006122CC">
        <w:rPr>
          <w:rFonts w:ascii="Times New Roman" w:hAnsi="Times New Roman" w:cs="Times New Roman"/>
          <w:sz w:val="18"/>
          <w:szCs w:val="18"/>
        </w:rPr>
        <w:t>All intervals contain 8 years except the most recent one which contains seven years.</w:t>
      </w:r>
    </w:p>
    <w:p w14:paraId="458EEAA2" w14:textId="77777777" w:rsidR="00335619" w:rsidRPr="0023367D" w:rsidRDefault="00335619" w:rsidP="00335619">
      <w:pPr>
        <w:rPr>
          <w:lang w:bidi="he-IL"/>
        </w:rPr>
      </w:pPr>
    </w:p>
    <w:p w14:paraId="16CC1428" w14:textId="77777777" w:rsidR="00335619" w:rsidRPr="0023367D" w:rsidRDefault="00335619" w:rsidP="00335619">
      <w:pPr>
        <w:tabs>
          <w:tab w:val="left" w:pos="3072"/>
        </w:tabs>
        <w:jc w:val="center"/>
        <w:rPr>
          <w:b/>
          <w:bCs/>
        </w:rPr>
      </w:pPr>
      <w:r w:rsidRPr="0023367D">
        <w:rPr>
          <w:lang w:bidi="he-IL"/>
        </w:rPr>
        <w:br w:type="page"/>
      </w:r>
      <w:r w:rsidRPr="0023367D">
        <w:rPr>
          <w:b/>
          <w:bCs/>
        </w:rPr>
        <w:t>Table 4</w:t>
      </w:r>
    </w:p>
    <w:p w14:paraId="2E2E0B10" w14:textId="77777777" w:rsidR="00335619" w:rsidRPr="0023367D" w:rsidRDefault="00335619" w:rsidP="00335619">
      <w:pPr>
        <w:numPr>
          <w:ilvl w:val="0"/>
          <w:numId w:val="16"/>
        </w:numPr>
        <w:spacing w:after="160" w:line="259" w:lineRule="auto"/>
        <w:ind w:left="-1080"/>
        <w:contextualSpacing/>
        <w:jc w:val="center"/>
        <w:rPr>
          <w:rFonts w:eastAsia="Calibri"/>
          <w:szCs w:val="22"/>
        </w:rPr>
      </w:pPr>
      <w:r w:rsidRPr="0023367D">
        <w:rPr>
          <w:rFonts w:eastAsia="Calibri"/>
          <w:b/>
          <w:bCs/>
          <w:szCs w:val="22"/>
        </w:rPr>
        <w:t xml:space="preserve">Association between Security </w:t>
      </w:r>
      <w:r w:rsidRPr="0023367D">
        <w:rPr>
          <w:rFonts w:eastAsia="Calibri"/>
          <w:b/>
          <w:bCs/>
          <w:i/>
          <w:iCs/>
          <w:szCs w:val="22"/>
        </w:rPr>
        <w:t>Valuation</w:t>
      </w:r>
      <w:r w:rsidRPr="0023367D">
        <w:rPr>
          <w:rFonts w:eastAsia="Calibri"/>
          <w:b/>
          <w:bCs/>
          <w:szCs w:val="22"/>
        </w:rPr>
        <w:t xml:space="preserve"> and Accounting Information</w:t>
      </w:r>
    </w:p>
    <w:tbl>
      <w:tblPr>
        <w:tblW w:w="10008" w:type="dxa"/>
        <w:tblLayout w:type="fixed"/>
        <w:tblLook w:val="04A0" w:firstRow="1" w:lastRow="0" w:firstColumn="1" w:lastColumn="0" w:noHBand="0" w:noVBand="1"/>
      </w:tblPr>
      <w:tblGrid>
        <w:gridCol w:w="1548"/>
        <w:gridCol w:w="900"/>
        <w:gridCol w:w="971"/>
        <w:gridCol w:w="1067"/>
        <w:gridCol w:w="1292"/>
        <w:gridCol w:w="720"/>
        <w:gridCol w:w="1176"/>
        <w:gridCol w:w="1074"/>
        <w:gridCol w:w="1260"/>
      </w:tblGrid>
      <w:tr w:rsidR="00335619" w:rsidRPr="0023367D" w14:paraId="09A15B06" w14:textId="77777777" w:rsidTr="00170CCC">
        <w:trPr>
          <w:trHeight w:hRule="exact" w:val="288"/>
        </w:trPr>
        <w:tc>
          <w:tcPr>
            <w:tcW w:w="1548" w:type="dxa"/>
            <w:vMerge w:val="restart"/>
            <w:tcBorders>
              <w:top w:val="single" w:sz="8" w:space="0" w:color="auto"/>
              <w:left w:val="single" w:sz="8" w:space="0" w:color="auto"/>
              <w:right w:val="single" w:sz="8" w:space="0" w:color="auto"/>
            </w:tcBorders>
            <w:shd w:val="clear" w:color="auto" w:fill="auto"/>
            <w:noWrap/>
            <w:vAlign w:val="center"/>
          </w:tcPr>
          <w:p w14:paraId="376B380F" w14:textId="77777777" w:rsidR="00335619" w:rsidRPr="0023367D" w:rsidRDefault="00335619" w:rsidP="00335619">
            <w:pPr>
              <w:spacing w:after="160" w:line="259" w:lineRule="auto"/>
              <w:jc w:val="center"/>
              <w:rPr>
                <w:rFonts w:eastAsia="Calibri"/>
                <w:bCs/>
                <w:color w:val="000000"/>
                <w:sz w:val="19"/>
                <w:szCs w:val="19"/>
              </w:rPr>
            </w:pPr>
            <w:r w:rsidRPr="0023367D">
              <w:rPr>
                <w:rFonts w:eastAsia="Calibri"/>
                <w:bCs/>
                <w:color w:val="000000"/>
                <w:sz w:val="19"/>
                <w:szCs w:val="19"/>
              </w:rPr>
              <w:t>Years Examined</w:t>
            </w:r>
          </w:p>
        </w:tc>
        <w:tc>
          <w:tcPr>
            <w:tcW w:w="4230" w:type="dxa"/>
            <w:gridSpan w:val="4"/>
            <w:tcBorders>
              <w:top w:val="single" w:sz="8" w:space="0" w:color="auto"/>
              <w:left w:val="nil"/>
              <w:bottom w:val="single" w:sz="4" w:space="0" w:color="auto"/>
              <w:right w:val="single" w:sz="12" w:space="0" w:color="auto"/>
            </w:tcBorders>
            <w:shd w:val="clear" w:color="auto" w:fill="auto"/>
            <w:noWrap/>
            <w:vAlign w:val="center"/>
          </w:tcPr>
          <w:p w14:paraId="275269B9" w14:textId="77777777" w:rsidR="00335619" w:rsidRPr="0023367D" w:rsidRDefault="00335619" w:rsidP="00335619">
            <w:pPr>
              <w:spacing w:after="160" w:line="259" w:lineRule="auto"/>
              <w:contextualSpacing/>
              <w:jc w:val="center"/>
              <w:rPr>
                <w:rFonts w:eastAsia="Calibri"/>
                <w:b/>
                <w:bCs/>
                <w:color w:val="000000"/>
                <w:sz w:val="19"/>
                <w:szCs w:val="19"/>
                <w:lang w:bidi="he-IL"/>
              </w:rPr>
            </w:pPr>
            <w:r w:rsidRPr="0023367D">
              <w:rPr>
                <w:rFonts w:eastAsia="Calibri"/>
                <w:b/>
                <w:bCs/>
                <w:color w:val="000000"/>
                <w:sz w:val="19"/>
                <w:szCs w:val="19"/>
                <w:lang w:bidi="he-IL"/>
              </w:rPr>
              <w:t>Full Sample</w:t>
            </w:r>
          </w:p>
        </w:tc>
        <w:tc>
          <w:tcPr>
            <w:tcW w:w="4230" w:type="dxa"/>
            <w:gridSpan w:val="4"/>
            <w:tcBorders>
              <w:top w:val="single" w:sz="8" w:space="0" w:color="auto"/>
              <w:left w:val="single" w:sz="12" w:space="0" w:color="auto"/>
              <w:bottom w:val="single" w:sz="8" w:space="0" w:color="auto"/>
              <w:right w:val="single" w:sz="8" w:space="0" w:color="auto"/>
            </w:tcBorders>
            <w:shd w:val="clear" w:color="auto" w:fill="auto"/>
            <w:vAlign w:val="center"/>
          </w:tcPr>
          <w:p w14:paraId="1FAEA29E" w14:textId="77777777" w:rsidR="00335619" w:rsidRPr="0023367D" w:rsidRDefault="00335619" w:rsidP="00335619">
            <w:pPr>
              <w:spacing w:after="160" w:line="259" w:lineRule="auto"/>
              <w:contextualSpacing/>
              <w:jc w:val="center"/>
              <w:rPr>
                <w:b/>
                <w:color w:val="000000"/>
                <w:sz w:val="19"/>
                <w:szCs w:val="19"/>
              </w:rPr>
            </w:pPr>
            <w:r w:rsidRPr="0023367D">
              <w:rPr>
                <w:rFonts w:eastAsia="Calibri"/>
                <w:b/>
                <w:bCs/>
                <w:color w:val="000000"/>
                <w:sz w:val="19"/>
                <w:szCs w:val="19"/>
                <w:lang w:bidi="he-IL"/>
              </w:rPr>
              <w:t>Subsample of Homogeneous-Liquid Bonds</w:t>
            </w:r>
            <w:r w:rsidRPr="0023367D">
              <w:rPr>
                <w:rFonts w:eastAsia="Calibri"/>
                <w:b/>
                <w:bCs/>
                <w:color w:val="000000"/>
                <w:sz w:val="19"/>
                <w:szCs w:val="19"/>
                <w:vertAlign w:val="superscript"/>
                <w:lang w:bidi="he-IL"/>
              </w:rPr>
              <w:t>(a)</w:t>
            </w:r>
          </w:p>
        </w:tc>
      </w:tr>
      <w:tr w:rsidR="00335619" w:rsidRPr="0023367D" w14:paraId="71AAE2A4" w14:textId="77777777" w:rsidTr="00D240E6">
        <w:trPr>
          <w:trHeight w:hRule="exact" w:val="569"/>
        </w:trPr>
        <w:tc>
          <w:tcPr>
            <w:tcW w:w="1548" w:type="dxa"/>
            <w:vMerge/>
            <w:tcBorders>
              <w:left w:val="single" w:sz="8" w:space="0" w:color="auto"/>
              <w:right w:val="single" w:sz="8" w:space="0" w:color="auto"/>
            </w:tcBorders>
            <w:shd w:val="clear" w:color="auto" w:fill="auto"/>
            <w:noWrap/>
            <w:vAlign w:val="center"/>
          </w:tcPr>
          <w:p w14:paraId="0E2D9D92" w14:textId="77777777" w:rsidR="00335619" w:rsidRPr="0023367D" w:rsidRDefault="00335619" w:rsidP="00335619">
            <w:pPr>
              <w:spacing w:after="160" w:line="259" w:lineRule="auto"/>
              <w:jc w:val="center"/>
              <w:rPr>
                <w:rFonts w:eastAsia="Calibri"/>
                <w:bCs/>
                <w:color w:val="000000"/>
                <w:sz w:val="19"/>
                <w:szCs w:val="19"/>
              </w:rPr>
            </w:pPr>
          </w:p>
        </w:tc>
        <w:tc>
          <w:tcPr>
            <w:tcW w:w="900" w:type="dxa"/>
            <w:vMerge w:val="restart"/>
            <w:tcBorders>
              <w:top w:val="single" w:sz="4" w:space="0" w:color="auto"/>
              <w:left w:val="nil"/>
              <w:right w:val="single" w:sz="8" w:space="0" w:color="auto"/>
            </w:tcBorders>
            <w:shd w:val="clear" w:color="auto" w:fill="auto"/>
            <w:noWrap/>
            <w:vAlign w:val="center"/>
          </w:tcPr>
          <w:p w14:paraId="070299D9" w14:textId="77777777" w:rsidR="00335619" w:rsidRPr="0023367D" w:rsidRDefault="00335619" w:rsidP="00335619">
            <w:pPr>
              <w:spacing w:after="160" w:line="259" w:lineRule="auto"/>
              <w:jc w:val="center"/>
              <w:rPr>
                <w:rFonts w:eastAsia="Calibri"/>
                <w:bCs/>
                <w:color w:val="000000"/>
                <w:sz w:val="19"/>
                <w:szCs w:val="19"/>
                <w:lang w:bidi="he-IL"/>
              </w:rPr>
            </w:pPr>
            <w:r w:rsidRPr="0023367D">
              <w:rPr>
                <w:rFonts w:eastAsia="Calibri"/>
                <w:color w:val="000000"/>
                <w:sz w:val="19"/>
                <w:szCs w:val="19"/>
                <w:lang w:bidi="he-IL"/>
              </w:rPr>
              <w:t>N</w:t>
            </w:r>
          </w:p>
        </w:tc>
        <w:tc>
          <w:tcPr>
            <w:tcW w:w="2038" w:type="dxa"/>
            <w:gridSpan w:val="2"/>
            <w:tcBorders>
              <w:top w:val="single" w:sz="4" w:space="0" w:color="auto"/>
              <w:left w:val="nil"/>
              <w:bottom w:val="single" w:sz="8" w:space="0" w:color="auto"/>
              <w:right w:val="single" w:sz="8" w:space="0" w:color="auto"/>
            </w:tcBorders>
            <w:shd w:val="clear" w:color="auto" w:fill="auto"/>
            <w:vAlign w:val="center"/>
          </w:tcPr>
          <w:p w14:paraId="09D4C8F7" w14:textId="77777777" w:rsidR="00335619" w:rsidRPr="0023367D" w:rsidRDefault="00335619" w:rsidP="002F0ECE">
            <w:pPr>
              <w:spacing w:line="259" w:lineRule="auto"/>
              <w:contextualSpacing/>
              <w:jc w:val="center"/>
              <w:rPr>
                <w:rFonts w:eastAsia="Calibri"/>
                <w:bCs/>
                <w:color w:val="000000"/>
                <w:sz w:val="19"/>
                <w:szCs w:val="19"/>
                <w:lang w:bidi="he-IL"/>
              </w:rPr>
            </w:pPr>
            <w:r w:rsidRPr="0023367D">
              <w:rPr>
                <w:rFonts w:eastAsia="Calibri"/>
                <w:bCs/>
                <w:color w:val="000000"/>
                <w:sz w:val="19"/>
                <w:szCs w:val="19"/>
                <w:lang w:bidi="he-IL"/>
              </w:rPr>
              <w:t xml:space="preserve">Bond Valuation </w:t>
            </w:r>
            <w:r w:rsidR="002F0ECE" w:rsidRPr="0023367D">
              <w:rPr>
                <w:rFonts w:eastAsia="Calibri"/>
                <w:bCs/>
                <w:color w:val="000000"/>
                <w:sz w:val="19"/>
                <w:szCs w:val="19"/>
                <w:vertAlign w:val="superscript"/>
                <w:lang w:bidi="he-IL"/>
              </w:rPr>
              <w:t>(b)</w:t>
            </w:r>
            <w:r w:rsidRPr="0023367D">
              <w:rPr>
                <w:rFonts w:eastAsia="Calibri"/>
                <w:bCs/>
                <w:color w:val="000000"/>
                <w:sz w:val="19"/>
                <w:szCs w:val="19"/>
                <w:lang w:bidi="he-IL"/>
              </w:rPr>
              <w:t xml:space="preserve"> </w:t>
            </w:r>
          </w:p>
        </w:tc>
        <w:tc>
          <w:tcPr>
            <w:tcW w:w="1292" w:type="dxa"/>
            <w:tcBorders>
              <w:top w:val="single" w:sz="4" w:space="0" w:color="auto"/>
              <w:left w:val="nil"/>
              <w:bottom w:val="single" w:sz="8" w:space="0" w:color="auto"/>
              <w:right w:val="single" w:sz="12" w:space="0" w:color="auto"/>
            </w:tcBorders>
            <w:vAlign w:val="center"/>
          </w:tcPr>
          <w:p w14:paraId="432E68DF" w14:textId="77777777" w:rsidR="00335619" w:rsidRPr="0023367D" w:rsidRDefault="00335619" w:rsidP="002F0ECE">
            <w:pPr>
              <w:spacing w:after="160" w:line="259" w:lineRule="auto"/>
              <w:contextualSpacing/>
              <w:jc w:val="center"/>
              <w:rPr>
                <w:rFonts w:eastAsia="Calibri"/>
                <w:bCs/>
                <w:color w:val="000000"/>
                <w:sz w:val="19"/>
                <w:szCs w:val="19"/>
                <w:vertAlign w:val="superscript"/>
                <w:lang w:bidi="he-IL"/>
              </w:rPr>
            </w:pPr>
            <w:r w:rsidRPr="0023367D">
              <w:rPr>
                <w:rFonts w:eastAsia="Calibri"/>
                <w:bCs/>
                <w:color w:val="000000"/>
                <w:sz w:val="19"/>
                <w:szCs w:val="19"/>
                <w:lang w:bidi="he-IL"/>
              </w:rPr>
              <w:t xml:space="preserve">Stock </w:t>
            </w:r>
            <w:r w:rsidR="002F0ECE" w:rsidRPr="0023367D">
              <w:rPr>
                <w:rFonts w:eastAsia="Calibri"/>
                <w:bCs/>
                <w:color w:val="000000"/>
                <w:sz w:val="19"/>
                <w:szCs w:val="19"/>
                <w:lang w:bidi="he-IL"/>
              </w:rPr>
              <w:t xml:space="preserve">Valuation </w:t>
            </w:r>
            <w:r w:rsidR="002F0ECE" w:rsidRPr="0023367D">
              <w:rPr>
                <w:rFonts w:eastAsia="Calibri"/>
                <w:bCs/>
                <w:color w:val="000000"/>
                <w:sz w:val="19"/>
                <w:szCs w:val="19"/>
                <w:vertAlign w:val="superscript"/>
                <w:lang w:bidi="he-IL"/>
              </w:rPr>
              <w:t>(c)</w:t>
            </w:r>
          </w:p>
        </w:tc>
        <w:tc>
          <w:tcPr>
            <w:tcW w:w="720" w:type="dxa"/>
            <w:vMerge w:val="restart"/>
            <w:tcBorders>
              <w:top w:val="single" w:sz="4" w:space="0" w:color="auto"/>
              <w:left w:val="single" w:sz="12" w:space="0" w:color="auto"/>
              <w:bottom w:val="single" w:sz="4" w:space="0" w:color="auto"/>
              <w:right w:val="single" w:sz="4" w:space="0" w:color="auto"/>
            </w:tcBorders>
            <w:shd w:val="clear" w:color="auto" w:fill="auto"/>
            <w:vAlign w:val="center"/>
          </w:tcPr>
          <w:p w14:paraId="667A153E" w14:textId="77777777" w:rsidR="00335619" w:rsidRPr="0023367D" w:rsidRDefault="00335619" w:rsidP="00335619">
            <w:pPr>
              <w:spacing w:after="160" w:line="259" w:lineRule="auto"/>
              <w:jc w:val="center"/>
              <w:rPr>
                <w:rFonts w:eastAsia="Calibri"/>
                <w:bCs/>
                <w:color w:val="000000"/>
                <w:sz w:val="19"/>
                <w:szCs w:val="19"/>
                <w:lang w:bidi="he-IL"/>
              </w:rPr>
            </w:pPr>
            <w:r w:rsidRPr="0023367D">
              <w:rPr>
                <w:rFonts w:eastAsia="Calibri"/>
                <w:color w:val="000000"/>
                <w:sz w:val="19"/>
                <w:szCs w:val="19"/>
                <w:lang w:bidi="he-IL"/>
              </w:rPr>
              <w:t>N</w:t>
            </w:r>
          </w:p>
        </w:tc>
        <w:tc>
          <w:tcPr>
            <w:tcW w:w="2250" w:type="dxa"/>
            <w:gridSpan w:val="2"/>
            <w:tcBorders>
              <w:top w:val="single" w:sz="8" w:space="0" w:color="auto"/>
              <w:left w:val="single" w:sz="4" w:space="0" w:color="auto"/>
              <w:bottom w:val="single" w:sz="8" w:space="0" w:color="auto"/>
              <w:right w:val="single" w:sz="8" w:space="0" w:color="auto"/>
            </w:tcBorders>
            <w:shd w:val="clear" w:color="auto" w:fill="auto"/>
            <w:vAlign w:val="center"/>
          </w:tcPr>
          <w:p w14:paraId="748DCA61" w14:textId="77777777" w:rsidR="00335619" w:rsidRPr="0023367D" w:rsidRDefault="00335619" w:rsidP="002F0ECE">
            <w:pPr>
              <w:spacing w:line="259" w:lineRule="auto"/>
              <w:contextualSpacing/>
              <w:jc w:val="center"/>
              <w:rPr>
                <w:rFonts w:eastAsia="Calibri"/>
                <w:bCs/>
                <w:color w:val="000000"/>
                <w:sz w:val="19"/>
                <w:szCs w:val="19"/>
                <w:vertAlign w:val="superscript"/>
                <w:lang w:bidi="he-IL"/>
              </w:rPr>
            </w:pPr>
            <w:r w:rsidRPr="0023367D">
              <w:rPr>
                <w:rFonts w:eastAsia="Calibri"/>
                <w:bCs/>
                <w:color w:val="000000"/>
                <w:sz w:val="19"/>
                <w:szCs w:val="19"/>
                <w:lang w:bidi="he-IL"/>
              </w:rPr>
              <w:t xml:space="preserve">Bond Valuation </w:t>
            </w:r>
            <w:r w:rsidR="002F0ECE" w:rsidRPr="0023367D">
              <w:rPr>
                <w:rFonts w:eastAsia="Calibri"/>
                <w:bCs/>
                <w:color w:val="000000"/>
                <w:sz w:val="19"/>
                <w:szCs w:val="19"/>
                <w:vertAlign w:val="superscript"/>
                <w:lang w:bidi="he-IL"/>
              </w:rPr>
              <w:t>(b)</w:t>
            </w:r>
          </w:p>
        </w:tc>
        <w:tc>
          <w:tcPr>
            <w:tcW w:w="1260" w:type="dxa"/>
            <w:tcBorders>
              <w:top w:val="single" w:sz="4" w:space="0" w:color="auto"/>
              <w:left w:val="nil"/>
              <w:bottom w:val="single" w:sz="8" w:space="0" w:color="auto"/>
              <w:right w:val="single" w:sz="8" w:space="0" w:color="auto"/>
            </w:tcBorders>
            <w:shd w:val="clear" w:color="auto" w:fill="auto"/>
            <w:noWrap/>
            <w:vAlign w:val="center"/>
          </w:tcPr>
          <w:p w14:paraId="7E99E9CA" w14:textId="77777777" w:rsidR="00335619" w:rsidRPr="0023367D" w:rsidRDefault="00335619" w:rsidP="002F0ECE">
            <w:pPr>
              <w:jc w:val="center"/>
              <w:rPr>
                <w:color w:val="000000"/>
                <w:sz w:val="19"/>
                <w:szCs w:val="19"/>
                <w:vertAlign w:val="superscript"/>
              </w:rPr>
            </w:pPr>
            <w:r w:rsidRPr="0023367D">
              <w:rPr>
                <w:color w:val="000000"/>
                <w:sz w:val="19"/>
                <w:szCs w:val="19"/>
              </w:rPr>
              <w:t xml:space="preserve">Stock </w:t>
            </w:r>
            <w:r w:rsidR="002F0ECE" w:rsidRPr="0023367D">
              <w:rPr>
                <w:color w:val="000000"/>
                <w:sz w:val="19"/>
                <w:szCs w:val="19"/>
              </w:rPr>
              <w:t xml:space="preserve">Valuation </w:t>
            </w:r>
            <w:r w:rsidR="002F0ECE" w:rsidRPr="0023367D">
              <w:rPr>
                <w:color w:val="000000"/>
                <w:sz w:val="19"/>
                <w:szCs w:val="19"/>
                <w:vertAlign w:val="superscript"/>
              </w:rPr>
              <w:t>(c)</w:t>
            </w:r>
          </w:p>
        </w:tc>
      </w:tr>
      <w:tr w:rsidR="00335619" w:rsidRPr="0023367D" w14:paraId="3C729BDA" w14:textId="77777777" w:rsidTr="00D240E6">
        <w:trPr>
          <w:trHeight w:hRule="exact" w:val="288"/>
        </w:trPr>
        <w:tc>
          <w:tcPr>
            <w:tcW w:w="1548" w:type="dxa"/>
            <w:vMerge/>
            <w:tcBorders>
              <w:left w:val="single" w:sz="8" w:space="0" w:color="auto"/>
              <w:bottom w:val="single" w:sz="8" w:space="0" w:color="auto"/>
              <w:right w:val="single" w:sz="8" w:space="0" w:color="auto"/>
            </w:tcBorders>
            <w:shd w:val="clear" w:color="auto" w:fill="auto"/>
            <w:noWrap/>
            <w:vAlign w:val="center"/>
          </w:tcPr>
          <w:p w14:paraId="43C59BF3" w14:textId="77777777" w:rsidR="00335619" w:rsidRPr="0023367D" w:rsidRDefault="00335619" w:rsidP="00335619">
            <w:pPr>
              <w:jc w:val="center"/>
              <w:rPr>
                <w:bCs/>
                <w:color w:val="000000"/>
                <w:sz w:val="19"/>
                <w:szCs w:val="19"/>
                <w:lang w:bidi="he-IL"/>
              </w:rPr>
            </w:pPr>
          </w:p>
        </w:tc>
        <w:tc>
          <w:tcPr>
            <w:tcW w:w="900" w:type="dxa"/>
            <w:vMerge/>
            <w:tcBorders>
              <w:left w:val="nil"/>
              <w:bottom w:val="single" w:sz="8" w:space="0" w:color="auto"/>
              <w:right w:val="single" w:sz="8" w:space="0" w:color="auto"/>
            </w:tcBorders>
            <w:shd w:val="clear" w:color="auto" w:fill="auto"/>
            <w:noWrap/>
            <w:vAlign w:val="center"/>
          </w:tcPr>
          <w:p w14:paraId="0EFC8230" w14:textId="77777777" w:rsidR="00335619" w:rsidRPr="0023367D" w:rsidRDefault="00335619" w:rsidP="00335619">
            <w:pPr>
              <w:spacing w:after="160" w:line="259" w:lineRule="auto"/>
              <w:jc w:val="center"/>
              <w:rPr>
                <w:rFonts w:eastAsia="Calibri"/>
                <w:color w:val="000000"/>
                <w:sz w:val="19"/>
                <w:szCs w:val="19"/>
                <w:lang w:bidi="he-IL"/>
              </w:rPr>
            </w:pPr>
          </w:p>
        </w:tc>
        <w:tc>
          <w:tcPr>
            <w:tcW w:w="971" w:type="dxa"/>
            <w:tcBorders>
              <w:top w:val="single" w:sz="8" w:space="0" w:color="auto"/>
              <w:left w:val="nil"/>
              <w:bottom w:val="single" w:sz="8" w:space="0" w:color="auto"/>
              <w:right w:val="single" w:sz="8" w:space="0" w:color="auto"/>
            </w:tcBorders>
            <w:shd w:val="clear" w:color="auto" w:fill="auto"/>
            <w:noWrap/>
            <w:vAlign w:val="center"/>
          </w:tcPr>
          <w:p w14:paraId="081B14CD" w14:textId="77777777" w:rsidR="00335619" w:rsidRPr="0023367D" w:rsidRDefault="00335619" w:rsidP="00335619">
            <w:pPr>
              <w:spacing w:after="160" w:line="259" w:lineRule="auto"/>
              <w:jc w:val="center"/>
              <w:rPr>
                <w:rFonts w:eastAsia="Calibri"/>
                <w:color w:val="000000"/>
                <w:sz w:val="19"/>
                <w:szCs w:val="19"/>
                <w:vertAlign w:val="subscript"/>
                <w:lang w:bidi="he-IL"/>
              </w:rPr>
            </w:pPr>
            <w:r w:rsidRPr="0023367D">
              <w:rPr>
                <w:rFonts w:eastAsia="Calibri"/>
                <w:color w:val="000000"/>
                <w:sz w:val="19"/>
                <w:szCs w:val="19"/>
                <w:lang w:bidi="he-IL"/>
              </w:rPr>
              <w:t>Adj. R</w:t>
            </w:r>
            <w:r w:rsidRPr="0023367D">
              <w:rPr>
                <w:rFonts w:eastAsia="Calibri"/>
                <w:color w:val="000000"/>
                <w:sz w:val="19"/>
                <w:szCs w:val="19"/>
                <w:vertAlign w:val="superscript"/>
                <w:lang w:bidi="he-IL"/>
              </w:rPr>
              <w:t>2</w:t>
            </w:r>
          </w:p>
        </w:tc>
        <w:tc>
          <w:tcPr>
            <w:tcW w:w="1067" w:type="dxa"/>
            <w:tcBorders>
              <w:top w:val="single" w:sz="8" w:space="0" w:color="auto"/>
              <w:left w:val="nil"/>
              <w:bottom w:val="single" w:sz="8" w:space="0" w:color="auto"/>
              <w:right w:val="single" w:sz="8" w:space="0" w:color="auto"/>
            </w:tcBorders>
            <w:shd w:val="clear" w:color="auto" w:fill="auto"/>
            <w:vAlign w:val="center"/>
          </w:tcPr>
          <w:p w14:paraId="11F9BA24" w14:textId="77777777" w:rsidR="00335619" w:rsidRPr="0023367D" w:rsidRDefault="00335619" w:rsidP="002F0ECE">
            <w:pPr>
              <w:spacing w:after="160" w:line="259" w:lineRule="auto"/>
              <w:jc w:val="center"/>
              <w:rPr>
                <w:rFonts w:eastAsia="Calibri"/>
                <w:bCs/>
                <w:color w:val="000000"/>
                <w:sz w:val="19"/>
                <w:szCs w:val="19"/>
                <w:lang w:bidi="he-IL"/>
              </w:rPr>
            </w:pPr>
            <w:r w:rsidRPr="0023367D">
              <w:rPr>
                <w:rFonts w:eastAsia="Calibri"/>
                <w:color w:val="000000"/>
                <w:sz w:val="19"/>
                <w:szCs w:val="19"/>
                <w:lang w:bidi="he-IL"/>
              </w:rPr>
              <w:t>R</w:t>
            </w:r>
            <w:r w:rsidRPr="0023367D">
              <w:rPr>
                <w:rFonts w:eastAsia="Calibri"/>
                <w:color w:val="000000"/>
                <w:sz w:val="19"/>
                <w:szCs w:val="19"/>
                <w:vertAlign w:val="superscript"/>
                <w:lang w:bidi="he-IL"/>
              </w:rPr>
              <w:t>2</w:t>
            </w:r>
            <w:r w:rsidRPr="0023367D">
              <w:rPr>
                <w:rFonts w:eastAsia="Calibri"/>
                <w:color w:val="000000"/>
                <w:sz w:val="19"/>
                <w:szCs w:val="19"/>
                <w:vertAlign w:val="subscript"/>
                <w:lang w:bidi="he-IL"/>
              </w:rPr>
              <w:t xml:space="preserve">ACCT </w:t>
            </w:r>
            <w:r w:rsidRPr="0023367D">
              <w:rPr>
                <w:rFonts w:eastAsia="Calibri"/>
                <w:color w:val="000000"/>
                <w:sz w:val="19"/>
                <w:szCs w:val="19"/>
                <w:vertAlign w:val="superscript"/>
                <w:lang w:bidi="he-IL"/>
              </w:rPr>
              <w:t>(</w:t>
            </w:r>
            <w:r w:rsidR="002F0ECE" w:rsidRPr="0023367D">
              <w:rPr>
                <w:rFonts w:eastAsia="Calibri"/>
                <w:color w:val="000000"/>
                <w:sz w:val="19"/>
                <w:szCs w:val="19"/>
                <w:vertAlign w:val="superscript"/>
                <w:lang w:bidi="he-IL"/>
              </w:rPr>
              <w:t>d</w:t>
            </w:r>
            <w:r w:rsidRPr="0023367D">
              <w:rPr>
                <w:rFonts w:eastAsia="Calibri"/>
                <w:color w:val="000000"/>
                <w:sz w:val="19"/>
                <w:szCs w:val="19"/>
                <w:vertAlign w:val="superscript"/>
                <w:lang w:bidi="he-IL"/>
              </w:rPr>
              <w:t>)</w:t>
            </w:r>
          </w:p>
        </w:tc>
        <w:tc>
          <w:tcPr>
            <w:tcW w:w="1292" w:type="dxa"/>
            <w:tcBorders>
              <w:top w:val="single" w:sz="8" w:space="0" w:color="auto"/>
              <w:left w:val="nil"/>
              <w:bottom w:val="single" w:sz="8" w:space="0" w:color="auto"/>
              <w:right w:val="single" w:sz="12" w:space="0" w:color="auto"/>
            </w:tcBorders>
            <w:vAlign w:val="center"/>
          </w:tcPr>
          <w:p w14:paraId="3466BD5D" w14:textId="77777777" w:rsidR="00335619" w:rsidRPr="0023367D" w:rsidRDefault="00335619" w:rsidP="00335619">
            <w:pPr>
              <w:spacing w:after="160" w:line="259" w:lineRule="auto"/>
              <w:jc w:val="center"/>
              <w:rPr>
                <w:rFonts w:eastAsia="Calibri"/>
                <w:color w:val="000000"/>
                <w:sz w:val="19"/>
                <w:szCs w:val="19"/>
                <w:lang w:bidi="he-IL"/>
              </w:rPr>
            </w:pPr>
            <w:r w:rsidRPr="0023367D">
              <w:rPr>
                <w:rFonts w:eastAsia="Calibri"/>
                <w:color w:val="000000"/>
                <w:sz w:val="19"/>
                <w:szCs w:val="19"/>
                <w:lang w:bidi="he-IL"/>
              </w:rPr>
              <w:t>Adj. R</w:t>
            </w:r>
            <w:r w:rsidRPr="0023367D">
              <w:rPr>
                <w:rFonts w:eastAsia="Calibri"/>
                <w:color w:val="000000"/>
                <w:sz w:val="19"/>
                <w:szCs w:val="19"/>
                <w:vertAlign w:val="superscript"/>
                <w:lang w:bidi="he-IL"/>
              </w:rPr>
              <w:t>2</w:t>
            </w:r>
          </w:p>
        </w:tc>
        <w:tc>
          <w:tcPr>
            <w:tcW w:w="720" w:type="dxa"/>
            <w:vMerge/>
            <w:tcBorders>
              <w:left w:val="single" w:sz="12" w:space="0" w:color="auto"/>
              <w:bottom w:val="single" w:sz="4" w:space="0" w:color="auto"/>
              <w:right w:val="single" w:sz="4" w:space="0" w:color="auto"/>
            </w:tcBorders>
            <w:shd w:val="clear" w:color="auto" w:fill="auto"/>
            <w:vAlign w:val="center"/>
          </w:tcPr>
          <w:p w14:paraId="647B5ACC" w14:textId="77777777" w:rsidR="00335619" w:rsidRPr="0023367D" w:rsidRDefault="00335619" w:rsidP="00335619">
            <w:pPr>
              <w:spacing w:after="160" w:line="259" w:lineRule="auto"/>
              <w:jc w:val="center"/>
              <w:rPr>
                <w:rFonts w:eastAsia="Calibri"/>
                <w:color w:val="000000"/>
                <w:sz w:val="19"/>
                <w:szCs w:val="19"/>
                <w:lang w:bidi="he-IL"/>
              </w:rPr>
            </w:pPr>
          </w:p>
        </w:tc>
        <w:tc>
          <w:tcPr>
            <w:tcW w:w="1176" w:type="dxa"/>
            <w:tcBorders>
              <w:top w:val="single" w:sz="8" w:space="0" w:color="auto"/>
              <w:left w:val="single" w:sz="4" w:space="0" w:color="auto"/>
              <w:bottom w:val="single" w:sz="8" w:space="0" w:color="auto"/>
              <w:right w:val="single" w:sz="8" w:space="0" w:color="auto"/>
            </w:tcBorders>
            <w:shd w:val="clear" w:color="auto" w:fill="auto"/>
            <w:vAlign w:val="center"/>
          </w:tcPr>
          <w:p w14:paraId="6B571EEC" w14:textId="77777777" w:rsidR="00335619" w:rsidRPr="0023367D" w:rsidRDefault="00335619" w:rsidP="00335619">
            <w:pPr>
              <w:spacing w:after="160" w:line="259" w:lineRule="auto"/>
              <w:jc w:val="center"/>
              <w:rPr>
                <w:rFonts w:eastAsia="Calibri"/>
                <w:color w:val="000000"/>
                <w:sz w:val="19"/>
                <w:szCs w:val="19"/>
                <w:vertAlign w:val="subscript"/>
                <w:lang w:bidi="he-IL"/>
              </w:rPr>
            </w:pPr>
            <w:r w:rsidRPr="0023367D">
              <w:rPr>
                <w:rFonts w:eastAsia="Calibri"/>
                <w:color w:val="000000"/>
                <w:sz w:val="19"/>
                <w:szCs w:val="19"/>
                <w:lang w:bidi="he-IL"/>
              </w:rPr>
              <w:t>Adj. R</w:t>
            </w:r>
            <w:r w:rsidRPr="0023367D">
              <w:rPr>
                <w:rFonts w:eastAsia="Calibri"/>
                <w:color w:val="000000"/>
                <w:sz w:val="19"/>
                <w:szCs w:val="19"/>
                <w:vertAlign w:val="superscript"/>
                <w:lang w:bidi="he-IL"/>
              </w:rPr>
              <w:t>2</w:t>
            </w:r>
          </w:p>
        </w:tc>
        <w:tc>
          <w:tcPr>
            <w:tcW w:w="1074" w:type="dxa"/>
            <w:tcBorders>
              <w:top w:val="single" w:sz="8" w:space="0" w:color="auto"/>
              <w:left w:val="nil"/>
              <w:bottom w:val="single" w:sz="8" w:space="0" w:color="auto"/>
              <w:right w:val="single" w:sz="8" w:space="0" w:color="auto"/>
            </w:tcBorders>
            <w:shd w:val="clear" w:color="auto" w:fill="auto"/>
            <w:vAlign w:val="center"/>
          </w:tcPr>
          <w:p w14:paraId="084A2346" w14:textId="77777777" w:rsidR="00335619" w:rsidRPr="0023367D" w:rsidRDefault="00335619" w:rsidP="002F0ECE">
            <w:pPr>
              <w:spacing w:after="160" w:line="259" w:lineRule="auto"/>
              <w:jc w:val="center"/>
              <w:rPr>
                <w:rFonts w:eastAsia="Calibri"/>
                <w:bCs/>
                <w:color w:val="000000"/>
                <w:sz w:val="19"/>
                <w:szCs w:val="19"/>
                <w:lang w:bidi="he-IL"/>
              </w:rPr>
            </w:pPr>
            <w:r w:rsidRPr="0023367D">
              <w:rPr>
                <w:rFonts w:eastAsia="Calibri"/>
                <w:color w:val="000000"/>
                <w:sz w:val="19"/>
                <w:szCs w:val="19"/>
                <w:lang w:bidi="he-IL"/>
              </w:rPr>
              <w:t>R</w:t>
            </w:r>
            <w:r w:rsidRPr="0023367D">
              <w:rPr>
                <w:rFonts w:eastAsia="Calibri"/>
                <w:color w:val="000000"/>
                <w:sz w:val="19"/>
                <w:szCs w:val="19"/>
                <w:vertAlign w:val="superscript"/>
                <w:lang w:bidi="he-IL"/>
              </w:rPr>
              <w:t>2</w:t>
            </w:r>
            <w:r w:rsidRPr="0023367D">
              <w:rPr>
                <w:rFonts w:eastAsia="Calibri"/>
                <w:color w:val="000000"/>
                <w:sz w:val="19"/>
                <w:szCs w:val="19"/>
                <w:vertAlign w:val="subscript"/>
                <w:lang w:bidi="he-IL"/>
              </w:rPr>
              <w:t xml:space="preserve">ACCT </w:t>
            </w:r>
            <w:r w:rsidRPr="0023367D">
              <w:rPr>
                <w:rFonts w:eastAsia="Calibri"/>
                <w:color w:val="000000"/>
                <w:sz w:val="19"/>
                <w:szCs w:val="19"/>
                <w:vertAlign w:val="superscript"/>
                <w:lang w:bidi="he-IL"/>
              </w:rPr>
              <w:t>(</w:t>
            </w:r>
            <w:r w:rsidR="002F0ECE" w:rsidRPr="0023367D">
              <w:rPr>
                <w:rFonts w:eastAsia="Calibri"/>
                <w:color w:val="000000"/>
                <w:sz w:val="19"/>
                <w:szCs w:val="19"/>
                <w:vertAlign w:val="superscript"/>
                <w:lang w:bidi="he-IL"/>
              </w:rPr>
              <w:t>d</w:t>
            </w:r>
            <w:r w:rsidRPr="0023367D">
              <w:rPr>
                <w:rFonts w:eastAsia="Calibri"/>
                <w:color w:val="000000"/>
                <w:sz w:val="19"/>
                <w:szCs w:val="19"/>
                <w:vertAlign w:val="superscript"/>
                <w:lang w:bidi="he-IL"/>
              </w:rPr>
              <w:t>)</w:t>
            </w:r>
          </w:p>
        </w:tc>
        <w:tc>
          <w:tcPr>
            <w:tcW w:w="1260" w:type="dxa"/>
            <w:tcBorders>
              <w:top w:val="single" w:sz="8" w:space="0" w:color="auto"/>
              <w:left w:val="nil"/>
              <w:bottom w:val="single" w:sz="8" w:space="0" w:color="auto"/>
              <w:right w:val="single" w:sz="8" w:space="0" w:color="auto"/>
            </w:tcBorders>
            <w:shd w:val="clear" w:color="auto" w:fill="auto"/>
            <w:noWrap/>
            <w:vAlign w:val="center"/>
          </w:tcPr>
          <w:p w14:paraId="1F37D853" w14:textId="77777777" w:rsidR="00335619" w:rsidRPr="0023367D" w:rsidRDefault="00335619" w:rsidP="00335619">
            <w:pPr>
              <w:jc w:val="center"/>
              <w:rPr>
                <w:color w:val="000000"/>
                <w:sz w:val="19"/>
                <w:szCs w:val="19"/>
              </w:rPr>
            </w:pPr>
            <w:r w:rsidRPr="0023367D">
              <w:rPr>
                <w:rFonts w:eastAsia="Calibri"/>
                <w:color w:val="000000"/>
                <w:sz w:val="19"/>
                <w:szCs w:val="19"/>
                <w:lang w:bidi="he-IL"/>
              </w:rPr>
              <w:t>Adj. R</w:t>
            </w:r>
            <w:r w:rsidRPr="0023367D">
              <w:rPr>
                <w:rFonts w:eastAsia="Calibri"/>
                <w:color w:val="000000"/>
                <w:sz w:val="19"/>
                <w:szCs w:val="19"/>
                <w:vertAlign w:val="superscript"/>
                <w:lang w:bidi="he-IL"/>
              </w:rPr>
              <w:t>2</w:t>
            </w:r>
          </w:p>
        </w:tc>
      </w:tr>
      <w:tr w:rsidR="00335619" w:rsidRPr="0023367D" w14:paraId="63F20E3F" w14:textId="77777777" w:rsidTr="00D240E6">
        <w:trPr>
          <w:trHeight w:val="160"/>
        </w:trPr>
        <w:tc>
          <w:tcPr>
            <w:tcW w:w="154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3D1E0C6" w14:textId="77777777" w:rsidR="00335619" w:rsidRPr="0023367D" w:rsidRDefault="00335619" w:rsidP="00335619">
            <w:pPr>
              <w:jc w:val="center"/>
              <w:rPr>
                <w:color w:val="000000"/>
                <w:sz w:val="19"/>
                <w:szCs w:val="19"/>
              </w:rPr>
            </w:pPr>
            <w:r w:rsidRPr="0023367D">
              <w:rPr>
                <w:bCs/>
                <w:color w:val="000000"/>
                <w:sz w:val="19"/>
                <w:szCs w:val="19"/>
                <w:lang w:bidi="he-IL"/>
              </w:rPr>
              <w:t>All firm-years</w:t>
            </w:r>
          </w:p>
        </w:tc>
        <w:tc>
          <w:tcPr>
            <w:tcW w:w="900" w:type="dxa"/>
            <w:tcBorders>
              <w:top w:val="single" w:sz="8" w:space="0" w:color="auto"/>
              <w:left w:val="nil"/>
              <w:bottom w:val="single" w:sz="8" w:space="0" w:color="auto"/>
              <w:right w:val="single" w:sz="8" w:space="0" w:color="auto"/>
            </w:tcBorders>
            <w:shd w:val="clear" w:color="auto" w:fill="auto"/>
            <w:noWrap/>
            <w:vAlign w:val="center"/>
          </w:tcPr>
          <w:p w14:paraId="75A8D8F4" w14:textId="77777777" w:rsidR="00335619" w:rsidRPr="003D36EE" w:rsidRDefault="00335619" w:rsidP="00D240E6">
            <w:pPr>
              <w:rPr>
                <w:color w:val="000000"/>
                <w:sz w:val="19"/>
                <w:szCs w:val="19"/>
              </w:rPr>
            </w:pPr>
            <w:r w:rsidRPr="003D36EE">
              <w:rPr>
                <w:color w:val="000000"/>
                <w:sz w:val="19"/>
                <w:szCs w:val="19"/>
              </w:rPr>
              <w:t>19,732</w:t>
            </w:r>
            <w:r w:rsidR="00D240E6" w:rsidRPr="003D36EE">
              <w:rPr>
                <w:color w:val="000000"/>
                <w:sz w:val="19"/>
                <w:szCs w:val="19"/>
                <w:vertAlign w:val="superscript"/>
              </w:rPr>
              <w:t>(f)</w:t>
            </w:r>
          </w:p>
        </w:tc>
        <w:tc>
          <w:tcPr>
            <w:tcW w:w="971" w:type="dxa"/>
            <w:tcBorders>
              <w:top w:val="single" w:sz="8" w:space="0" w:color="auto"/>
              <w:left w:val="nil"/>
              <w:bottom w:val="single" w:sz="8" w:space="0" w:color="auto"/>
              <w:right w:val="single" w:sz="8" w:space="0" w:color="auto"/>
            </w:tcBorders>
            <w:shd w:val="clear" w:color="auto" w:fill="auto"/>
            <w:noWrap/>
            <w:vAlign w:val="center"/>
          </w:tcPr>
          <w:p w14:paraId="6997FE5A" w14:textId="77777777" w:rsidR="00335619" w:rsidRPr="0023367D" w:rsidRDefault="00335619" w:rsidP="00335619">
            <w:pPr>
              <w:jc w:val="center"/>
              <w:rPr>
                <w:color w:val="000000"/>
                <w:sz w:val="19"/>
                <w:szCs w:val="19"/>
              </w:rPr>
            </w:pPr>
            <w:r w:rsidRPr="0023367D">
              <w:rPr>
                <w:color w:val="000000"/>
                <w:sz w:val="19"/>
                <w:szCs w:val="19"/>
              </w:rPr>
              <w:t>41.3%</w:t>
            </w:r>
          </w:p>
        </w:tc>
        <w:tc>
          <w:tcPr>
            <w:tcW w:w="1067" w:type="dxa"/>
            <w:tcBorders>
              <w:top w:val="single" w:sz="8" w:space="0" w:color="auto"/>
              <w:left w:val="nil"/>
              <w:bottom w:val="single" w:sz="8" w:space="0" w:color="auto"/>
              <w:right w:val="single" w:sz="8" w:space="0" w:color="auto"/>
            </w:tcBorders>
            <w:shd w:val="clear" w:color="auto" w:fill="auto"/>
            <w:vAlign w:val="center"/>
          </w:tcPr>
          <w:p w14:paraId="0705AA53" w14:textId="77777777" w:rsidR="00335619" w:rsidRPr="0023367D" w:rsidRDefault="00335619" w:rsidP="00335619">
            <w:pPr>
              <w:jc w:val="center"/>
              <w:rPr>
                <w:color w:val="000000"/>
                <w:sz w:val="19"/>
                <w:szCs w:val="19"/>
              </w:rPr>
            </w:pPr>
            <w:r w:rsidRPr="0023367D">
              <w:rPr>
                <w:color w:val="000000"/>
                <w:sz w:val="19"/>
                <w:szCs w:val="19"/>
              </w:rPr>
              <w:t>24.0%</w:t>
            </w:r>
          </w:p>
        </w:tc>
        <w:tc>
          <w:tcPr>
            <w:tcW w:w="1292" w:type="dxa"/>
            <w:tcBorders>
              <w:top w:val="single" w:sz="8" w:space="0" w:color="auto"/>
              <w:left w:val="nil"/>
              <w:bottom w:val="single" w:sz="8" w:space="0" w:color="auto"/>
              <w:right w:val="single" w:sz="12" w:space="0" w:color="auto"/>
            </w:tcBorders>
            <w:vAlign w:val="center"/>
          </w:tcPr>
          <w:p w14:paraId="7F63EDA4" w14:textId="77777777" w:rsidR="00335619" w:rsidRPr="0023367D" w:rsidRDefault="00335619" w:rsidP="00335619">
            <w:pPr>
              <w:jc w:val="center"/>
              <w:rPr>
                <w:color w:val="000000"/>
                <w:sz w:val="19"/>
                <w:szCs w:val="19"/>
              </w:rPr>
            </w:pPr>
            <w:r w:rsidRPr="0023367D">
              <w:rPr>
                <w:color w:val="000000"/>
                <w:sz w:val="19"/>
                <w:szCs w:val="19"/>
              </w:rPr>
              <w:t>45.8 %</w:t>
            </w:r>
          </w:p>
        </w:tc>
        <w:tc>
          <w:tcPr>
            <w:tcW w:w="720" w:type="dxa"/>
            <w:tcBorders>
              <w:top w:val="single" w:sz="8" w:space="0" w:color="auto"/>
              <w:left w:val="single" w:sz="12" w:space="0" w:color="auto"/>
              <w:bottom w:val="single" w:sz="8" w:space="0" w:color="auto"/>
              <w:right w:val="single" w:sz="8" w:space="0" w:color="auto"/>
            </w:tcBorders>
            <w:shd w:val="clear" w:color="auto" w:fill="auto"/>
            <w:vAlign w:val="center"/>
          </w:tcPr>
          <w:p w14:paraId="37A0B553" w14:textId="77777777" w:rsidR="00335619" w:rsidRPr="0023367D" w:rsidRDefault="00335619" w:rsidP="00335619">
            <w:pPr>
              <w:jc w:val="center"/>
              <w:rPr>
                <w:color w:val="000000"/>
                <w:sz w:val="19"/>
                <w:szCs w:val="19"/>
              </w:rPr>
            </w:pPr>
            <w:r w:rsidRPr="0023367D">
              <w:rPr>
                <w:color w:val="000000"/>
                <w:sz w:val="19"/>
                <w:szCs w:val="19"/>
              </w:rPr>
              <w:t>6,414</w:t>
            </w:r>
          </w:p>
        </w:tc>
        <w:tc>
          <w:tcPr>
            <w:tcW w:w="1176" w:type="dxa"/>
            <w:tcBorders>
              <w:top w:val="single" w:sz="8" w:space="0" w:color="auto"/>
              <w:left w:val="nil"/>
              <w:bottom w:val="single" w:sz="8" w:space="0" w:color="auto"/>
              <w:right w:val="single" w:sz="8" w:space="0" w:color="auto"/>
            </w:tcBorders>
            <w:shd w:val="clear" w:color="auto" w:fill="auto"/>
            <w:vAlign w:val="center"/>
          </w:tcPr>
          <w:p w14:paraId="2B58F7A9" w14:textId="77777777" w:rsidR="00335619" w:rsidRPr="0023367D" w:rsidRDefault="00335619" w:rsidP="00335619">
            <w:pPr>
              <w:jc w:val="center"/>
              <w:rPr>
                <w:color w:val="000000"/>
                <w:sz w:val="19"/>
                <w:szCs w:val="19"/>
              </w:rPr>
            </w:pPr>
            <w:r w:rsidRPr="0023367D">
              <w:rPr>
                <w:color w:val="000000"/>
                <w:sz w:val="19"/>
                <w:szCs w:val="19"/>
              </w:rPr>
              <w:t>35.6%</w:t>
            </w:r>
          </w:p>
        </w:tc>
        <w:tc>
          <w:tcPr>
            <w:tcW w:w="1074" w:type="dxa"/>
            <w:tcBorders>
              <w:top w:val="single" w:sz="8" w:space="0" w:color="auto"/>
              <w:left w:val="nil"/>
              <w:bottom w:val="single" w:sz="8" w:space="0" w:color="auto"/>
              <w:right w:val="single" w:sz="8" w:space="0" w:color="auto"/>
            </w:tcBorders>
            <w:shd w:val="clear" w:color="auto" w:fill="auto"/>
            <w:vAlign w:val="center"/>
          </w:tcPr>
          <w:p w14:paraId="0F21E551" w14:textId="77777777" w:rsidR="00335619" w:rsidRPr="0023367D" w:rsidRDefault="00335619" w:rsidP="00335619">
            <w:pPr>
              <w:jc w:val="center"/>
              <w:rPr>
                <w:color w:val="000000"/>
                <w:sz w:val="19"/>
                <w:szCs w:val="19"/>
              </w:rPr>
            </w:pPr>
            <w:r w:rsidRPr="0023367D">
              <w:rPr>
                <w:color w:val="000000"/>
                <w:sz w:val="19"/>
                <w:szCs w:val="19"/>
              </w:rPr>
              <w:t>21.1%</w:t>
            </w:r>
          </w:p>
        </w:tc>
        <w:tc>
          <w:tcPr>
            <w:tcW w:w="1260" w:type="dxa"/>
            <w:tcBorders>
              <w:top w:val="single" w:sz="8" w:space="0" w:color="auto"/>
              <w:left w:val="nil"/>
              <w:bottom w:val="single" w:sz="8" w:space="0" w:color="auto"/>
              <w:right w:val="single" w:sz="4" w:space="0" w:color="auto"/>
            </w:tcBorders>
            <w:shd w:val="clear" w:color="auto" w:fill="auto"/>
            <w:noWrap/>
            <w:vAlign w:val="center"/>
          </w:tcPr>
          <w:p w14:paraId="2266FC84" w14:textId="77777777" w:rsidR="00335619" w:rsidRPr="0023367D" w:rsidRDefault="00335619" w:rsidP="00335619">
            <w:pPr>
              <w:jc w:val="center"/>
              <w:rPr>
                <w:color w:val="000000"/>
                <w:sz w:val="19"/>
                <w:szCs w:val="19"/>
              </w:rPr>
            </w:pPr>
            <w:r w:rsidRPr="0023367D">
              <w:rPr>
                <w:color w:val="000000"/>
                <w:sz w:val="19"/>
                <w:szCs w:val="19"/>
              </w:rPr>
              <w:t>41.3%</w:t>
            </w:r>
          </w:p>
        </w:tc>
      </w:tr>
      <w:tr w:rsidR="00335619" w:rsidRPr="0023367D" w14:paraId="12866484" w14:textId="77777777" w:rsidTr="00D240E6">
        <w:trPr>
          <w:trHeight w:val="349"/>
        </w:trPr>
        <w:tc>
          <w:tcPr>
            <w:tcW w:w="1548" w:type="dxa"/>
            <w:tcBorders>
              <w:top w:val="nil"/>
              <w:left w:val="single" w:sz="8" w:space="0" w:color="auto"/>
              <w:bottom w:val="single" w:sz="12" w:space="0" w:color="auto"/>
              <w:right w:val="single" w:sz="8" w:space="0" w:color="auto"/>
            </w:tcBorders>
            <w:shd w:val="clear" w:color="auto" w:fill="auto"/>
            <w:noWrap/>
            <w:vAlign w:val="center"/>
          </w:tcPr>
          <w:p w14:paraId="58196CDD" w14:textId="77777777" w:rsidR="00335619" w:rsidRPr="0023367D" w:rsidRDefault="00335619" w:rsidP="00335619">
            <w:pPr>
              <w:jc w:val="center"/>
              <w:rPr>
                <w:color w:val="000000"/>
                <w:sz w:val="19"/>
                <w:szCs w:val="19"/>
              </w:rPr>
            </w:pPr>
            <w:r w:rsidRPr="0023367D">
              <w:rPr>
                <w:bCs/>
                <w:color w:val="000000"/>
                <w:sz w:val="19"/>
                <w:szCs w:val="19"/>
                <w:lang w:bidi="he-IL"/>
              </w:rPr>
              <w:t>Mean over years</w:t>
            </w:r>
          </w:p>
        </w:tc>
        <w:tc>
          <w:tcPr>
            <w:tcW w:w="900" w:type="dxa"/>
            <w:tcBorders>
              <w:top w:val="nil"/>
              <w:left w:val="nil"/>
              <w:bottom w:val="single" w:sz="12" w:space="0" w:color="auto"/>
              <w:right w:val="single" w:sz="8" w:space="0" w:color="auto"/>
            </w:tcBorders>
            <w:shd w:val="clear" w:color="auto" w:fill="auto"/>
            <w:noWrap/>
            <w:vAlign w:val="center"/>
          </w:tcPr>
          <w:p w14:paraId="62723C4A" w14:textId="77777777" w:rsidR="00335619" w:rsidRPr="0023367D" w:rsidRDefault="00335619" w:rsidP="00335619">
            <w:pPr>
              <w:jc w:val="center"/>
              <w:rPr>
                <w:color w:val="000000"/>
                <w:sz w:val="19"/>
                <w:szCs w:val="19"/>
              </w:rPr>
            </w:pPr>
            <w:r w:rsidRPr="0023367D">
              <w:rPr>
                <w:color w:val="000000"/>
                <w:sz w:val="19"/>
                <w:szCs w:val="19"/>
                <w:lang w:bidi="he-IL"/>
              </w:rPr>
              <w:t>39</w:t>
            </w:r>
          </w:p>
        </w:tc>
        <w:tc>
          <w:tcPr>
            <w:tcW w:w="971" w:type="dxa"/>
            <w:tcBorders>
              <w:top w:val="nil"/>
              <w:left w:val="nil"/>
              <w:bottom w:val="single" w:sz="12" w:space="0" w:color="auto"/>
              <w:right w:val="single" w:sz="8" w:space="0" w:color="auto"/>
            </w:tcBorders>
            <w:shd w:val="clear" w:color="auto" w:fill="auto"/>
            <w:noWrap/>
            <w:vAlign w:val="center"/>
          </w:tcPr>
          <w:p w14:paraId="537FD333" w14:textId="77777777" w:rsidR="00335619" w:rsidRPr="0023367D" w:rsidRDefault="00335619" w:rsidP="00335619">
            <w:pPr>
              <w:jc w:val="center"/>
              <w:rPr>
                <w:color w:val="000000"/>
                <w:sz w:val="19"/>
                <w:szCs w:val="19"/>
              </w:rPr>
            </w:pPr>
            <w:r w:rsidRPr="0023367D">
              <w:rPr>
                <w:color w:val="000000"/>
                <w:sz w:val="19"/>
                <w:szCs w:val="19"/>
              </w:rPr>
              <w:t>33.5%</w:t>
            </w:r>
          </w:p>
        </w:tc>
        <w:tc>
          <w:tcPr>
            <w:tcW w:w="1067" w:type="dxa"/>
            <w:tcBorders>
              <w:top w:val="nil"/>
              <w:left w:val="nil"/>
              <w:bottom w:val="single" w:sz="12" w:space="0" w:color="auto"/>
              <w:right w:val="single" w:sz="8" w:space="0" w:color="auto"/>
            </w:tcBorders>
            <w:shd w:val="clear" w:color="auto" w:fill="auto"/>
            <w:vAlign w:val="center"/>
          </w:tcPr>
          <w:p w14:paraId="69D63014" w14:textId="77777777" w:rsidR="00335619" w:rsidRPr="0023367D" w:rsidRDefault="00335619" w:rsidP="00335619">
            <w:pPr>
              <w:jc w:val="center"/>
              <w:rPr>
                <w:color w:val="000000"/>
                <w:sz w:val="19"/>
                <w:szCs w:val="19"/>
              </w:rPr>
            </w:pPr>
            <w:r w:rsidRPr="0023367D">
              <w:rPr>
                <w:color w:val="000000"/>
                <w:sz w:val="19"/>
                <w:szCs w:val="19"/>
              </w:rPr>
              <w:t>25.7%</w:t>
            </w:r>
          </w:p>
        </w:tc>
        <w:tc>
          <w:tcPr>
            <w:tcW w:w="1292" w:type="dxa"/>
            <w:tcBorders>
              <w:top w:val="nil"/>
              <w:left w:val="nil"/>
              <w:bottom w:val="single" w:sz="12" w:space="0" w:color="auto"/>
              <w:right w:val="single" w:sz="12" w:space="0" w:color="auto"/>
            </w:tcBorders>
            <w:vAlign w:val="center"/>
          </w:tcPr>
          <w:p w14:paraId="58FF6653" w14:textId="77777777" w:rsidR="00335619" w:rsidRPr="0023367D" w:rsidRDefault="00335619" w:rsidP="00335619">
            <w:pPr>
              <w:jc w:val="center"/>
              <w:rPr>
                <w:color w:val="000000"/>
                <w:sz w:val="19"/>
                <w:szCs w:val="19"/>
              </w:rPr>
            </w:pPr>
            <w:r w:rsidRPr="0023367D">
              <w:rPr>
                <w:color w:val="000000"/>
                <w:sz w:val="19"/>
                <w:szCs w:val="19"/>
              </w:rPr>
              <w:t>58.5%</w:t>
            </w:r>
          </w:p>
        </w:tc>
        <w:tc>
          <w:tcPr>
            <w:tcW w:w="720" w:type="dxa"/>
            <w:tcBorders>
              <w:top w:val="nil"/>
              <w:left w:val="single" w:sz="12" w:space="0" w:color="auto"/>
              <w:bottom w:val="single" w:sz="12" w:space="0" w:color="auto"/>
              <w:right w:val="single" w:sz="8" w:space="0" w:color="auto"/>
            </w:tcBorders>
            <w:shd w:val="clear" w:color="auto" w:fill="auto"/>
            <w:vAlign w:val="center"/>
          </w:tcPr>
          <w:p w14:paraId="5905700B" w14:textId="77777777" w:rsidR="00335619" w:rsidRPr="0023367D" w:rsidRDefault="00335619" w:rsidP="00335619">
            <w:pPr>
              <w:jc w:val="center"/>
              <w:rPr>
                <w:color w:val="000000"/>
                <w:sz w:val="19"/>
                <w:szCs w:val="19"/>
              </w:rPr>
            </w:pPr>
            <w:r w:rsidRPr="0023367D">
              <w:rPr>
                <w:color w:val="000000"/>
                <w:sz w:val="19"/>
                <w:szCs w:val="19"/>
              </w:rPr>
              <w:t>39</w:t>
            </w:r>
          </w:p>
        </w:tc>
        <w:tc>
          <w:tcPr>
            <w:tcW w:w="1176" w:type="dxa"/>
            <w:tcBorders>
              <w:top w:val="nil"/>
              <w:left w:val="nil"/>
              <w:bottom w:val="single" w:sz="12" w:space="0" w:color="auto"/>
              <w:right w:val="single" w:sz="8" w:space="0" w:color="auto"/>
            </w:tcBorders>
            <w:shd w:val="clear" w:color="auto" w:fill="auto"/>
            <w:vAlign w:val="center"/>
          </w:tcPr>
          <w:p w14:paraId="40A8336F" w14:textId="77777777" w:rsidR="00335619" w:rsidRPr="0023367D" w:rsidRDefault="00335619" w:rsidP="00335619">
            <w:pPr>
              <w:jc w:val="center"/>
              <w:rPr>
                <w:color w:val="000000"/>
                <w:sz w:val="19"/>
                <w:szCs w:val="19"/>
              </w:rPr>
            </w:pPr>
            <w:r w:rsidRPr="0023367D">
              <w:rPr>
                <w:color w:val="000000"/>
                <w:sz w:val="19"/>
                <w:szCs w:val="19"/>
              </w:rPr>
              <w:t>33.8%</w:t>
            </w:r>
          </w:p>
        </w:tc>
        <w:tc>
          <w:tcPr>
            <w:tcW w:w="1074" w:type="dxa"/>
            <w:tcBorders>
              <w:top w:val="nil"/>
              <w:left w:val="nil"/>
              <w:bottom w:val="single" w:sz="12" w:space="0" w:color="auto"/>
              <w:right w:val="single" w:sz="8" w:space="0" w:color="auto"/>
            </w:tcBorders>
            <w:shd w:val="clear" w:color="auto" w:fill="auto"/>
            <w:vAlign w:val="center"/>
          </w:tcPr>
          <w:p w14:paraId="0FC9F036" w14:textId="77777777" w:rsidR="00335619" w:rsidRPr="0023367D" w:rsidRDefault="00335619" w:rsidP="00335619">
            <w:pPr>
              <w:jc w:val="center"/>
              <w:rPr>
                <w:color w:val="000000"/>
                <w:sz w:val="19"/>
                <w:szCs w:val="19"/>
              </w:rPr>
            </w:pPr>
            <w:r w:rsidRPr="0023367D">
              <w:rPr>
                <w:color w:val="000000"/>
                <w:sz w:val="19"/>
                <w:szCs w:val="19"/>
              </w:rPr>
              <w:t>25.7%</w:t>
            </w:r>
          </w:p>
        </w:tc>
        <w:tc>
          <w:tcPr>
            <w:tcW w:w="1260" w:type="dxa"/>
            <w:tcBorders>
              <w:top w:val="nil"/>
              <w:left w:val="nil"/>
              <w:bottom w:val="single" w:sz="12" w:space="0" w:color="auto"/>
              <w:right w:val="single" w:sz="4" w:space="0" w:color="auto"/>
            </w:tcBorders>
            <w:shd w:val="clear" w:color="auto" w:fill="auto"/>
            <w:noWrap/>
            <w:vAlign w:val="center"/>
          </w:tcPr>
          <w:p w14:paraId="5110F4A6" w14:textId="77777777" w:rsidR="00335619" w:rsidRPr="0023367D" w:rsidRDefault="00335619" w:rsidP="00335619">
            <w:pPr>
              <w:jc w:val="center"/>
              <w:rPr>
                <w:color w:val="000000"/>
                <w:sz w:val="19"/>
                <w:szCs w:val="19"/>
              </w:rPr>
            </w:pPr>
            <w:r w:rsidRPr="0023367D">
              <w:rPr>
                <w:color w:val="000000"/>
                <w:sz w:val="19"/>
                <w:szCs w:val="19"/>
              </w:rPr>
              <w:t>52.5%</w:t>
            </w:r>
          </w:p>
        </w:tc>
      </w:tr>
      <w:tr w:rsidR="00335619" w:rsidRPr="0023367D" w14:paraId="5E219488" w14:textId="77777777" w:rsidTr="00D240E6">
        <w:trPr>
          <w:trHeight w:val="205"/>
        </w:trPr>
        <w:tc>
          <w:tcPr>
            <w:tcW w:w="1548" w:type="dxa"/>
            <w:tcBorders>
              <w:top w:val="single" w:sz="12" w:space="0" w:color="auto"/>
              <w:left w:val="single" w:sz="8" w:space="0" w:color="auto"/>
              <w:bottom w:val="single" w:sz="8" w:space="0" w:color="auto"/>
              <w:right w:val="single" w:sz="8" w:space="0" w:color="auto"/>
            </w:tcBorders>
            <w:shd w:val="clear" w:color="auto" w:fill="auto"/>
            <w:noWrap/>
            <w:vAlign w:val="center"/>
          </w:tcPr>
          <w:p w14:paraId="48CAD81F" w14:textId="77777777" w:rsidR="00335619" w:rsidRPr="0023367D" w:rsidRDefault="00335619" w:rsidP="00335619">
            <w:pPr>
              <w:jc w:val="center"/>
              <w:rPr>
                <w:color w:val="000000"/>
                <w:sz w:val="19"/>
                <w:szCs w:val="19"/>
              </w:rPr>
            </w:pPr>
            <w:r w:rsidRPr="0023367D">
              <w:rPr>
                <w:bCs/>
                <w:color w:val="000000"/>
                <w:sz w:val="19"/>
                <w:szCs w:val="19"/>
                <w:lang w:bidi="he-IL"/>
              </w:rPr>
              <w:t>1975</w:t>
            </w:r>
          </w:p>
        </w:tc>
        <w:tc>
          <w:tcPr>
            <w:tcW w:w="900" w:type="dxa"/>
            <w:tcBorders>
              <w:top w:val="single" w:sz="12" w:space="0" w:color="auto"/>
              <w:left w:val="nil"/>
              <w:bottom w:val="single" w:sz="8" w:space="0" w:color="auto"/>
              <w:right w:val="single" w:sz="8" w:space="0" w:color="auto"/>
            </w:tcBorders>
            <w:shd w:val="clear" w:color="auto" w:fill="auto"/>
            <w:noWrap/>
            <w:vAlign w:val="center"/>
          </w:tcPr>
          <w:p w14:paraId="28D1F1A2" w14:textId="77777777" w:rsidR="00335619" w:rsidRPr="0023367D" w:rsidRDefault="00335619" w:rsidP="00335619">
            <w:pPr>
              <w:jc w:val="center"/>
              <w:rPr>
                <w:color w:val="000000"/>
                <w:sz w:val="19"/>
                <w:szCs w:val="19"/>
              </w:rPr>
            </w:pPr>
            <w:r w:rsidRPr="0023367D">
              <w:rPr>
                <w:color w:val="000000"/>
                <w:sz w:val="19"/>
                <w:szCs w:val="19"/>
              </w:rPr>
              <w:t>195</w:t>
            </w:r>
          </w:p>
        </w:tc>
        <w:tc>
          <w:tcPr>
            <w:tcW w:w="971" w:type="dxa"/>
            <w:tcBorders>
              <w:top w:val="single" w:sz="12" w:space="0" w:color="auto"/>
              <w:left w:val="nil"/>
              <w:bottom w:val="single" w:sz="8" w:space="0" w:color="auto"/>
              <w:right w:val="single" w:sz="8" w:space="0" w:color="auto"/>
            </w:tcBorders>
            <w:shd w:val="clear" w:color="auto" w:fill="auto"/>
            <w:noWrap/>
            <w:vAlign w:val="center"/>
          </w:tcPr>
          <w:p w14:paraId="192F9B90" w14:textId="77777777" w:rsidR="00335619" w:rsidRPr="0023367D" w:rsidRDefault="00335619" w:rsidP="00335619">
            <w:pPr>
              <w:jc w:val="center"/>
              <w:rPr>
                <w:color w:val="000000"/>
                <w:sz w:val="19"/>
                <w:szCs w:val="19"/>
              </w:rPr>
            </w:pPr>
            <w:r w:rsidRPr="0023367D">
              <w:rPr>
                <w:color w:val="000000"/>
                <w:sz w:val="19"/>
                <w:szCs w:val="19"/>
              </w:rPr>
              <w:t>12.8%</w:t>
            </w:r>
          </w:p>
        </w:tc>
        <w:tc>
          <w:tcPr>
            <w:tcW w:w="1067" w:type="dxa"/>
            <w:tcBorders>
              <w:top w:val="single" w:sz="12" w:space="0" w:color="auto"/>
              <w:left w:val="nil"/>
              <w:bottom w:val="single" w:sz="8" w:space="0" w:color="auto"/>
              <w:right w:val="single" w:sz="8" w:space="0" w:color="auto"/>
            </w:tcBorders>
            <w:shd w:val="clear" w:color="auto" w:fill="auto"/>
            <w:vAlign w:val="center"/>
          </w:tcPr>
          <w:p w14:paraId="526F9045" w14:textId="77777777" w:rsidR="00335619" w:rsidRPr="0023367D" w:rsidRDefault="00335619" w:rsidP="00335619">
            <w:pPr>
              <w:jc w:val="center"/>
              <w:rPr>
                <w:color w:val="000000"/>
                <w:sz w:val="19"/>
                <w:szCs w:val="19"/>
              </w:rPr>
            </w:pPr>
            <w:r w:rsidRPr="0023367D">
              <w:rPr>
                <w:color w:val="000000"/>
                <w:sz w:val="19"/>
                <w:szCs w:val="19"/>
              </w:rPr>
              <w:t>11.1%</w:t>
            </w:r>
          </w:p>
        </w:tc>
        <w:tc>
          <w:tcPr>
            <w:tcW w:w="1292" w:type="dxa"/>
            <w:tcBorders>
              <w:top w:val="single" w:sz="12" w:space="0" w:color="auto"/>
              <w:left w:val="nil"/>
              <w:bottom w:val="single" w:sz="8" w:space="0" w:color="auto"/>
              <w:right w:val="single" w:sz="12" w:space="0" w:color="auto"/>
            </w:tcBorders>
            <w:vAlign w:val="center"/>
          </w:tcPr>
          <w:p w14:paraId="1CFE804F" w14:textId="77777777" w:rsidR="00335619" w:rsidRPr="0023367D" w:rsidRDefault="00335619" w:rsidP="00335619">
            <w:pPr>
              <w:jc w:val="center"/>
              <w:rPr>
                <w:color w:val="000000"/>
                <w:sz w:val="19"/>
                <w:szCs w:val="19"/>
              </w:rPr>
            </w:pPr>
            <w:r w:rsidRPr="0023367D">
              <w:rPr>
                <w:color w:val="000000"/>
                <w:sz w:val="19"/>
                <w:szCs w:val="19"/>
              </w:rPr>
              <w:t>67.3%</w:t>
            </w:r>
          </w:p>
        </w:tc>
        <w:tc>
          <w:tcPr>
            <w:tcW w:w="720" w:type="dxa"/>
            <w:tcBorders>
              <w:top w:val="single" w:sz="12" w:space="0" w:color="auto"/>
              <w:left w:val="single" w:sz="12" w:space="0" w:color="auto"/>
              <w:bottom w:val="single" w:sz="8" w:space="0" w:color="auto"/>
              <w:right w:val="single" w:sz="8" w:space="0" w:color="auto"/>
            </w:tcBorders>
            <w:shd w:val="clear" w:color="auto" w:fill="auto"/>
            <w:vAlign w:val="center"/>
          </w:tcPr>
          <w:p w14:paraId="6A8D16FC" w14:textId="77777777" w:rsidR="00335619" w:rsidRPr="0023367D" w:rsidRDefault="00335619" w:rsidP="00335619">
            <w:pPr>
              <w:jc w:val="center"/>
              <w:rPr>
                <w:color w:val="000000"/>
                <w:sz w:val="19"/>
                <w:szCs w:val="19"/>
              </w:rPr>
            </w:pPr>
            <w:r w:rsidRPr="0023367D">
              <w:rPr>
                <w:color w:val="000000"/>
                <w:sz w:val="19"/>
                <w:szCs w:val="19"/>
              </w:rPr>
              <w:t>119</w:t>
            </w:r>
          </w:p>
        </w:tc>
        <w:tc>
          <w:tcPr>
            <w:tcW w:w="1176" w:type="dxa"/>
            <w:tcBorders>
              <w:top w:val="single" w:sz="12" w:space="0" w:color="auto"/>
              <w:left w:val="nil"/>
              <w:bottom w:val="single" w:sz="8" w:space="0" w:color="auto"/>
              <w:right w:val="single" w:sz="8" w:space="0" w:color="auto"/>
            </w:tcBorders>
            <w:shd w:val="clear" w:color="auto" w:fill="auto"/>
            <w:vAlign w:val="center"/>
          </w:tcPr>
          <w:p w14:paraId="41B7BBE8" w14:textId="77777777" w:rsidR="00335619" w:rsidRPr="0023367D" w:rsidRDefault="00335619" w:rsidP="00335619">
            <w:pPr>
              <w:jc w:val="center"/>
              <w:rPr>
                <w:color w:val="000000"/>
                <w:sz w:val="19"/>
                <w:szCs w:val="19"/>
              </w:rPr>
            </w:pPr>
            <w:r w:rsidRPr="0023367D">
              <w:rPr>
                <w:color w:val="000000"/>
                <w:sz w:val="19"/>
                <w:szCs w:val="19"/>
              </w:rPr>
              <w:t>11.4%</w:t>
            </w:r>
          </w:p>
        </w:tc>
        <w:tc>
          <w:tcPr>
            <w:tcW w:w="1074" w:type="dxa"/>
            <w:tcBorders>
              <w:top w:val="single" w:sz="12" w:space="0" w:color="auto"/>
              <w:left w:val="nil"/>
              <w:bottom w:val="single" w:sz="8" w:space="0" w:color="auto"/>
              <w:right w:val="single" w:sz="8" w:space="0" w:color="auto"/>
            </w:tcBorders>
            <w:shd w:val="clear" w:color="auto" w:fill="auto"/>
            <w:vAlign w:val="center"/>
          </w:tcPr>
          <w:p w14:paraId="40B07E82" w14:textId="77777777" w:rsidR="00335619" w:rsidRPr="0023367D" w:rsidRDefault="00335619" w:rsidP="00335619">
            <w:pPr>
              <w:jc w:val="center"/>
              <w:rPr>
                <w:color w:val="000000"/>
                <w:sz w:val="19"/>
                <w:szCs w:val="19"/>
              </w:rPr>
            </w:pPr>
            <w:r w:rsidRPr="0023367D">
              <w:rPr>
                <w:color w:val="000000"/>
                <w:sz w:val="19"/>
                <w:szCs w:val="19"/>
              </w:rPr>
              <w:t>10.5%</w:t>
            </w:r>
          </w:p>
        </w:tc>
        <w:tc>
          <w:tcPr>
            <w:tcW w:w="1260" w:type="dxa"/>
            <w:tcBorders>
              <w:top w:val="single" w:sz="12" w:space="0" w:color="auto"/>
              <w:left w:val="nil"/>
              <w:bottom w:val="single" w:sz="8" w:space="0" w:color="auto"/>
              <w:right w:val="single" w:sz="4" w:space="0" w:color="auto"/>
            </w:tcBorders>
            <w:shd w:val="clear" w:color="auto" w:fill="auto"/>
            <w:noWrap/>
            <w:vAlign w:val="center"/>
          </w:tcPr>
          <w:p w14:paraId="4DF22927" w14:textId="77777777" w:rsidR="00335619" w:rsidRPr="0023367D" w:rsidRDefault="00335619" w:rsidP="00335619">
            <w:pPr>
              <w:jc w:val="center"/>
              <w:rPr>
                <w:color w:val="000000"/>
                <w:sz w:val="19"/>
                <w:szCs w:val="19"/>
              </w:rPr>
            </w:pPr>
            <w:r w:rsidRPr="0023367D">
              <w:rPr>
                <w:color w:val="000000"/>
                <w:sz w:val="19"/>
                <w:szCs w:val="19"/>
              </w:rPr>
              <w:t>64.3%</w:t>
            </w:r>
          </w:p>
        </w:tc>
      </w:tr>
      <w:tr w:rsidR="00335619" w:rsidRPr="0023367D" w14:paraId="6452A774"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494C1DAA" w14:textId="77777777" w:rsidR="00335619" w:rsidRPr="0023367D" w:rsidRDefault="00335619" w:rsidP="00335619">
            <w:pPr>
              <w:jc w:val="center"/>
              <w:rPr>
                <w:color w:val="000000"/>
                <w:sz w:val="19"/>
                <w:szCs w:val="19"/>
              </w:rPr>
            </w:pPr>
            <w:r w:rsidRPr="0023367D">
              <w:rPr>
                <w:bCs/>
                <w:color w:val="000000"/>
                <w:sz w:val="19"/>
                <w:szCs w:val="19"/>
                <w:lang w:bidi="he-IL"/>
              </w:rPr>
              <w:t>1976</w:t>
            </w:r>
          </w:p>
        </w:tc>
        <w:tc>
          <w:tcPr>
            <w:tcW w:w="900" w:type="dxa"/>
            <w:tcBorders>
              <w:top w:val="nil"/>
              <w:left w:val="nil"/>
              <w:bottom w:val="single" w:sz="8" w:space="0" w:color="auto"/>
              <w:right w:val="single" w:sz="8" w:space="0" w:color="auto"/>
            </w:tcBorders>
            <w:shd w:val="clear" w:color="auto" w:fill="auto"/>
            <w:noWrap/>
            <w:vAlign w:val="center"/>
          </w:tcPr>
          <w:p w14:paraId="081AF10E" w14:textId="77777777" w:rsidR="00335619" w:rsidRPr="0023367D" w:rsidRDefault="00335619" w:rsidP="00335619">
            <w:pPr>
              <w:jc w:val="center"/>
              <w:rPr>
                <w:color w:val="000000"/>
                <w:sz w:val="19"/>
                <w:szCs w:val="19"/>
              </w:rPr>
            </w:pPr>
            <w:r w:rsidRPr="0023367D">
              <w:rPr>
                <w:color w:val="000000"/>
                <w:sz w:val="19"/>
                <w:szCs w:val="19"/>
              </w:rPr>
              <w:t>237</w:t>
            </w:r>
          </w:p>
        </w:tc>
        <w:tc>
          <w:tcPr>
            <w:tcW w:w="971" w:type="dxa"/>
            <w:tcBorders>
              <w:top w:val="nil"/>
              <w:left w:val="nil"/>
              <w:bottom w:val="single" w:sz="8" w:space="0" w:color="auto"/>
              <w:right w:val="single" w:sz="8" w:space="0" w:color="auto"/>
            </w:tcBorders>
            <w:shd w:val="clear" w:color="auto" w:fill="auto"/>
            <w:noWrap/>
            <w:vAlign w:val="center"/>
          </w:tcPr>
          <w:p w14:paraId="0C9E67F4" w14:textId="77777777" w:rsidR="00335619" w:rsidRPr="0023367D" w:rsidRDefault="00335619" w:rsidP="00335619">
            <w:pPr>
              <w:jc w:val="center"/>
              <w:rPr>
                <w:color w:val="000000"/>
                <w:sz w:val="19"/>
                <w:szCs w:val="19"/>
              </w:rPr>
            </w:pPr>
            <w:r w:rsidRPr="0023367D">
              <w:rPr>
                <w:color w:val="000000"/>
                <w:sz w:val="19"/>
                <w:szCs w:val="19"/>
              </w:rPr>
              <w:t>13.3%</w:t>
            </w:r>
          </w:p>
        </w:tc>
        <w:tc>
          <w:tcPr>
            <w:tcW w:w="1067" w:type="dxa"/>
            <w:tcBorders>
              <w:top w:val="nil"/>
              <w:left w:val="nil"/>
              <w:bottom w:val="single" w:sz="8" w:space="0" w:color="auto"/>
              <w:right w:val="single" w:sz="8" w:space="0" w:color="auto"/>
            </w:tcBorders>
            <w:shd w:val="clear" w:color="auto" w:fill="auto"/>
            <w:vAlign w:val="center"/>
          </w:tcPr>
          <w:p w14:paraId="3406A228" w14:textId="77777777" w:rsidR="00335619" w:rsidRPr="0023367D" w:rsidRDefault="00335619" w:rsidP="00335619">
            <w:pPr>
              <w:jc w:val="center"/>
              <w:rPr>
                <w:color w:val="000000"/>
                <w:sz w:val="19"/>
                <w:szCs w:val="19"/>
              </w:rPr>
            </w:pPr>
            <w:r w:rsidRPr="0023367D">
              <w:rPr>
                <w:color w:val="000000"/>
                <w:sz w:val="19"/>
                <w:szCs w:val="19"/>
              </w:rPr>
              <w:t>11.6%</w:t>
            </w:r>
          </w:p>
        </w:tc>
        <w:tc>
          <w:tcPr>
            <w:tcW w:w="1292" w:type="dxa"/>
            <w:tcBorders>
              <w:top w:val="nil"/>
              <w:left w:val="nil"/>
              <w:bottom w:val="single" w:sz="8" w:space="0" w:color="auto"/>
              <w:right w:val="single" w:sz="12" w:space="0" w:color="auto"/>
            </w:tcBorders>
            <w:vAlign w:val="center"/>
          </w:tcPr>
          <w:p w14:paraId="7D8799F1" w14:textId="77777777" w:rsidR="00335619" w:rsidRPr="0023367D" w:rsidRDefault="00335619" w:rsidP="00335619">
            <w:pPr>
              <w:jc w:val="center"/>
              <w:rPr>
                <w:color w:val="000000"/>
                <w:sz w:val="19"/>
                <w:szCs w:val="19"/>
              </w:rPr>
            </w:pPr>
            <w:r w:rsidRPr="0023367D">
              <w:rPr>
                <w:color w:val="000000"/>
                <w:sz w:val="19"/>
                <w:szCs w:val="19"/>
              </w:rPr>
              <w:t>68.9%</w:t>
            </w:r>
          </w:p>
        </w:tc>
        <w:tc>
          <w:tcPr>
            <w:tcW w:w="720" w:type="dxa"/>
            <w:tcBorders>
              <w:top w:val="nil"/>
              <w:left w:val="single" w:sz="12" w:space="0" w:color="auto"/>
              <w:bottom w:val="single" w:sz="8" w:space="0" w:color="auto"/>
              <w:right w:val="single" w:sz="8" w:space="0" w:color="auto"/>
            </w:tcBorders>
            <w:shd w:val="clear" w:color="auto" w:fill="auto"/>
            <w:vAlign w:val="center"/>
          </w:tcPr>
          <w:p w14:paraId="5629A258" w14:textId="77777777" w:rsidR="00335619" w:rsidRPr="0023367D" w:rsidRDefault="00335619" w:rsidP="00335619">
            <w:pPr>
              <w:jc w:val="center"/>
              <w:rPr>
                <w:color w:val="000000"/>
                <w:sz w:val="19"/>
                <w:szCs w:val="19"/>
              </w:rPr>
            </w:pPr>
            <w:r w:rsidRPr="0023367D">
              <w:rPr>
                <w:color w:val="000000"/>
                <w:sz w:val="19"/>
                <w:szCs w:val="19"/>
              </w:rPr>
              <w:t>154</w:t>
            </w:r>
          </w:p>
        </w:tc>
        <w:tc>
          <w:tcPr>
            <w:tcW w:w="1176" w:type="dxa"/>
            <w:tcBorders>
              <w:top w:val="nil"/>
              <w:left w:val="nil"/>
              <w:bottom w:val="single" w:sz="8" w:space="0" w:color="auto"/>
              <w:right w:val="single" w:sz="8" w:space="0" w:color="auto"/>
            </w:tcBorders>
            <w:shd w:val="clear" w:color="auto" w:fill="auto"/>
            <w:vAlign w:val="center"/>
          </w:tcPr>
          <w:p w14:paraId="1645E41C" w14:textId="77777777" w:rsidR="00335619" w:rsidRPr="0023367D" w:rsidRDefault="00335619" w:rsidP="00335619">
            <w:pPr>
              <w:jc w:val="center"/>
              <w:rPr>
                <w:color w:val="000000"/>
                <w:sz w:val="19"/>
                <w:szCs w:val="19"/>
              </w:rPr>
            </w:pPr>
            <w:r w:rsidRPr="0023367D">
              <w:rPr>
                <w:color w:val="000000"/>
                <w:sz w:val="19"/>
                <w:szCs w:val="19"/>
              </w:rPr>
              <w:t>12.5%</w:t>
            </w:r>
          </w:p>
        </w:tc>
        <w:tc>
          <w:tcPr>
            <w:tcW w:w="1074" w:type="dxa"/>
            <w:tcBorders>
              <w:top w:val="nil"/>
              <w:left w:val="nil"/>
              <w:bottom w:val="single" w:sz="8" w:space="0" w:color="auto"/>
              <w:right w:val="single" w:sz="8" w:space="0" w:color="auto"/>
            </w:tcBorders>
            <w:shd w:val="clear" w:color="auto" w:fill="auto"/>
            <w:vAlign w:val="center"/>
          </w:tcPr>
          <w:p w14:paraId="124CCD5B" w14:textId="77777777" w:rsidR="00335619" w:rsidRPr="0023367D" w:rsidRDefault="00335619" w:rsidP="00335619">
            <w:pPr>
              <w:jc w:val="center"/>
              <w:rPr>
                <w:color w:val="000000"/>
                <w:sz w:val="19"/>
                <w:szCs w:val="19"/>
              </w:rPr>
            </w:pPr>
            <w:r w:rsidRPr="0023367D">
              <w:rPr>
                <w:color w:val="000000"/>
                <w:sz w:val="19"/>
                <w:szCs w:val="19"/>
              </w:rPr>
              <w:t>11.3%</w:t>
            </w:r>
          </w:p>
        </w:tc>
        <w:tc>
          <w:tcPr>
            <w:tcW w:w="1260" w:type="dxa"/>
            <w:tcBorders>
              <w:top w:val="nil"/>
              <w:left w:val="nil"/>
              <w:bottom w:val="single" w:sz="8" w:space="0" w:color="auto"/>
              <w:right w:val="single" w:sz="4" w:space="0" w:color="auto"/>
            </w:tcBorders>
            <w:shd w:val="clear" w:color="auto" w:fill="auto"/>
            <w:noWrap/>
            <w:vAlign w:val="center"/>
          </w:tcPr>
          <w:p w14:paraId="276EE4F7" w14:textId="77777777" w:rsidR="00335619" w:rsidRPr="0023367D" w:rsidRDefault="00335619" w:rsidP="00335619">
            <w:pPr>
              <w:jc w:val="center"/>
              <w:rPr>
                <w:color w:val="000000"/>
                <w:sz w:val="19"/>
                <w:szCs w:val="19"/>
              </w:rPr>
            </w:pPr>
            <w:r w:rsidRPr="0023367D">
              <w:rPr>
                <w:color w:val="000000"/>
                <w:sz w:val="19"/>
                <w:szCs w:val="19"/>
              </w:rPr>
              <w:t>66.1%</w:t>
            </w:r>
          </w:p>
        </w:tc>
      </w:tr>
      <w:tr w:rsidR="00335619" w:rsidRPr="0023367D" w14:paraId="28589D43"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51EEF12B" w14:textId="77777777" w:rsidR="00335619" w:rsidRPr="0023367D" w:rsidRDefault="00335619" w:rsidP="00335619">
            <w:pPr>
              <w:jc w:val="center"/>
              <w:rPr>
                <w:color w:val="000000"/>
                <w:sz w:val="19"/>
                <w:szCs w:val="19"/>
              </w:rPr>
            </w:pPr>
            <w:r w:rsidRPr="0023367D">
              <w:rPr>
                <w:bCs/>
                <w:color w:val="000000"/>
                <w:sz w:val="19"/>
                <w:szCs w:val="19"/>
                <w:lang w:bidi="he-IL"/>
              </w:rPr>
              <w:t>1977</w:t>
            </w:r>
          </w:p>
        </w:tc>
        <w:tc>
          <w:tcPr>
            <w:tcW w:w="900" w:type="dxa"/>
            <w:tcBorders>
              <w:top w:val="nil"/>
              <w:left w:val="nil"/>
              <w:bottom w:val="single" w:sz="8" w:space="0" w:color="auto"/>
              <w:right w:val="single" w:sz="8" w:space="0" w:color="auto"/>
            </w:tcBorders>
            <w:shd w:val="clear" w:color="auto" w:fill="auto"/>
            <w:noWrap/>
            <w:vAlign w:val="center"/>
          </w:tcPr>
          <w:p w14:paraId="56A6EB44" w14:textId="77777777" w:rsidR="00335619" w:rsidRPr="0023367D" w:rsidRDefault="00335619" w:rsidP="00335619">
            <w:pPr>
              <w:jc w:val="center"/>
              <w:rPr>
                <w:color w:val="000000"/>
                <w:sz w:val="19"/>
                <w:szCs w:val="19"/>
              </w:rPr>
            </w:pPr>
            <w:r w:rsidRPr="0023367D">
              <w:rPr>
                <w:color w:val="000000"/>
                <w:sz w:val="19"/>
                <w:szCs w:val="19"/>
              </w:rPr>
              <w:t>230</w:t>
            </w:r>
          </w:p>
        </w:tc>
        <w:tc>
          <w:tcPr>
            <w:tcW w:w="971" w:type="dxa"/>
            <w:tcBorders>
              <w:top w:val="nil"/>
              <w:left w:val="nil"/>
              <w:bottom w:val="single" w:sz="8" w:space="0" w:color="auto"/>
              <w:right w:val="single" w:sz="8" w:space="0" w:color="auto"/>
            </w:tcBorders>
            <w:shd w:val="clear" w:color="auto" w:fill="auto"/>
            <w:noWrap/>
            <w:vAlign w:val="center"/>
          </w:tcPr>
          <w:p w14:paraId="5C9C7814" w14:textId="77777777" w:rsidR="00335619" w:rsidRPr="0023367D" w:rsidRDefault="00335619" w:rsidP="00335619">
            <w:pPr>
              <w:jc w:val="center"/>
              <w:rPr>
                <w:color w:val="000000"/>
                <w:sz w:val="19"/>
                <w:szCs w:val="19"/>
              </w:rPr>
            </w:pPr>
            <w:r w:rsidRPr="0023367D">
              <w:rPr>
                <w:color w:val="000000"/>
                <w:sz w:val="19"/>
                <w:szCs w:val="19"/>
              </w:rPr>
              <w:t>14.1%</w:t>
            </w:r>
          </w:p>
        </w:tc>
        <w:tc>
          <w:tcPr>
            <w:tcW w:w="1067" w:type="dxa"/>
            <w:tcBorders>
              <w:top w:val="nil"/>
              <w:left w:val="nil"/>
              <w:bottom w:val="single" w:sz="8" w:space="0" w:color="auto"/>
              <w:right w:val="single" w:sz="8" w:space="0" w:color="auto"/>
            </w:tcBorders>
            <w:shd w:val="clear" w:color="auto" w:fill="auto"/>
            <w:vAlign w:val="center"/>
          </w:tcPr>
          <w:p w14:paraId="79B77213" w14:textId="77777777" w:rsidR="00335619" w:rsidRPr="0023367D" w:rsidRDefault="00335619" w:rsidP="00335619">
            <w:pPr>
              <w:jc w:val="center"/>
              <w:rPr>
                <w:color w:val="000000"/>
                <w:sz w:val="19"/>
                <w:szCs w:val="19"/>
              </w:rPr>
            </w:pPr>
            <w:r w:rsidRPr="0023367D">
              <w:rPr>
                <w:color w:val="000000"/>
                <w:sz w:val="19"/>
                <w:szCs w:val="19"/>
              </w:rPr>
              <w:t>12.8%</w:t>
            </w:r>
          </w:p>
        </w:tc>
        <w:tc>
          <w:tcPr>
            <w:tcW w:w="1292" w:type="dxa"/>
            <w:tcBorders>
              <w:top w:val="nil"/>
              <w:left w:val="nil"/>
              <w:bottom w:val="single" w:sz="8" w:space="0" w:color="auto"/>
              <w:right w:val="single" w:sz="12" w:space="0" w:color="auto"/>
            </w:tcBorders>
            <w:vAlign w:val="center"/>
          </w:tcPr>
          <w:p w14:paraId="0DA048CD" w14:textId="77777777" w:rsidR="00335619" w:rsidRPr="0023367D" w:rsidRDefault="00335619" w:rsidP="00335619">
            <w:pPr>
              <w:jc w:val="center"/>
              <w:rPr>
                <w:color w:val="000000"/>
                <w:sz w:val="19"/>
                <w:szCs w:val="19"/>
              </w:rPr>
            </w:pPr>
            <w:r w:rsidRPr="0023367D">
              <w:rPr>
                <w:color w:val="000000"/>
                <w:sz w:val="19"/>
                <w:szCs w:val="19"/>
              </w:rPr>
              <w:t>68.7%</w:t>
            </w:r>
          </w:p>
        </w:tc>
        <w:tc>
          <w:tcPr>
            <w:tcW w:w="720" w:type="dxa"/>
            <w:tcBorders>
              <w:top w:val="nil"/>
              <w:left w:val="single" w:sz="12" w:space="0" w:color="auto"/>
              <w:bottom w:val="single" w:sz="8" w:space="0" w:color="auto"/>
              <w:right w:val="single" w:sz="8" w:space="0" w:color="auto"/>
            </w:tcBorders>
            <w:shd w:val="clear" w:color="auto" w:fill="auto"/>
            <w:vAlign w:val="center"/>
          </w:tcPr>
          <w:p w14:paraId="5915AABA" w14:textId="77777777" w:rsidR="00335619" w:rsidRPr="0023367D" w:rsidRDefault="00335619" w:rsidP="00335619">
            <w:pPr>
              <w:jc w:val="center"/>
              <w:rPr>
                <w:color w:val="000000"/>
                <w:sz w:val="19"/>
                <w:szCs w:val="19"/>
              </w:rPr>
            </w:pPr>
            <w:r w:rsidRPr="0023367D">
              <w:rPr>
                <w:color w:val="000000"/>
                <w:sz w:val="19"/>
                <w:szCs w:val="19"/>
              </w:rPr>
              <w:t>155</w:t>
            </w:r>
          </w:p>
        </w:tc>
        <w:tc>
          <w:tcPr>
            <w:tcW w:w="1176" w:type="dxa"/>
            <w:tcBorders>
              <w:top w:val="nil"/>
              <w:left w:val="nil"/>
              <w:bottom w:val="single" w:sz="8" w:space="0" w:color="auto"/>
              <w:right w:val="single" w:sz="8" w:space="0" w:color="auto"/>
            </w:tcBorders>
            <w:shd w:val="clear" w:color="auto" w:fill="auto"/>
            <w:vAlign w:val="center"/>
          </w:tcPr>
          <w:p w14:paraId="2F437BA3" w14:textId="77777777" w:rsidR="00335619" w:rsidRPr="0023367D" w:rsidRDefault="00335619" w:rsidP="00335619">
            <w:pPr>
              <w:jc w:val="center"/>
              <w:rPr>
                <w:color w:val="000000"/>
                <w:sz w:val="19"/>
                <w:szCs w:val="19"/>
              </w:rPr>
            </w:pPr>
            <w:r w:rsidRPr="0023367D">
              <w:rPr>
                <w:color w:val="000000"/>
                <w:sz w:val="19"/>
                <w:szCs w:val="19"/>
              </w:rPr>
              <w:t>12.0%</w:t>
            </w:r>
          </w:p>
        </w:tc>
        <w:tc>
          <w:tcPr>
            <w:tcW w:w="1074" w:type="dxa"/>
            <w:tcBorders>
              <w:top w:val="nil"/>
              <w:left w:val="nil"/>
              <w:bottom w:val="single" w:sz="8" w:space="0" w:color="auto"/>
              <w:right w:val="single" w:sz="8" w:space="0" w:color="auto"/>
            </w:tcBorders>
            <w:shd w:val="clear" w:color="auto" w:fill="auto"/>
            <w:vAlign w:val="center"/>
          </w:tcPr>
          <w:p w14:paraId="4AEADC6E" w14:textId="77777777" w:rsidR="00335619" w:rsidRPr="0023367D" w:rsidRDefault="00335619" w:rsidP="00335619">
            <w:pPr>
              <w:jc w:val="center"/>
              <w:rPr>
                <w:color w:val="000000"/>
                <w:sz w:val="19"/>
                <w:szCs w:val="19"/>
              </w:rPr>
            </w:pPr>
            <w:r w:rsidRPr="0023367D">
              <w:rPr>
                <w:color w:val="000000"/>
                <w:sz w:val="19"/>
                <w:szCs w:val="19"/>
              </w:rPr>
              <w:t>11.1%</w:t>
            </w:r>
          </w:p>
        </w:tc>
        <w:tc>
          <w:tcPr>
            <w:tcW w:w="1260" w:type="dxa"/>
            <w:tcBorders>
              <w:top w:val="nil"/>
              <w:left w:val="nil"/>
              <w:bottom w:val="single" w:sz="8" w:space="0" w:color="auto"/>
              <w:right w:val="single" w:sz="4" w:space="0" w:color="auto"/>
            </w:tcBorders>
            <w:shd w:val="clear" w:color="auto" w:fill="auto"/>
            <w:noWrap/>
            <w:vAlign w:val="center"/>
          </w:tcPr>
          <w:p w14:paraId="2F1734FD" w14:textId="77777777" w:rsidR="00335619" w:rsidRPr="0023367D" w:rsidRDefault="00335619" w:rsidP="00335619">
            <w:pPr>
              <w:jc w:val="center"/>
              <w:rPr>
                <w:color w:val="000000"/>
                <w:sz w:val="19"/>
                <w:szCs w:val="19"/>
              </w:rPr>
            </w:pPr>
            <w:r w:rsidRPr="0023367D">
              <w:rPr>
                <w:color w:val="000000"/>
                <w:sz w:val="19"/>
                <w:szCs w:val="19"/>
              </w:rPr>
              <w:t>67.2%</w:t>
            </w:r>
          </w:p>
        </w:tc>
      </w:tr>
      <w:tr w:rsidR="00335619" w:rsidRPr="0023367D" w14:paraId="78FB148E"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6A95D486" w14:textId="77777777" w:rsidR="00335619" w:rsidRPr="0023367D" w:rsidRDefault="00335619" w:rsidP="00335619">
            <w:pPr>
              <w:jc w:val="center"/>
              <w:rPr>
                <w:color w:val="000000"/>
                <w:sz w:val="19"/>
                <w:szCs w:val="19"/>
              </w:rPr>
            </w:pPr>
            <w:r w:rsidRPr="0023367D">
              <w:rPr>
                <w:bCs/>
                <w:color w:val="000000"/>
                <w:sz w:val="19"/>
                <w:szCs w:val="19"/>
                <w:lang w:bidi="he-IL"/>
              </w:rPr>
              <w:t>1978</w:t>
            </w:r>
          </w:p>
        </w:tc>
        <w:tc>
          <w:tcPr>
            <w:tcW w:w="900" w:type="dxa"/>
            <w:tcBorders>
              <w:top w:val="nil"/>
              <w:left w:val="nil"/>
              <w:bottom w:val="single" w:sz="8" w:space="0" w:color="auto"/>
              <w:right w:val="single" w:sz="8" w:space="0" w:color="auto"/>
            </w:tcBorders>
            <w:shd w:val="clear" w:color="auto" w:fill="auto"/>
            <w:noWrap/>
            <w:vAlign w:val="center"/>
          </w:tcPr>
          <w:p w14:paraId="110719EF" w14:textId="77777777" w:rsidR="00335619" w:rsidRPr="0023367D" w:rsidRDefault="00335619" w:rsidP="00335619">
            <w:pPr>
              <w:jc w:val="center"/>
              <w:rPr>
                <w:color w:val="000000"/>
                <w:sz w:val="19"/>
                <w:szCs w:val="19"/>
              </w:rPr>
            </w:pPr>
            <w:r w:rsidRPr="0023367D">
              <w:rPr>
                <w:color w:val="000000"/>
                <w:sz w:val="19"/>
                <w:szCs w:val="19"/>
              </w:rPr>
              <w:t>205</w:t>
            </w:r>
          </w:p>
        </w:tc>
        <w:tc>
          <w:tcPr>
            <w:tcW w:w="971" w:type="dxa"/>
            <w:tcBorders>
              <w:top w:val="nil"/>
              <w:left w:val="nil"/>
              <w:bottom w:val="single" w:sz="8" w:space="0" w:color="auto"/>
              <w:right w:val="single" w:sz="8" w:space="0" w:color="auto"/>
            </w:tcBorders>
            <w:shd w:val="clear" w:color="auto" w:fill="auto"/>
            <w:noWrap/>
            <w:vAlign w:val="center"/>
          </w:tcPr>
          <w:p w14:paraId="587AA5F6" w14:textId="77777777" w:rsidR="00335619" w:rsidRPr="0023367D" w:rsidRDefault="00335619" w:rsidP="00335619">
            <w:pPr>
              <w:jc w:val="center"/>
              <w:rPr>
                <w:color w:val="000000"/>
                <w:sz w:val="19"/>
                <w:szCs w:val="19"/>
              </w:rPr>
            </w:pPr>
            <w:r w:rsidRPr="0023367D">
              <w:rPr>
                <w:color w:val="000000"/>
                <w:sz w:val="19"/>
                <w:szCs w:val="19"/>
              </w:rPr>
              <w:t>11.9%</w:t>
            </w:r>
          </w:p>
        </w:tc>
        <w:tc>
          <w:tcPr>
            <w:tcW w:w="1067" w:type="dxa"/>
            <w:tcBorders>
              <w:top w:val="nil"/>
              <w:left w:val="nil"/>
              <w:bottom w:val="single" w:sz="8" w:space="0" w:color="auto"/>
              <w:right w:val="single" w:sz="8" w:space="0" w:color="auto"/>
            </w:tcBorders>
            <w:shd w:val="clear" w:color="auto" w:fill="auto"/>
            <w:vAlign w:val="center"/>
          </w:tcPr>
          <w:p w14:paraId="743DBAC9" w14:textId="77777777" w:rsidR="00335619" w:rsidRPr="0023367D" w:rsidRDefault="00335619" w:rsidP="00335619">
            <w:pPr>
              <w:jc w:val="center"/>
              <w:rPr>
                <w:color w:val="000000"/>
                <w:sz w:val="19"/>
                <w:szCs w:val="19"/>
              </w:rPr>
            </w:pPr>
            <w:r w:rsidRPr="0023367D">
              <w:rPr>
                <w:color w:val="000000"/>
                <w:sz w:val="19"/>
                <w:szCs w:val="19"/>
              </w:rPr>
              <w:t>11.7%</w:t>
            </w:r>
          </w:p>
        </w:tc>
        <w:tc>
          <w:tcPr>
            <w:tcW w:w="1292" w:type="dxa"/>
            <w:tcBorders>
              <w:top w:val="nil"/>
              <w:left w:val="nil"/>
              <w:bottom w:val="single" w:sz="8" w:space="0" w:color="auto"/>
              <w:right w:val="single" w:sz="12" w:space="0" w:color="auto"/>
            </w:tcBorders>
            <w:vAlign w:val="center"/>
          </w:tcPr>
          <w:p w14:paraId="7F33AAD9" w14:textId="77777777" w:rsidR="00335619" w:rsidRPr="0023367D" w:rsidRDefault="00335619" w:rsidP="00335619">
            <w:pPr>
              <w:jc w:val="center"/>
              <w:rPr>
                <w:color w:val="000000"/>
                <w:sz w:val="19"/>
                <w:szCs w:val="19"/>
              </w:rPr>
            </w:pPr>
            <w:r w:rsidRPr="0023367D">
              <w:rPr>
                <w:color w:val="000000"/>
                <w:sz w:val="19"/>
                <w:szCs w:val="19"/>
              </w:rPr>
              <w:t>68.3%</w:t>
            </w:r>
          </w:p>
        </w:tc>
        <w:tc>
          <w:tcPr>
            <w:tcW w:w="720" w:type="dxa"/>
            <w:tcBorders>
              <w:top w:val="nil"/>
              <w:left w:val="single" w:sz="12" w:space="0" w:color="auto"/>
              <w:bottom w:val="single" w:sz="8" w:space="0" w:color="auto"/>
              <w:right w:val="single" w:sz="8" w:space="0" w:color="auto"/>
            </w:tcBorders>
            <w:shd w:val="clear" w:color="auto" w:fill="auto"/>
            <w:vAlign w:val="center"/>
          </w:tcPr>
          <w:p w14:paraId="7C2E5485" w14:textId="77777777" w:rsidR="00335619" w:rsidRPr="0023367D" w:rsidRDefault="00335619" w:rsidP="00335619">
            <w:pPr>
              <w:jc w:val="center"/>
              <w:rPr>
                <w:color w:val="000000"/>
                <w:sz w:val="19"/>
                <w:szCs w:val="19"/>
              </w:rPr>
            </w:pPr>
            <w:r w:rsidRPr="0023367D">
              <w:rPr>
                <w:color w:val="000000"/>
                <w:sz w:val="19"/>
                <w:szCs w:val="19"/>
              </w:rPr>
              <w:t>149</w:t>
            </w:r>
          </w:p>
        </w:tc>
        <w:tc>
          <w:tcPr>
            <w:tcW w:w="1176" w:type="dxa"/>
            <w:tcBorders>
              <w:top w:val="nil"/>
              <w:left w:val="nil"/>
              <w:bottom w:val="single" w:sz="8" w:space="0" w:color="auto"/>
              <w:right w:val="single" w:sz="8" w:space="0" w:color="auto"/>
            </w:tcBorders>
            <w:shd w:val="clear" w:color="auto" w:fill="auto"/>
            <w:vAlign w:val="center"/>
          </w:tcPr>
          <w:p w14:paraId="186D5EBE" w14:textId="77777777" w:rsidR="00335619" w:rsidRPr="0023367D" w:rsidRDefault="00335619" w:rsidP="00335619">
            <w:pPr>
              <w:jc w:val="center"/>
              <w:rPr>
                <w:color w:val="000000"/>
                <w:sz w:val="19"/>
                <w:szCs w:val="19"/>
              </w:rPr>
            </w:pPr>
            <w:r w:rsidRPr="0023367D">
              <w:rPr>
                <w:color w:val="000000"/>
                <w:sz w:val="19"/>
                <w:szCs w:val="19"/>
              </w:rPr>
              <w:t>8.8%</w:t>
            </w:r>
          </w:p>
        </w:tc>
        <w:tc>
          <w:tcPr>
            <w:tcW w:w="1074" w:type="dxa"/>
            <w:tcBorders>
              <w:top w:val="nil"/>
              <w:left w:val="nil"/>
              <w:bottom w:val="single" w:sz="8" w:space="0" w:color="auto"/>
              <w:right w:val="single" w:sz="8" w:space="0" w:color="auto"/>
            </w:tcBorders>
            <w:shd w:val="clear" w:color="auto" w:fill="auto"/>
            <w:vAlign w:val="center"/>
          </w:tcPr>
          <w:p w14:paraId="36D84C35" w14:textId="77777777" w:rsidR="00335619" w:rsidRPr="0023367D" w:rsidRDefault="00335619" w:rsidP="00335619">
            <w:pPr>
              <w:jc w:val="center"/>
              <w:rPr>
                <w:color w:val="000000"/>
                <w:sz w:val="19"/>
                <w:szCs w:val="19"/>
              </w:rPr>
            </w:pPr>
            <w:r w:rsidRPr="0023367D">
              <w:rPr>
                <w:color w:val="000000"/>
                <w:sz w:val="19"/>
                <w:szCs w:val="19"/>
              </w:rPr>
              <w:t>8.6%</w:t>
            </w:r>
          </w:p>
        </w:tc>
        <w:tc>
          <w:tcPr>
            <w:tcW w:w="1260" w:type="dxa"/>
            <w:tcBorders>
              <w:top w:val="nil"/>
              <w:left w:val="nil"/>
              <w:bottom w:val="single" w:sz="8" w:space="0" w:color="auto"/>
              <w:right w:val="single" w:sz="4" w:space="0" w:color="auto"/>
            </w:tcBorders>
            <w:shd w:val="clear" w:color="auto" w:fill="auto"/>
            <w:noWrap/>
            <w:vAlign w:val="center"/>
          </w:tcPr>
          <w:p w14:paraId="22F0550A" w14:textId="77777777" w:rsidR="00335619" w:rsidRPr="0023367D" w:rsidRDefault="00335619" w:rsidP="00335619">
            <w:pPr>
              <w:jc w:val="center"/>
              <w:rPr>
                <w:color w:val="000000"/>
                <w:sz w:val="19"/>
                <w:szCs w:val="19"/>
              </w:rPr>
            </w:pPr>
            <w:r w:rsidRPr="0023367D">
              <w:rPr>
                <w:color w:val="000000"/>
                <w:sz w:val="19"/>
                <w:szCs w:val="19"/>
              </w:rPr>
              <w:t>68.6%</w:t>
            </w:r>
          </w:p>
        </w:tc>
      </w:tr>
      <w:tr w:rsidR="00335619" w:rsidRPr="0023367D" w14:paraId="2F89345C"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53508711" w14:textId="77777777" w:rsidR="00335619" w:rsidRPr="0023367D" w:rsidRDefault="00335619" w:rsidP="00335619">
            <w:pPr>
              <w:jc w:val="center"/>
              <w:rPr>
                <w:color w:val="000000"/>
                <w:sz w:val="19"/>
                <w:szCs w:val="19"/>
              </w:rPr>
            </w:pPr>
            <w:r w:rsidRPr="0023367D">
              <w:rPr>
                <w:bCs/>
                <w:color w:val="000000"/>
                <w:sz w:val="19"/>
                <w:szCs w:val="19"/>
                <w:lang w:bidi="he-IL"/>
              </w:rPr>
              <w:t>1979</w:t>
            </w:r>
          </w:p>
        </w:tc>
        <w:tc>
          <w:tcPr>
            <w:tcW w:w="900" w:type="dxa"/>
            <w:tcBorders>
              <w:top w:val="nil"/>
              <w:left w:val="nil"/>
              <w:bottom w:val="single" w:sz="8" w:space="0" w:color="auto"/>
              <w:right w:val="single" w:sz="8" w:space="0" w:color="auto"/>
            </w:tcBorders>
            <w:shd w:val="clear" w:color="auto" w:fill="auto"/>
            <w:noWrap/>
            <w:vAlign w:val="center"/>
          </w:tcPr>
          <w:p w14:paraId="535A7E34" w14:textId="77777777" w:rsidR="00335619" w:rsidRPr="0023367D" w:rsidRDefault="00335619" w:rsidP="00335619">
            <w:pPr>
              <w:jc w:val="center"/>
              <w:rPr>
                <w:color w:val="000000"/>
                <w:sz w:val="19"/>
                <w:szCs w:val="19"/>
              </w:rPr>
            </w:pPr>
            <w:r w:rsidRPr="0023367D">
              <w:rPr>
                <w:color w:val="000000"/>
                <w:sz w:val="19"/>
                <w:szCs w:val="19"/>
              </w:rPr>
              <w:t>213</w:t>
            </w:r>
          </w:p>
        </w:tc>
        <w:tc>
          <w:tcPr>
            <w:tcW w:w="971" w:type="dxa"/>
            <w:tcBorders>
              <w:top w:val="nil"/>
              <w:left w:val="nil"/>
              <w:bottom w:val="single" w:sz="8" w:space="0" w:color="auto"/>
              <w:right w:val="single" w:sz="8" w:space="0" w:color="auto"/>
            </w:tcBorders>
            <w:shd w:val="clear" w:color="auto" w:fill="auto"/>
            <w:noWrap/>
            <w:vAlign w:val="center"/>
          </w:tcPr>
          <w:p w14:paraId="51A8615D" w14:textId="77777777" w:rsidR="00335619" w:rsidRPr="0023367D" w:rsidRDefault="00335619" w:rsidP="00335619">
            <w:pPr>
              <w:jc w:val="center"/>
              <w:rPr>
                <w:color w:val="000000"/>
                <w:sz w:val="19"/>
                <w:szCs w:val="19"/>
              </w:rPr>
            </w:pPr>
            <w:r w:rsidRPr="0023367D">
              <w:rPr>
                <w:color w:val="000000"/>
                <w:sz w:val="19"/>
                <w:szCs w:val="19"/>
              </w:rPr>
              <w:t>10.8%</w:t>
            </w:r>
          </w:p>
        </w:tc>
        <w:tc>
          <w:tcPr>
            <w:tcW w:w="1067" w:type="dxa"/>
            <w:tcBorders>
              <w:top w:val="nil"/>
              <w:left w:val="nil"/>
              <w:bottom w:val="single" w:sz="8" w:space="0" w:color="auto"/>
              <w:right w:val="single" w:sz="8" w:space="0" w:color="auto"/>
            </w:tcBorders>
            <w:shd w:val="clear" w:color="auto" w:fill="auto"/>
            <w:vAlign w:val="center"/>
          </w:tcPr>
          <w:p w14:paraId="43AC09C5" w14:textId="77777777" w:rsidR="00335619" w:rsidRPr="0023367D" w:rsidRDefault="00335619" w:rsidP="00335619">
            <w:pPr>
              <w:jc w:val="center"/>
              <w:rPr>
                <w:color w:val="000000"/>
                <w:sz w:val="19"/>
                <w:szCs w:val="19"/>
              </w:rPr>
            </w:pPr>
            <w:r w:rsidRPr="0023367D">
              <w:rPr>
                <w:color w:val="000000"/>
                <w:sz w:val="19"/>
                <w:szCs w:val="19"/>
              </w:rPr>
              <w:t>10.2%</w:t>
            </w:r>
          </w:p>
        </w:tc>
        <w:tc>
          <w:tcPr>
            <w:tcW w:w="1292" w:type="dxa"/>
            <w:tcBorders>
              <w:top w:val="nil"/>
              <w:left w:val="nil"/>
              <w:bottom w:val="single" w:sz="8" w:space="0" w:color="auto"/>
              <w:right w:val="single" w:sz="12" w:space="0" w:color="auto"/>
            </w:tcBorders>
            <w:vAlign w:val="center"/>
          </w:tcPr>
          <w:p w14:paraId="39FFB45E" w14:textId="77777777" w:rsidR="00335619" w:rsidRPr="0023367D" w:rsidRDefault="00335619" w:rsidP="00335619">
            <w:pPr>
              <w:jc w:val="center"/>
              <w:rPr>
                <w:color w:val="000000"/>
                <w:sz w:val="19"/>
                <w:szCs w:val="19"/>
              </w:rPr>
            </w:pPr>
            <w:r w:rsidRPr="0023367D">
              <w:rPr>
                <w:color w:val="000000"/>
                <w:sz w:val="19"/>
                <w:szCs w:val="19"/>
              </w:rPr>
              <w:t>67.3%</w:t>
            </w:r>
          </w:p>
        </w:tc>
        <w:tc>
          <w:tcPr>
            <w:tcW w:w="720" w:type="dxa"/>
            <w:tcBorders>
              <w:top w:val="nil"/>
              <w:left w:val="single" w:sz="12" w:space="0" w:color="auto"/>
              <w:bottom w:val="single" w:sz="8" w:space="0" w:color="auto"/>
              <w:right w:val="single" w:sz="8" w:space="0" w:color="auto"/>
            </w:tcBorders>
            <w:shd w:val="clear" w:color="auto" w:fill="auto"/>
            <w:vAlign w:val="center"/>
          </w:tcPr>
          <w:p w14:paraId="21B73FE9" w14:textId="77777777" w:rsidR="00335619" w:rsidRPr="0023367D" w:rsidRDefault="00335619" w:rsidP="00335619">
            <w:pPr>
              <w:jc w:val="center"/>
              <w:rPr>
                <w:color w:val="000000"/>
                <w:sz w:val="19"/>
                <w:szCs w:val="19"/>
              </w:rPr>
            </w:pPr>
            <w:r w:rsidRPr="0023367D">
              <w:rPr>
                <w:color w:val="000000"/>
                <w:sz w:val="19"/>
                <w:szCs w:val="19"/>
              </w:rPr>
              <w:t>170</w:t>
            </w:r>
          </w:p>
        </w:tc>
        <w:tc>
          <w:tcPr>
            <w:tcW w:w="1176" w:type="dxa"/>
            <w:tcBorders>
              <w:top w:val="nil"/>
              <w:left w:val="nil"/>
              <w:bottom w:val="single" w:sz="8" w:space="0" w:color="auto"/>
              <w:right w:val="single" w:sz="8" w:space="0" w:color="auto"/>
            </w:tcBorders>
            <w:shd w:val="clear" w:color="auto" w:fill="auto"/>
            <w:vAlign w:val="center"/>
          </w:tcPr>
          <w:p w14:paraId="0E1B853F" w14:textId="77777777" w:rsidR="00335619" w:rsidRPr="0023367D" w:rsidRDefault="00335619" w:rsidP="00335619">
            <w:pPr>
              <w:jc w:val="center"/>
              <w:rPr>
                <w:color w:val="000000"/>
                <w:sz w:val="19"/>
                <w:szCs w:val="19"/>
              </w:rPr>
            </w:pPr>
            <w:r w:rsidRPr="0023367D">
              <w:rPr>
                <w:color w:val="000000"/>
                <w:sz w:val="19"/>
                <w:szCs w:val="19"/>
              </w:rPr>
              <w:t>14.7%</w:t>
            </w:r>
          </w:p>
        </w:tc>
        <w:tc>
          <w:tcPr>
            <w:tcW w:w="1074" w:type="dxa"/>
            <w:tcBorders>
              <w:top w:val="nil"/>
              <w:left w:val="nil"/>
              <w:bottom w:val="single" w:sz="8" w:space="0" w:color="auto"/>
              <w:right w:val="single" w:sz="8" w:space="0" w:color="auto"/>
            </w:tcBorders>
            <w:shd w:val="clear" w:color="auto" w:fill="auto"/>
            <w:vAlign w:val="center"/>
          </w:tcPr>
          <w:p w14:paraId="50D36CD2" w14:textId="77777777" w:rsidR="00335619" w:rsidRPr="0023367D" w:rsidRDefault="00335619" w:rsidP="00335619">
            <w:pPr>
              <w:jc w:val="center"/>
              <w:rPr>
                <w:color w:val="000000"/>
                <w:sz w:val="19"/>
                <w:szCs w:val="19"/>
              </w:rPr>
            </w:pPr>
            <w:r w:rsidRPr="0023367D">
              <w:rPr>
                <w:color w:val="000000"/>
                <w:sz w:val="19"/>
                <w:szCs w:val="19"/>
              </w:rPr>
              <w:t>13.8%</w:t>
            </w:r>
          </w:p>
        </w:tc>
        <w:tc>
          <w:tcPr>
            <w:tcW w:w="1260" w:type="dxa"/>
            <w:tcBorders>
              <w:top w:val="nil"/>
              <w:left w:val="nil"/>
              <w:bottom w:val="single" w:sz="8" w:space="0" w:color="auto"/>
              <w:right w:val="single" w:sz="4" w:space="0" w:color="auto"/>
            </w:tcBorders>
            <w:shd w:val="clear" w:color="auto" w:fill="auto"/>
            <w:noWrap/>
            <w:vAlign w:val="center"/>
          </w:tcPr>
          <w:p w14:paraId="5A029133" w14:textId="77777777" w:rsidR="00335619" w:rsidRPr="0023367D" w:rsidRDefault="00335619" w:rsidP="00335619">
            <w:pPr>
              <w:jc w:val="center"/>
              <w:rPr>
                <w:color w:val="000000"/>
                <w:sz w:val="19"/>
                <w:szCs w:val="19"/>
              </w:rPr>
            </w:pPr>
            <w:r w:rsidRPr="0023367D">
              <w:rPr>
                <w:color w:val="000000"/>
                <w:sz w:val="19"/>
                <w:szCs w:val="19"/>
              </w:rPr>
              <w:t>65.9%</w:t>
            </w:r>
          </w:p>
        </w:tc>
      </w:tr>
      <w:tr w:rsidR="00335619" w:rsidRPr="0023367D" w14:paraId="61F212AA"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3DAA774D" w14:textId="77777777" w:rsidR="00335619" w:rsidRPr="0023367D" w:rsidRDefault="00335619" w:rsidP="00335619">
            <w:pPr>
              <w:jc w:val="center"/>
              <w:rPr>
                <w:color w:val="000000"/>
                <w:sz w:val="19"/>
                <w:szCs w:val="19"/>
              </w:rPr>
            </w:pPr>
            <w:r w:rsidRPr="0023367D">
              <w:rPr>
                <w:bCs/>
                <w:color w:val="000000"/>
                <w:sz w:val="19"/>
                <w:szCs w:val="19"/>
                <w:lang w:bidi="he-IL"/>
              </w:rPr>
              <w:t>1980</w:t>
            </w:r>
          </w:p>
        </w:tc>
        <w:tc>
          <w:tcPr>
            <w:tcW w:w="900" w:type="dxa"/>
            <w:tcBorders>
              <w:top w:val="nil"/>
              <w:left w:val="nil"/>
              <w:bottom w:val="single" w:sz="8" w:space="0" w:color="auto"/>
              <w:right w:val="single" w:sz="8" w:space="0" w:color="auto"/>
            </w:tcBorders>
            <w:shd w:val="clear" w:color="auto" w:fill="auto"/>
            <w:noWrap/>
            <w:vAlign w:val="center"/>
          </w:tcPr>
          <w:p w14:paraId="4FAFA28F" w14:textId="77777777" w:rsidR="00335619" w:rsidRPr="0023367D" w:rsidRDefault="00335619" w:rsidP="00335619">
            <w:pPr>
              <w:jc w:val="center"/>
              <w:rPr>
                <w:color w:val="000000"/>
                <w:sz w:val="19"/>
                <w:szCs w:val="19"/>
              </w:rPr>
            </w:pPr>
            <w:r w:rsidRPr="0023367D">
              <w:rPr>
                <w:color w:val="000000"/>
                <w:sz w:val="19"/>
                <w:szCs w:val="19"/>
              </w:rPr>
              <w:t>200</w:t>
            </w:r>
          </w:p>
        </w:tc>
        <w:tc>
          <w:tcPr>
            <w:tcW w:w="971" w:type="dxa"/>
            <w:tcBorders>
              <w:top w:val="nil"/>
              <w:left w:val="nil"/>
              <w:bottom w:val="single" w:sz="8" w:space="0" w:color="auto"/>
              <w:right w:val="single" w:sz="8" w:space="0" w:color="auto"/>
            </w:tcBorders>
            <w:shd w:val="clear" w:color="auto" w:fill="auto"/>
            <w:noWrap/>
            <w:vAlign w:val="center"/>
          </w:tcPr>
          <w:p w14:paraId="1FFC1CC5" w14:textId="77777777" w:rsidR="00335619" w:rsidRPr="0023367D" w:rsidRDefault="00335619" w:rsidP="00335619">
            <w:pPr>
              <w:jc w:val="center"/>
              <w:rPr>
                <w:color w:val="000000"/>
                <w:sz w:val="19"/>
                <w:szCs w:val="19"/>
              </w:rPr>
            </w:pPr>
            <w:r w:rsidRPr="0023367D">
              <w:rPr>
                <w:color w:val="000000"/>
                <w:sz w:val="19"/>
                <w:szCs w:val="19"/>
              </w:rPr>
              <w:t>13.9%</w:t>
            </w:r>
          </w:p>
        </w:tc>
        <w:tc>
          <w:tcPr>
            <w:tcW w:w="1067" w:type="dxa"/>
            <w:tcBorders>
              <w:top w:val="nil"/>
              <w:left w:val="nil"/>
              <w:bottom w:val="single" w:sz="8" w:space="0" w:color="auto"/>
              <w:right w:val="single" w:sz="8" w:space="0" w:color="auto"/>
            </w:tcBorders>
            <w:shd w:val="clear" w:color="auto" w:fill="auto"/>
            <w:vAlign w:val="center"/>
          </w:tcPr>
          <w:p w14:paraId="25E87CB9" w14:textId="77777777" w:rsidR="00335619" w:rsidRPr="0023367D" w:rsidRDefault="00335619" w:rsidP="00335619">
            <w:pPr>
              <w:jc w:val="center"/>
              <w:rPr>
                <w:color w:val="000000"/>
                <w:sz w:val="19"/>
                <w:szCs w:val="19"/>
              </w:rPr>
            </w:pPr>
            <w:r w:rsidRPr="0023367D">
              <w:rPr>
                <w:color w:val="000000"/>
                <w:sz w:val="19"/>
                <w:szCs w:val="19"/>
              </w:rPr>
              <w:t>13.5%</w:t>
            </w:r>
          </w:p>
        </w:tc>
        <w:tc>
          <w:tcPr>
            <w:tcW w:w="1292" w:type="dxa"/>
            <w:tcBorders>
              <w:top w:val="nil"/>
              <w:left w:val="nil"/>
              <w:bottom w:val="single" w:sz="8" w:space="0" w:color="auto"/>
              <w:right w:val="single" w:sz="12" w:space="0" w:color="auto"/>
            </w:tcBorders>
            <w:vAlign w:val="center"/>
          </w:tcPr>
          <w:p w14:paraId="63057FCD" w14:textId="77777777" w:rsidR="00335619" w:rsidRPr="0023367D" w:rsidRDefault="00335619" w:rsidP="00335619">
            <w:pPr>
              <w:jc w:val="center"/>
              <w:rPr>
                <w:color w:val="000000"/>
                <w:sz w:val="19"/>
                <w:szCs w:val="19"/>
              </w:rPr>
            </w:pPr>
            <w:r w:rsidRPr="0023367D">
              <w:rPr>
                <w:color w:val="000000"/>
                <w:sz w:val="19"/>
                <w:szCs w:val="19"/>
              </w:rPr>
              <w:t>65.5%</w:t>
            </w:r>
          </w:p>
        </w:tc>
        <w:tc>
          <w:tcPr>
            <w:tcW w:w="720" w:type="dxa"/>
            <w:tcBorders>
              <w:top w:val="nil"/>
              <w:left w:val="single" w:sz="12" w:space="0" w:color="auto"/>
              <w:bottom w:val="single" w:sz="8" w:space="0" w:color="auto"/>
              <w:right w:val="single" w:sz="8" w:space="0" w:color="auto"/>
            </w:tcBorders>
            <w:shd w:val="clear" w:color="auto" w:fill="auto"/>
            <w:vAlign w:val="center"/>
          </w:tcPr>
          <w:p w14:paraId="6504B6F5" w14:textId="77777777" w:rsidR="00335619" w:rsidRPr="0023367D" w:rsidRDefault="00335619" w:rsidP="00335619">
            <w:pPr>
              <w:jc w:val="center"/>
              <w:rPr>
                <w:color w:val="000000"/>
                <w:sz w:val="19"/>
                <w:szCs w:val="19"/>
              </w:rPr>
            </w:pPr>
            <w:r w:rsidRPr="0023367D">
              <w:rPr>
                <w:color w:val="000000"/>
                <w:sz w:val="19"/>
                <w:szCs w:val="19"/>
              </w:rPr>
              <w:t>159</w:t>
            </w:r>
          </w:p>
        </w:tc>
        <w:tc>
          <w:tcPr>
            <w:tcW w:w="1176" w:type="dxa"/>
            <w:tcBorders>
              <w:top w:val="nil"/>
              <w:left w:val="nil"/>
              <w:bottom w:val="single" w:sz="8" w:space="0" w:color="auto"/>
              <w:right w:val="single" w:sz="8" w:space="0" w:color="auto"/>
            </w:tcBorders>
            <w:shd w:val="clear" w:color="auto" w:fill="auto"/>
            <w:vAlign w:val="center"/>
          </w:tcPr>
          <w:p w14:paraId="00EBCCE5" w14:textId="77777777" w:rsidR="00335619" w:rsidRPr="0023367D" w:rsidRDefault="00335619" w:rsidP="00335619">
            <w:pPr>
              <w:jc w:val="center"/>
              <w:rPr>
                <w:color w:val="000000"/>
                <w:sz w:val="19"/>
                <w:szCs w:val="19"/>
              </w:rPr>
            </w:pPr>
            <w:r w:rsidRPr="0023367D">
              <w:rPr>
                <w:color w:val="000000"/>
                <w:sz w:val="19"/>
                <w:szCs w:val="19"/>
              </w:rPr>
              <w:t>20.9%</w:t>
            </w:r>
          </w:p>
        </w:tc>
        <w:tc>
          <w:tcPr>
            <w:tcW w:w="1074" w:type="dxa"/>
            <w:tcBorders>
              <w:top w:val="nil"/>
              <w:left w:val="nil"/>
              <w:bottom w:val="single" w:sz="8" w:space="0" w:color="auto"/>
              <w:right w:val="single" w:sz="8" w:space="0" w:color="auto"/>
            </w:tcBorders>
            <w:shd w:val="clear" w:color="auto" w:fill="auto"/>
            <w:vAlign w:val="center"/>
          </w:tcPr>
          <w:p w14:paraId="71201247" w14:textId="77777777" w:rsidR="00335619" w:rsidRPr="0023367D" w:rsidRDefault="00335619" w:rsidP="00335619">
            <w:pPr>
              <w:jc w:val="center"/>
              <w:rPr>
                <w:color w:val="000000"/>
                <w:sz w:val="19"/>
                <w:szCs w:val="19"/>
              </w:rPr>
            </w:pPr>
            <w:r w:rsidRPr="0023367D">
              <w:rPr>
                <w:color w:val="000000"/>
                <w:sz w:val="19"/>
                <w:szCs w:val="19"/>
              </w:rPr>
              <w:t>18.3%</w:t>
            </w:r>
          </w:p>
        </w:tc>
        <w:tc>
          <w:tcPr>
            <w:tcW w:w="1260" w:type="dxa"/>
            <w:tcBorders>
              <w:top w:val="nil"/>
              <w:left w:val="nil"/>
              <w:bottom w:val="single" w:sz="8" w:space="0" w:color="auto"/>
              <w:right w:val="single" w:sz="4" w:space="0" w:color="auto"/>
            </w:tcBorders>
            <w:shd w:val="clear" w:color="auto" w:fill="auto"/>
            <w:noWrap/>
            <w:vAlign w:val="center"/>
          </w:tcPr>
          <w:p w14:paraId="766A2A9F" w14:textId="77777777" w:rsidR="00335619" w:rsidRPr="0023367D" w:rsidRDefault="00335619" w:rsidP="00335619">
            <w:pPr>
              <w:jc w:val="center"/>
              <w:rPr>
                <w:color w:val="000000"/>
                <w:sz w:val="19"/>
                <w:szCs w:val="19"/>
              </w:rPr>
            </w:pPr>
            <w:r w:rsidRPr="0023367D">
              <w:rPr>
                <w:color w:val="000000"/>
                <w:sz w:val="19"/>
                <w:szCs w:val="19"/>
              </w:rPr>
              <w:t>58.5%</w:t>
            </w:r>
          </w:p>
        </w:tc>
      </w:tr>
      <w:tr w:rsidR="00335619" w:rsidRPr="0023367D" w14:paraId="5678426D"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1EC2FC2C" w14:textId="77777777" w:rsidR="00335619" w:rsidRPr="0023367D" w:rsidRDefault="00335619" w:rsidP="00335619">
            <w:pPr>
              <w:jc w:val="center"/>
              <w:rPr>
                <w:color w:val="000000"/>
                <w:sz w:val="19"/>
                <w:szCs w:val="19"/>
              </w:rPr>
            </w:pPr>
            <w:r w:rsidRPr="0023367D">
              <w:rPr>
                <w:bCs/>
                <w:color w:val="000000"/>
                <w:sz w:val="19"/>
                <w:szCs w:val="19"/>
                <w:lang w:bidi="he-IL"/>
              </w:rPr>
              <w:t>1981</w:t>
            </w:r>
          </w:p>
        </w:tc>
        <w:tc>
          <w:tcPr>
            <w:tcW w:w="900" w:type="dxa"/>
            <w:tcBorders>
              <w:top w:val="nil"/>
              <w:left w:val="nil"/>
              <w:bottom w:val="single" w:sz="8" w:space="0" w:color="auto"/>
              <w:right w:val="single" w:sz="8" w:space="0" w:color="auto"/>
            </w:tcBorders>
            <w:shd w:val="clear" w:color="auto" w:fill="auto"/>
            <w:noWrap/>
            <w:vAlign w:val="center"/>
          </w:tcPr>
          <w:p w14:paraId="3950D37D" w14:textId="77777777" w:rsidR="00335619" w:rsidRPr="0023367D" w:rsidRDefault="00335619" w:rsidP="00335619">
            <w:pPr>
              <w:jc w:val="center"/>
              <w:rPr>
                <w:color w:val="000000"/>
                <w:sz w:val="19"/>
                <w:szCs w:val="19"/>
              </w:rPr>
            </w:pPr>
            <w:r w:rsidRPr="0023367D">
              <w:rPr>
                <w:color w:val="000000"/>
                <w:sz w:val="19"/>
                <w:szCs w:val="19"/>
              </w:rPr>
              <w:t>457</w:t>
            </w:r>
          </w:p>
        </w:tc>
        <w:tc>
          <w:tcPr>
            <w:tcW w:w="971" w:type="dxa"/>
            <w:tcBorders>
              <w:top w:val="nil"/>
              <w:left w:val="nil"/>
              <w:bottom w:val="single" w:sz="8" w:space="0" w:color="auto"/>
              <w:right w:val="single" w:sz="8" w:space="0" w:color="auto"/>
            </w:tcBorders>
            <w:shd w:val="clear" w:color="auto" w:fill="auto"/>
            <w:noWrap/>
            <w:vAlign w:val="center"/>
          </w:tcPr>
          <w:p w14:paraId="6CCE4264" w14:textId="77777777" w:rsidR="00335619" w:rsidRPr="0023367D" w:rsidRDefault="00335619" w:rsidP="00335619">
            <w:pPr>
              <w:jc w:val="center"/>
              <w:rPr>
                <w:color w:val="000000"/>
                <w:sz w:val="19"/>
                <w:szCs w:val="19"/>
              </w:rPr>
            </w:pPr>
            <w:r w:rsidRPr="0023367D">
              <w:rPr>
                <w:color w:val="000000"/>
                <w:sz w:val="19"/>
                <w:szCs w:val="19"/>
              </w:rPr>
              <w:t>13.2%</w:t>
            </w:r>
          </w:p>
        </w:tc>
        <w:tc>
          <w:tcPr>
            <w:tcW w:w="1067" w:type="dxa"/>
            <w:tcBorders>
              <w:top w:val="nil"/>
              <w:left w:val="nil"/>
              <w:bottom w:val="single" w:sz="8" w:space="0" w:color="auto"/>
              <w:right w:val="single" w:sz="8" w:space="0" w:color="auto"/>
            </w:tcBorders>
            <w:shd w:val="clear" w:color="auto" w:fill="auto"/>
            <w:vAlign w:val="center"/>
          </w:tcPr>
          <w:p w14:paraId="3FD5EA51" w14:textId="77777777" w:rsidR="00335619" w:rsidRPr="0023367D" w:rsidRDefault="00335619" w:rsidP="00335619">
            <w:pPr>
              <w:jc w:val="center"/>
              <w:rPr>
                <w:color w:val="000000"/>
                <w:sz w:val="19"/>
                <w:szCs w:val="19"/>
              </w:rPr>
            </w:pPr>
            <w:r w:rsidRPr="0023367D">
              <w:rPr>
                <w:color w:val="000000"/>
                <w:sz w:val="19"/>
                <w:szCs w:val="19"/>
              </w:rPr>
              <w:t>12.9%</w:t>
            </w:r>
          </w:p>
        </w:tc>
        <w:tc>
          <w:tcPr>
            <w:tcW w:w="1292" w:type="dxa"/>
            <w:tcBorders>
              <w:top w:val="nil"/>
              <w:left w:val="nil"/>
              <w:bottom w:val="single" w:sz="8" w:space="0" w:color="auto"/>
              <w:right w:val="single" w:sz="12" w:space="0" w:color="auto"/>
            </w:tcBorders>
            <w:vAlign w:val="center"/>
          </w:tcPr>
          <w:p w14:paraId="0C8B0629" w14:textId="77777777" w:rsidR="00335619" w:rsidRPr="0023367D" w:rsidRDefault="00335619" w:rsidP="00335619">
            <w:pPr>
              <w:jc w:val="center"/>
              <w:rPr>
                <w:color w:val="000000"/>
                <w:sz w:val="19"/>
                <w:szCs w:val="19"/>
              </w:rPr>
            </w:pPr>
            <w:r w:rsidRPr="0023367D">
              <w:rPr>
                <w:color w:val="000000"/>
                <w:sz w:val="19"/>
                <w:szCs w:val="19"/>
              </w:rPr>
              <w:t>64.4%</w:t>
            </w:r>
          </w:p>
        </w:tc>
        <w:tc>
          <w:tcPr>
            <w:tcW w:w="720" w:type="dxa"/>
            <w:tcBorders>
              <w:top w:val="nil"/>
              <w:left w:val="single" w:sz="12" w:space="0" w:color="auto"/>
              <w:bottom w:val="single" w:sz="8" w:space="0" w:color="auto"/>
              <w:right w:val="single" w:sz="8" w:space="0" w:color="auto"/>
            </w:tcBorders>
            <w:shd w:val="clear" w:color="auto" w:fill="auto"/>
            <w:vAlign w:val="center"/>
          </w:tcPr>
          <w:p w14:paraId="4C78197A" w14:textId="77777777" w:rsidR="00335619" w:rsidRPr="0023367D" w:rsidRDefault="00335619" w:rsidP="00335619">
            <w:pPr>
              <w:jc w:val="center"/>
              <w:rPr>
                <w:color w:val="000000"/>
                <w:sz w:val="19"/>
                <w:szCs w:val="19"/>
              </w:rPr>
            </w:pPr>
            <w:r w:rsidRPr="0023367D">
              <w:rPr>
                <w:color w:val="000000"/>
                <w:sz w:val="19"/>
                <w:szCs w:val="19"/>
              </w:rPr>
              <w:t>50</w:t>
            </w:r>
          </w:p>
        </w:tc>
        <w:tc>
          <w:tcPr>
            <w:tcW w:w="1176" w:type="dxa"/>
            <w:tcBorders>
              <w:top w:val="nil"/>
              <w:left w:val="nil"/>
              <w:bottom w:val="single" w:sz="8" w:space="0" w:color="auto"/>
              <w:right w:val="single" w:sz="8" w:space="0" w:color="auto"/>
            </w:tcBorders>
            <w:shd w:val="clear" w:color="auto" w:fill="auto"/>
            <w:vAlign w:val="center"/>
          </w:tcPr>
          <w:p w14:paraId="36763B35" w14:textId="77777777" w:rsidR="00335619" w:rsidRPr="0023367D" w:rsidRDefault="00335619" w:rsidP="00335619">
            <w:pPr>
              <w:jc w:val="center"/>
              <w:rPr>
                <w:color w:val="000000"/>
                <w:sz w:val="19"/>
                <w:szCs w:val="19"/>
              </w:rPr>
            </w:pPr>
            <w:r w:rsidRPr="0023367D">
              <w:rPr>
                <w:color w:val="000000"/>
                <w:sz w:val="19"/>
                <w:szCs w:val="19"/>
              </w:rPr>
              <w:t>19.1%</w:t>
            </w:r>
          </w:p>
        </w:tc>
        <w:tc>
          <w:tcPr>
            <w:tcW w:w="1074" w:type="dxa"/>
            <w:tcBorders>
              <w:top w:val="nil"/>
              <w:left w:val="nil"/>
              <w:bottom w:val="single" w:sz="8" w:space="0" w:color="auto"/>
              <w:right w:val="single" w:sz="8" w:space="0" w:color="auto"/>
            </w:tcBorders>
            <w:shd w:val="clear" w:color="auto" w:fill="auto"/>
            <w:vAlign w:val="center"/>
          </w:tcPr>
          <w:p w14:paraId="70CA2A95" w14:textId="77777777" w:rsidR="00335619" w:rsidRPr="0023367D" w:rsidRDefault="00335619" w:rsidP="00335619">
            <w:pPr>
              <w:jc w:val="center"/>
              <w:rPr>
                <w:color w:val="000000"/>
                <w:sz w:val="19"/>
                <w:szCs w:val="19"/>
              </w:rPr>
            </w:pPr>
            <w:r w:rsidRPr="0023367D">
              <w:rPr>
                <w:color w:val="000000"/>
                <w:sz w:val="19"/>
                <w:szCs w:val="19"/>
              </w:rPr>
              <w:t>16.9%</w:t>
            </w:r>
          </w:p>
        </w:tc>
        <w:tc>
          <w:tcPr>
            <w:tcW w:w="1260" w:type="dxa"/>
            <w:tcBorders>
              <w:top w:val="nil"/>
              <w:left w:val="nil"/>
              <w:bottom w:val="single" w:sz="8" w:space="0" w:color="auto"/>
              <w:right w:val="single" w:sz="4" w:space="0" w:color="auto"/>
            </w:tcBorders>
            <w:shd w:val="clear" w:color="auto" w:fill="auto"/>
            <w:noWrap/>
            <w:vAlign w:val="center"/>
          </w:tcPr>
          <w:p w14:paraId="16D0772A" w14:textId="77777777" w:rsidR="00335619" w:rsidRPr="0023367D" w:rsidRDefault="00335619" w:rsidP="00335619">
            <w:pPr>
              <w:jc w:val="center"/>
              <w:rPr>
                <w:color w:val="000000"/>
                <w:sz w:val="19"/>
                <w:szCs w:val="19"/>
              </w:rPr>
            </w:pPr>
            <w:r w:rsidRPr="0023367D">
              <w:rPr>
                <w:color w:val="000000"/>
                <w:sz w:val="19"/>
                <w:szCs w:val="19"/>
              </w:rPr>
              <w:t>54.9%</w:t>
            </w:r>
          </w:p>
        </w:tc>
      </w:tr>
      <w:tr w:rsidR="00335619" w:rsidRPr="0023367D" w14:paraId="64F111DC"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5E9923F7" w14:textId="77777777" w:rsidR="00335619" w:rsidRPr="0023367D" w:rsidRDefault="00335619" w:rsidP="00335619">
            <w:pPr>
              <w:jc w:val="center"/>
              <w:rPr>
                <w:color w:val="000000"/>
                <w:sz w:val="19"/>
                <w:szCs w:val="19"/>
              </w:rPr>
            </w:pPr>
            <w:r w:rsidRPr="0023367D">
              <w:rPr>
                <w:bCs/>
                <w:color w:val="000000"/>
                <w:sz w:val="19"/>
                <w:szCs w:val="19"/>
                <w:lang w:bidi="he-IL"/>
              </w:rPr>
              <w:t>1982</w:t>
            </w:r>
          </w:p>
        </w:tc>
        <w:tc>
          <w:tcPr>
            <w:tcW w:w="900" w:type="dxa"/>
            <w:tcBorders>
              <w:top w:val="nil"/>
              <w:left w:val="nil"/>
              <w:bottom w:val="single" w:sz="8" w:space="0" w:color="auto"/>
              <w:right w:val="single" w:sz="8" w:space="0" w:color="auto"/>
            </w:tcBorders>
            <w:shd w:val="clear" w:color="auto" w:fill="auto"/>
            <w:noWrap/>
            <w:vAlign w:val="center"/>
          </w:tcPr>
          <w:p w14:paraId="3405A8CD" w14:textId="77777777" w:rsidR="00335619" w:rsidRPr="0023367D" w:rsidRDefault="00335619" w:rsidP="00335619">
            <w:pPr>
              <w:jc w:val="center"/>
              <w:rPr>
                <w:color w:val="000000"/>
                <w:sz w:val="19"/>
                <w:szCs w:val="19"/>
              </w:rPr>
            </w:pPr>
            <w:r w:rsidRPr="0023367D">
              <w:rPr>
                <w:color w:val="000000"/>
                <w:sz w:val="19"/>
                <w:szCs w:val="19"/>
              </w:rPr>
              <w:t>441</w:t>
            </w:r>
          </w:p>
        </w:tc>
        <w:tc>
          <w:tcPr>
            <w:tcW w:w="971" w:type="dxa"/>
            <w:tcBorders>
              <w:top w:val="nil"/>
              <w:left w:val="nil"/>
              <w:bottom w:val="single" w:sz="8" w:space="0" w:color="auto"/>
              <w:right w:val="single" w:sz="8" w:space="0" w:color="auto"/>
            </w:tcBorders>
            <w:shd w:val="clear" w:color="auto" w:fill="auto"/>
            <w:noWrap/>
            <w:vAlign w:val="center"/>
          </w:tcPr>
          <w:p w14:paraId="582993CB" w14:textId="77777777" w:rsidR="00335619" w:rsidRPr="0023367D" w:rsidRDefault="00335619" w:rsidP="00335619">
            <w:pPr>
              <w:jc w:val="center"/>
              <w:rPr>
                <w:color w:val="000000"/>
                <w:sz w:val="19"/>
                <w:szCs w:val="19"/>
              </w:rPr>
            </w:pPr>
            <w:r w:rsidRPr="0023367D">
              <w:rPr>
                <w:color w:val="000000"/>
                <w:sz w:val="19"/>
                <w:szCs w:val="19"/>
              </w:rPr>
              <w:t>15.7%</w:t>
            </w:r>
          </w:p>
        </w:tc>
        <w:tc>
          <w:tcPr>
            <w:tcW w:w="1067" w:type="dxa"/>
            <w:tcBorders>
              <w:top w:val="nil"/>
              <w:left w:val="nil"/>
              <w:bottom w:val="single" w:sz="8" w:space="0" w:color="auto"/>
              <w:right w:val="single" w:sz="8" w:space="0" w:color="auto"/>
            </w:tcBorders>
            <w:shd w:val="clear" w:color="auto" w:fill="auto"/>
            <w:vAlign w:val="center"/>
          </w:tcPr>
          <w:p w14:paraId="4E17ABFC" w14:textId="77777777" w:rsidR="00335619" w:rsidRPr="0023367D" w:rsidRDefault="00335619" w:rsidP="00335619">
            <w:pPr>
              <w:jc w:val="center"/>
              <w:rPr>
                <w:color w:val="000000"/>
                <w:sz w:val="19"/>
                <w:szCs w:val="19"/>
              </w:rPr>
            </w:pPr>
            <w:r w:rsidRPr="0023367D">
              <w:rPr>
                <w:color w:val="000000"/>
                <w:sz w:val="19"/>
                <w:szCs w:val="19"/>
              </w:rPr>
              <w:t>14.9%</w:t>
            </w:r>
          </w:p>
        </w:tc>
        <w:tc>
          <w:tcPr>
            <w:tcW w:w="1292" w:type="dxa"/>
            <w:tcBorders>
              <w:top w:val="nil"/>
              <w:left w:val="nil"/>
              <w:bottom w:val="single" w:sz="8" w:space="0" w:color="auto"/>
              <w:right w:val="single" w:sz="12" w:space="0" w:color="auto"/>
            </w:tcBorders>
            <w:vAlign w:val="center"/>
          </w:tcPr>
          <w:p w14:paraId="7D2DC932" w14:textId="77777777" w:rsidR="00335619" w:rsidRPr="0023367D" w:rsidRDefault="00335619" w:rsidP="00335619">
            <w:pPr>
              <w:jc w:val="center"/>
              <w:rPr>
                <w:color w:val="000000"/>
                <w:sz w:val="19"/>
                <w:szCs w:val="19"/>
              </w:rPr>
            </w:pPr>
            <w:r w:rsidRPr="0023367D">
              <w:rPr>
                <w:color w:val="000000"/>
                <w:sz w:val="19"/>
                <w:szCs w:val="19"/>
              </w:rPr>
              <w:t>65.8%</w:t>
            </w:r>
          </w:p>
        </w:tc>
        <w:tc>
          <w:tcPr>
            <w:tcW w:w="720" w:type="dxa"/>
            <w:tcBorders>
              <w:top w:val="nil"/>
              <w:left w:val="single" w:sz="12" w:space="0" w:color="auto"/>
              <w:bottom w:val="single" w:sz="8" w:space="0" w:color="auto"/>
              <w:right w:val="single" w:sz="8" w:space="0" w:color="auto"/>
            </w:tcBorders>
            <w:shd w:val="clear" w:color="auto" w:fill="auto"/>
            <w:vAlign w:val="center"/>
          </w:tcPr>
          <w:p w14:paraId="608C7D85" w14:textId="77777777" w:rsidR="00335619" w:rsidRPr="0023367D" w:rsidRDefault="00335619" w:rsidP="00335619">
            <w:pPr>
              <w:jc w:val="center"/>
              <w:rPr>
                <w:color w:val="000000"/>
                <w:sz w:val="19"/>
                <w:szCs w:val="19"/>
              </w:rPr>
            </w:pPr>
            <w:r w:rsidRPr="0023367D">
              <w:rPr>
                <w:color w:val="000000"/>
                <w:sz w:val="19"/>
                <w:szCs w:val="19"/>
              </w:rPr>
              <w:t>60</w:t>
            </w:r>
          </w:p>
        </w:tc>
        <w:tc>
          <w:tcPr>
            <w:tcW w:w="1176" w:type="dxa"/>
            <w:tcBorders>
              <w:top w:val="nil"/>
              <w:left w:val="nil"/>
              <w:bottom w:val="single" w:sz="8" w:space="0" w:color="auto"/>
              <w:right w:val="single" w:sz="8" w:space="0" w:color="auto"/>
            </w:tcBorders>
            <w:shd w:val="clear" w:color="auto" w:fill="auto"/>
            <w:vAlign w:val="center"/>
          </w:tcPr>
          <w:p w14:paraId="08B848FC" w14:textId="77777777" w:rsidR="00335619" w:rsidRPr="0023367D" w:rsidRDefault="00335619" w:rsidP="00335619">
            <w:pPr>
              <w:jc w:val="center"/>
              <w:rPr>
                <w:color w:val="000000"/>
                <w:sz w:val="19"/>
                <w:szCs w:val="19"/>
              </w:rPr>
            </w:pPr>
            <w:r w:rsidRPr="0023367D">
              <w:rPr>
                <w:color w:val="000000"/>
                <w:sz w:val="19"/>
                <w:szCs w:val="19"/>
              </w:rPr>
              <w:t>20.7%</w:t>
            </w:r>
          </w:p>
        </w:tc>
        <w:tc>
          <w:tcPr>
            <w:tcW w:w="1074" w:type="dxa"/>
            <w:tcBorders>
              <w:top w:val="nil"/>
              <w:left w:val="nil"/>
              <w:bottom w:val="single" w:sz="8" w:space="0" w:color="auto"/>
              <w:right w:val="single" w:sz="8" w:space="0" w:color="auto"/>
            </w:tcBorders>
            <w:shd w:val="clear" w:color="auto" w:fill="auto"/>
            <w:vAlign w:val="center"/>
          </w:tcPr>
          <w:p w14:paraId="20D4B414" w14:textId="77777777" w:rsidR="00335619" w:rsidRPr="0023367D" w:rsidRDefault="00335619" w:rsidP="00335619">
            <w:pPr>
              <w:jc w:val="center"/>
              <w:rPr>
                <w:color w:val="000000"/>
                <w:sz w:val="19"/>
                <w:szCs w:val="19"/>
              </w:rPr>
            </w:pPr>
            <w:r w:rsidRPr="0023367D">
              <w:rPr>
                <w:color w:val="000000"/>
                <w:sz w:val="19"/>
                <w:szCs w:val="19"/>
              </w:rPr>
              <w:t>17.3%</w:t>
            </w:r>
          </w:p>
        </w:tc>
        <w:tc>
          <w:tcPr>
            <w:tcW w:w="1260" w:type="dxa"/>
            <w:tcBorders>
              <w:top w:val="nil"/>
              <w:left w:val="nil"/>
              <w:bottom w:val="single" w:sz="8" w:space="0" w:color="auto"/>
              <w:right w:val="single" w:sz="4" w:space="0" w:color="auto"/>
            </w:tcBorders>
            <w:shd w:val="clear" w:color="auto" w:fill="auto"/>
            <w:noWrap/>
            <w:vAlign w:val="center"/>
          </w:tcPr>
          <w:p w14:paraId="1B0D3683" w14:textId="77777777" w:rsidR="00335619" w:rsidRPr="0023367D" w:rsidRDefault="00335619" w:rsidP="00335619">
            <w:pPr>
              <w:jc w:val="center"/>
              <w:rPr>
                <w:color w:val="000000"/>
                <w:sz w:val="19"/>
                <w:szCs w:val="19"/>
              </w:rPr>
            </w:pPr>
            <w:r w:rsidRPr="0023367D">
              <w:rPr>
                <w:color w:val="000000"/>
                <w:sz w:val="19"/>
                <w:szCs w:val="19"/>
              </w:rPr>
              <w:t>53.5%</w:t>
            </w:r>
          </w:p>
        </w:tc>
      </w:tr>
      <w:tr w:rsidR="00335619" w:rsidRPr="0023367D" w14:paraId="73848B25"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0F470FB3" w14:textId="77777777" w:rsidR="00335619" w:rsidRPr="0023367D" w:rsidRDefault="00335619" w:rsidP="00335619">
            <w:pPr>
              <w:jc w:val="center"/>
              <w:rPr>
                <w:color w:val="000000"/>
                <w:sz w:val="19"/>
                <w:szCs w:val="19"/>
              </w:rPr>
            </w:pPr>
            <w:r w:rsidRPr="0023367D">
              <w:rPr>
                <w:bCs/>
                <w:color w:val="000000"/>
                <w:sz w:val="19"/>
                <w:szCs w:val="19"/>
                <w:lang w:bidi="he-IL"/>
              </w:rPr>
              <w:t>1983</w:t>
            </w:r>
          </w:p>
        </w:tc>
        <w:tc>
          <w:tcPr>
            <w:tcW w:w="900" w:type="dxa"/>
            <w:tcBorders>
              <w:top w:val="nil"/>
              <w:left w:val="nil"/>
              <w:bottom w:val="single" w:sz="8" w:space="0" w:color="auto"/>
              <w:right w:val="single" w:sz="8" w:space="0" w:color="auto"/>
            </w:tcBorders>
            <w:shd w:val="clear" w:color="auto" w:fill="auto"/>
            <w:noWrap/>
            <w:vAlign w:val="center"/>
          </w:tcPr>
          <w:p w14:paraId="3431F349" w14:textId="77777777" w:rsidR="00335619" w:rsidRPr="0023367D" w:rsidRDefault="00335619" w:rsidP="00335619">
            <w:pPr>
              <w:jc w:val="center"/>
              <w:rPr>
                <w:color w:val="000000"/>
                <w:sz w:val="19"/>
                <w:szCs w:val="19"/>
              </w:rPr>
            </w:pPr>
            <w:r w:rsidRPr="0023367D">
              <w:rPr>
                <w:color w:val="000000"/>
                <w:sz w:val="19"/>
                <w:szCs w:val="19"/>
              </w:rPr>
              <w:t>475</w:t>
            </w:r>
          </w:p>
        </w:tc>
        <w:tc>
          <w:tcPr>
            <w:tcW w:w="971" w:type="dxa"/>
            <w:tcBorders>
              <w:top w:val="nil"/>
              <w:left w:val="nil"/>
              <w:bottom w:val="single" w:sz="8" w:space="0" w:color="auto"/>
              <w:right w:val="single" w:sz="8" w:space="0" w:color="auto"/>
            </w:tcBorders>
            <w:shd w:val="clear" w:color="auto" w:fill="auto"/>
            <w:noWrap/>
            <w:vAlign w:val="center"/>
          </w:tcPr>
          <w:p w14:paraId="7B4F0644" w14:textId="77777777" w:rsidR="00335619" w:rsidRPr="0023367D" w:rsidRDefault="00335619" w:rsidP="00335619">
            <w:pPr>
              <w:jc w:val="center"/>
              <w:rPr>
                <w:color w:val="000000"/>
                <w:sz w:val="19"/>
                <w:szCs w:val="19"/>
              </w:rPr>
            </w:pPr>
            <w:r w:rsidRPr="0023367D">
              <w:rPr>
                <w:color w:val="000000"/>
                <w:sz w:val="19"/>
                <w:szCs w:val="19"/>
              </w:rPr>
              <w:t>19.9%</w:t>
            </w:r>
          </w:p>
        </w:tc>
        <w:tc>
          <w:tcPr>
            <w:tcW w:w="1067" w:type="dxa"/>
            <w:tcBorders>
              <w:top w:val="nil"/>
              <w:left w:val="nil"/>
              <w:bottom w:val="single" w:sz="8" w:space="0" w:color="auto"/>
              <w:right w:val="single" w:sz="8" w:space="0" w:color="auto"/>
            </w:tcBorders>
            <w:shd w:val="clear" w:color="auto" w:fill="auto"/>
            <w:vAlign w:val="center"/>
          </w:tcPr>
          <w:p w14:paraId="21B05B3C" w14:textId="77777777" w:rsidR="00335619" w:rsidRPr="0023367D" w:rsidRDefault="00335619" w:rsidP="00335619">
            <w:pPr>
              <w:jc w:val="center"/>
              <w:rPr>
                <w:color w:val="000000"/>
                <w:sz w:val="19"/>
                <w:szCs w:val="19"/>
              </w:rPr>
            </w:pPr>
            <w:r w:rsidRPr="0023367D">
              <w:rPr>
                <w:color w:val="000000"/>
                <w:sz w:val="19"/>
                <w:szCs w:val="19"/>
              </w:rPr>
              <w:t>17.0%</w:t>
            </w:r>
          </w:p>
        </w:tc>
        <w:tc>
          <w:tcPr>
            <w:tcW w:w="1292" w:type="dxa"/>
            <w:tcBorders>
              <w:top w:val="nil"/>
              <w:left w:val="nil"/>
              <w:bottom w:val="single" w:sz="8" w:space="0" w:color="auto"/>
              <w:right w:val="single" w:sz="12" w:space="0" w:color="auto"/>
            </w:tcBorders>
            <w:vAlign w:val="center"/>
          </w:tcPr>
          <w:p w14:paraId="05A8E272" w14:textId="77777777" w:rsidR="00335619" w:rsidRPr="0023367D" w:rsidRDefault="00335619" w:rsidP="00335619">
            <w:pPr>
              <w:jc w:val="center"/>
              <w:rPr>
                <w:color w:val="000000"/>
                <w:sz w:val="19"/>
                <w:szCs w:val="19"/>
              </w:rPr>
            </w:pPr>
            <w:r w:rsidRPr="0023367D">
              <w:rPr>
                <w:color w:val="000000"/>
                <w:sz w:val="19"/>
                <w:szCs w:val="19"/>
              </w:rPr>
              <w:t>67.0%</w:t>
            </w:r>
          </w:p>
        </w:tc>
        <w:tc>
          <w:tcPr>
            <w:tcW w:w="720" w:type="dxa"/>
            <w:tcBorders>
              <w:top w:val="nil"/>
              <w:left w:val="single" w:sz="12" w:space="0" w:color="auto"/>
              <w:bottom w:val="single" w:sz="8" w:space="0" w:color="auto"/>
              <w:right w:val="single" w:sz="8" w:space="0" w:color="auto"/>
            </w:tcBorders>
            <w:shd w:val="clear" w:color="auto" w:fill="auto"/>
            <w:vAlign w:val="center"/>
          </w:tcPr>
          <w:p w14:paraId="3B03D421" w14:textId="77777777" w:rsidR="00335619" w:rsidRPr="0023367D" w:rsidRDefault="00335619" w:rsidP="00335619">
            <w:pPr>
              <w:jc w:val="center"/>
              <w:rPr>
                <w:color w:val="000000"/>
                <w:sz w:val="19"/>
                <w:szCs w:val="19"/>
              </w:rPr>
            </w:pPr>
            <w:r w:rsidRPr="0023367D">
              <w:rPr>
                <w:color w:val="000000"/>
                <w:sz w:val="19"/>
                <w:szCs w:val="19"/>
              </w:rPr>
              <w:t>98</w:t>
            </w:r>
          </w:p>
        </w:tc>
        <w:tc>
          <w:tcPr>
            <w:tcW w:w="1176" w:type="dxa"/>
            <w:tcBorders>
              <w:top w:val="nil"/>
              <w:left w:val="nil"/>
              <w:bottom w:val="single" w:sz="8" w:space="0" w:color="auto"/>
              <w:right w:val="single" w:sz="8" w:space="0" w:color="auto"/>
            </w:tcBorders>
            <w:shd w:val="clear" w:color="auto" w:fill="auto"/>
            <w:vAlign w:val="center"/>
          </w:tcPr>
          <w:p w14:paraId="1CEDCFFB" w14:textId="77777777" w:rsidR="00335619" w:rsidRPr="0023367D" w:rsidRDefault="00335619" w:rsidP="00335619">
            <w:pPr>
              <w:jc w:val="center"/>
              <w:rPr>
                <w:color w:val="000000"/>
                <w:sz w:val="19"/>
                <w:szCs w:val="19"/>
              </w:rPr>
            </w:pPr>
            <w:r w:rsidRPr="0023367D">
              <w:rPr>
                <w:color w:val="000000"/>
                <w:sz w:val="19"/>
                <w:szCs w:val="19"/>
              </w:rPr>
              <w:t>23.3%</w:t>
            </w:r>
          </w:p>
        </w:tc>
        <w:tc>
          <w:tcPr>
            <w:tcW w:w="1074" w:type="dxa"/>
            <w:tcBorders>
              <w:top w:val="nil"/>
              <w:left w:val="nil"/>
              <w:bottom w:val="single" w:sz="8" w:space="0" w:color="auto"/>
              <w:right w:val="single" w:sz="8" w:space="0" w:color="auto"/>
            </w:tcBorders>
            <w:shd w:val="clear" w:color="auto" w:fill="auto"/>
            <w:vAlign w:val="center"/>
          </w:tcPr>
          <w:p w14:paraId="6A50896D" w14:textId="77777777" w:rsidR="00335619" w:rsidRPr="0023367D" w:rsidRDefault="00335619" w:rsidP="00335619">
            <w:pPr>
              <w:jc w:val="center"/>
              <w:rPr>
                <w:color w:val="000000"/>
                <w:sz w:val="19"/>
                <w:szCs w:val="19"/>
              </w:rPr>
            </w:pPr>
            <w:r w:rsidRPr="0023367D">
              <w:rPr>
                <w:color w:val="000000"/>
                <w:sz w:val="19"/>
                <w:szCs w:val="19"/>
              </w:rPr>
              <w:t>19.6%</w:t>
            </w:r>
          </w:p>
        </w:tc>
        <w:tc>
          <w:tcPr>
            <w:tcW w:w="1260" w:type="dxa"/>
            <w:tcBorders>
              <w:top w:val="nil"/>
              <w:left w:val="nil"/>
              <w:bottom w:val="single" w:sz="8" w:space="0" w:color="auto"/>
              <w:right w:val="single" w:sz="4" w:space="0" w:color="auto"/>
            </w:tcBorders>
            <w:shd w:val="clear" w:color="auto" w:fill="auto"/>
            <w:noWrap/>
            <w:vAlign w:val="center"/>
          </w:tcPr>
          <w:p w14:paraId="2EB5121C" w14:textId="77777777" w:rsidR="00335619" w:rsidRPr="0023367D" w:rsidRDefault="00335619" w:rsidP="00335619">
            <w:pPr>
              <w:jc w:val="center"/>
              <w:rPr>
                <w:color w:val="000000"/>
                <w:sz w:val="19"/>
                <w:szCs w:val="19"/>
              </w:rPr>
            </w:pPr>
            <w:r w:rsidRPr="0023367D">
              <w:rPr>
                <w:color w:val="000000"/>
                <w:sz w:val="19"/>
                <w:szCs w:val="19"/>
              </w:rPr>
              <w:t>49.2%</w:t>
            </w:r>
          </w:p>
        </w:tc>
      </w:tr>
      <w:tr w:rsidR="00335619" w:rsidRPr="0023367D" w14:paraId="40BDB596"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3EDAF584" w14:textId="77777777" w:rsidR="00335619" w:rsidRPr="0023367D" w:rsidRDefault="00335619" w:rsidP="00335619">
            <w:pPr>
              <w:jc w:val="center"/>
              <w:rPr>
                <w:color w:val="000000"/>
                <w:sz w:val="19"/>
                <w:szCs w:val="19"/>
              </w:rPr>
            </w:pPr>
            <w:r w:rsidRPr="0023367D">
              <w:rPr>
                <w:bCs/>
                <w:color w:val="000000"/>
                <w:sz w:val="19"/>
                <w:szCs w:val="19"/>
                <w:lang w:bidi="he-IL"/>
              </w:rPr>
              <w:t>1984</w:t>
            </w:r>
          </w:p>
        </w:tc>
        <w:tc>
          <w:tcPr>
            <w:tcW w:w="900" w:type="dxa"/>
            <w:tcBorders>
              <w:top w:val="nil"/>
              <w:left w:val="nil"/>
              <w:bottom w:val="single" w:sz="8" w:space="0" w:color="auto"/>
              <w:right w:val="single" w:sz="8" w:space="0" w:color="auto"/>
            </w:tcBorders>
            <w:shd w:val="clear" w:color="auto" w:fill="auto"/>
            <w:noWrap/>
            <w:vAlign w:val="center"/>
          </w:tcPr>
          <w:p w14:paraId="71099228" w14:textId="77777777" w:rsidR="00335619" w:rsidRPr="0023367D" w:rsidRDefault="00335619" w:rsidP="00335619">
            <w:pPr>
              <w:jc w:val="center"/>
              <w:rPr>
                <w:color w:val="000000"/>
                <w:sz w:val="19"/>
                <w:szCs w:val="19"/>
              </w:rPr>
            </w:pPr>
            <w:r w:rsidRPr="0023367D">
              <w:rPr>
                <w:color w:val="000000"/>
                <w:sz w:val="19"/>
                <w:szCs w:val="19"/>
              </w:rPr>
              <w:t>502</w:t>
            </w:r>
          </w:p>
        </w:tc>
        <w:tc>
          <w:tcPr>
            <w:tcW w:w="971" w:type="dxa"/>
            <w:tcBorders>
              <w:top w:val="nil"/>
              <w:left w:val="nil"/>
              <w:bottom w:val="single" w:sz="8" w:space="0" w:color="auto"/>
              <w:right w:val="single" w:sz="8" w:space="0" w:color="auto"/>
            </w:tcBorders>
            <w:shd w:val="clear" w:color="auto" w:fill="auto"/>
            <w:noWrap/>
            <w:vAlign w:val="center"/>
          </w:tcPr>
          <w:p w14:paraId="1738F422" w14:textId="77777777" w:rsidR="00335619" w:rsidRPr="0023367D" w:rsidRDefault="00335619" w:rsidP="00335619">
            <w:pPr>
              <w:jc w:val="center"/>
              <w:rPr>
                <w:color w:val="000000"/>
                <w:sz w:val="19"/>
                <w:szCs w:val="19"/>
              </w:rPr>
            </w:pPr>
            <w:r w:rsidRPr="0023367D">
              <w:rPr>
                <w:color w:val="000000"/>
                <w:sz w:val="19"/>
                <w:szCs w:val="19"/>
              </w:rPr>
              <w:t>30.0%</w:t>
            </w:r>
          </w:p>
        </w:tc>
        <w:tc>
          <w:tcPr>
            <w:tcW w:w="1067" w:type="dxa"/>
            <w:tcBorders>
              <w:top w:val="nil"/>
              <w:left w:val="nil"/>
              <w:bottom w:val="single" w:sz="8" w:space="0" w:color="auto"/>
              <w:right w:val="single" w:sz="8" w:space="0" w:color="auto"/>
            </w:tcBorders>
            <w:shd w:val="clear" w:color="auto" w:fill="auto"/>
            <w:vAlign w:val="center"/>
          </w:tcPr>
          <w:p w14:paraId="7EFA6988" w14:textId="77777777" w:rsidR="00335619" w:rsidRPr="0023367D" w:rsidRDefault="00335619" w:rsidP="00335619">
            <w:pPr>
              <w:jc w:val="center"/>
              <w:rPr>
                <w:color w:val="000000"/>
                <w:sz w:val="19"/>
                <w:szCs w:val="19"/>
              </w:rPr>
            </w:pPr>
            <w:r w:rsidRPr="0023367D">
              <w:rPr>
                <w:color w:val="000000"/>
                <w:sz w:val="19"/>
                <w:szCs w:val="19"/>
              </w:rPr>
              <w:t>26.8%</w:t>
            </w:r>
          </w:p>
        </w:tc>
        <w:tc>
          <w:tcPr>
            <w:tcW w:w="1292" w:type="dxa"/>
            <w:tcBorders>
              <w:top w:val="nil"/>
              <w:left w:val="nil"/>
              <w:bottom w:val="single" w:sz="8" w:space="0" w:color="auto"/>
              <w:right w:val="single" w:sz="12" w:space="0" w:color="auto"/>
            </w:tcBorders>
            <w:vAlign w:val="center"/>
          </w:tcPr>
          <w:p w14:paraId="67AF748C" w14:textId="77777777" w:rsidR="00335619" w:rsidRPr="0023367D" w:rsidRDefault="00335619" w:rsidP="00335619">
            <w:pPr>
              <w:jc w:val="center"/>
              <w:rPr>
                <w:color w:val="000000"/>
                <w:sz w:val="19"/>
                <w:szCs w:val="19"/>
              </w:rPr>
            </w:pPr>
            <w:r w:rsidRPr="0023367D">
              <w:rPr>
                <w:color w:val="000000"/>
                <w:sz w:val="19"/>
                <w:szCs w:val="19"/>
              </w:rPr>
              <w:t>68.7%</w:t>
            </w:r>
          </w:p>
        </w:tc>
        <w:tc>
          <w:tcPr>
            <w:tcW w:w="720" w:type="dxa"/>
            <w:tcBorders>
              <w:top w:val="nil"/>
              <w:left w:val="single" w:sz="12" w:space="0" w:color="auto"/>
              <w:bottom w:val="single" w:sz="8" w:space="0" w:color="auto"/>
              <w:right w:val="single" w:sz="8" w:space="0" w:color="auto"/>
            </w:tcBorders>
            <w:shd w:val="clear" w:color="auto" w:fill="auto"/>
            <w:vAlign w:val="center"/>
          </w:tcPr>
          <w:p w14:paraId="51171FA9" w14:textId="77777777" w:rsidR="00335619" w:rsidRPr="0023367D" w:rsidRDefault="00335619" w:rsidP="00335619">
            <w:pPr>
              <w:jc w:val="center"/>
              <w:rPr>
                <w:color w:val="000000"/>
                <w:sz w:val="19"/>
                <w:szCs w:val="19"/>
              </w:rPr>
            </w:pPr>
            <w:r w:rsidRPr="0023367D">
              <w:rPr>
                <w:color w:val="000000"/>
                <w:sz w:val="19"/>
                <w:szCs w:val="19"/>
              </w:rPr>
              <w:t>127</w:t>
            </w:r>
          </w:p>
        </w:tc>
        <w:tc>
          <w:tcPr>
            <w:tcW w:w="1176" w:type="dxa"/>
            <w:tcBorders>
              <w:top w:val="nil"/>
              <w:left w:val="nil"/>
              <w:bottom w:val="single" w:sz="8" w:space="0" w:color="auto"/>
              <w:right w:val="single" w:sz="8" w:space="0" w:color="auto"/>
            </w:tcBorders>
            <w:shd w:val="clear" w:color="auto" w:fill="auto"/>
            <w:vAlign w:val="center"/>
          </w:tcPr>
          <w:p w14:paraId="7F267972" w14:textId="77777777" w:rsidR="00335619" w:rsidRPr="0023367D" w:rsidRDefault="00335619" w:rsidP="00335619">
            <w:pPr>
              <w:jc w:val="center"/>
              <w:rPr>
                <w:color w:val="000000"/>
                <w:sz w:val="19"/>
                <w:szCs w:val="19"/>
              </w:rPr>
            </w:pPr>
            <w:r w:rsidRPr="0023367D">
              <w:rPr>
                <w:color w:val="000000"/>
                <w:sz w:val="19"/>
                <w:szCs w:val="19"/>
              </w:rPr>
              <w:t>20.8%</w:t>
            </w:r>
          </w:p>
        </w:tc>
        <w:tc>
          <w:tcPr>
            <w:tcW w:w="1074" w:type="dxa"/>
            <w:tcBorders>
              <w:top w:val="nil"/>
              <w:left w:val="nil"/>
              <w:bottom w:val="single" w:sz="8" w:space="0" w:color="auto"/>
              <w:right w:val="single" w:sz="8" w:space="0" w:color="auto"/>
            </w:tcBorders>
            <w:shd w:val="clear" w:color="auto" w:fill="auto"/>
            <w:vAlign w:val="center"/>
          </w:tcPr>
          <w:p w14:paraId="020E0F91" w14:textId="77777777" w:rsidR="00335619" w:rsidRPr="0023367D" w:rsidRDefault="00335619" w:rsidP="00335619">
            <w:pPr>
              <w:jc w:val="center"/>
              <w:rPr>
                <w:color w:val="000000"/>
                <w:sz w:val="19"/>
                <w:szCs w:val="19"/>
              </w:rPr>
            </w:pPr>
            <w:r w:rsidRPr="0023367D">
              <w:rPr>
                <w:color w:val="000000"/>
                <w:sz w:val="19"/>
                <w:szCs w:val="19"/>
              </w:rPr>
              <w:t>17.7%</w:t>
            </w:r>
          </w:p>
        </w:tc>
        <w:tc>
          <w:tcPr>
            <w:tcW w:w="1260" w:type="dxa"/>
            <w:tcBorders>
              <w:top w:val="nil"/>
              <w:left w:val="nil"/>
              <w:bottom w:val="single" w:sz="8" w:space="0" w:color="auto"/>
              <w:right w:val="single" w:sz="4" w:space="0" w:color="auto"/>
            </w:tcBorders>
            <w:shd w:val="clear" w:color="auto" w:fill="auto"/>
            <w:noWrap/>
            <w:vAlign w:val="center"/>
          </w:tcPr>
          <w:p w14:paraId="7077D89B" w14:textId="77777777" w:rsidR="00335619" w:rsidRPr="0023367D" w:rsidRDefault="00335619" w:rsidP="00335619">
            <w:pPr>
              <w:jc w:val="center"/>
              <w:rPr>
                <w:color w:val="000000"/>
                <w:sz w:val="19"/>
                <w:szCs w:val="19"/>
              </w:rPr>
            </w:pPr>
            <w:r w:rsidRPr="0023367D">
              <w:rPr>
                <w:color w:val="000000"/>
                <w:sz w:val="19"/>
                <w:szCs w:val="19"/>
              </w:rPr>
              <w:t>51.6%</w:t>
            </w:r>
          </w:p>
        </w:tc>
      </w:tr>
      <w:tr w:rsidR="00335619" w:rsidRPr="0023367D" w14:paraId="09571F40"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48EC0F09" w14:textId="77777777" w:rsidR="00335619" w:rsidRPr="0023367D" w:rsidRDefault="00335619" w:rsidP="00335619">
            <w:pPr>
              <w:jc w:val="center"/>
              <w:rPr>
                <w:color w:val="000000"/>
                <w:sz w:val="19"/>
                <w:szCs w:val="19"/>
              </w:rPr>
            </w:pPr>
            <w:r w:rsidRPr="0023367D">
              <w:rPr>
                <w:bCs/>
                <w:color w:val="000000"/>
                <w:sz w:val="19"/>
                <w:szCs w:val="19"/>
                <w:lang w:bidi="he-IL"/>
              </w:rPr>
              <w:t>1985</w:t>
            </w:r>
          </w:p>
        </w:tc>
        <w:tc>
          <w:tcPr>
            <w:tcW w:w="900" w:type="dxa"/>
            <w:tcBorders>
              <w:top w:val="nil"/>
              <w:left w:val="nil"/>
              <w:bottom w:val="single" w:sz="8" w:space="0" w:color="auto"/>
              <w:right w:val="single" w:sz="8" w:space="0" w:color="auto"/>
            </w:tcBorders>
            <w:shd w:val="clear" w:color="auto" w:fill="auto"/>
            <w:noWrap/>
            <w:vAlign w:val="center"/>
          </w:tcPr>
          <w:p w14:paraId="2309BA6B" w14:textId="77777777" w:rsidR="00335619" w:rsidRPr="0023367D" w:rsidRDefault="00335619" w:rsidP="00335619">
            <w:pPr>
              <w:jc w:val="center"/>
              <w:rPr>
                <w:color w:val="000000"/>
                <w:sz w:val="19"/>
                <w:szCs w:val="19"/>
              </w:rPr>
            </w:pPr>
            <w:r w:rsidRPr="0023367D">
              <w:rPr>
                <w:color w:val="000000"/>
                <w:sz w:val="19"/>
                <w:szCs w:val="19"/>
              </w:rPr>
              <w:t>471</w:t>
            </w:r>
          </w:p>
        </w:tc>
        <w:tc>
          <w:tcPr>
            <w:tcW w:w="971" w:type="dxa"/>
            <w:tcBorders>
              <w:top w:val="nil"/>
              <w:left w:val="nil"/>
              <w:bottom w:val="single" w:sz="8" w:space="0" w:color="auto"/>
              <w:right w:val="single" w:sz="8" w:space="0" w:color="auto"/>
            </w:tcBorders>
            <w:shd w:val="clear" w:color="auto" w:fill="auto"/>
            <w:noWrap/>
            <w:vAlign w:val="center"/>
          </w:tcPr>
          <w:p w14:paraId="47414ECC" w14:textId="77777777" w:rsidR="00335619" w:rsidRPr="0023367D" w:rsidRDefault="00335619" w:rsidP="00335619">
            <w:pPr>
              <w:jc w:val="center"/>
              <w:rPr>
                <w:color w:val="000000"/>
                <w:sz w:val="19"/>
                <w:szCs w:val="19"/>
              </w:rPr>
            </w:pPr>
            <w:r w:rsidRPr="0023367D">
              <w:rPr>
                <w:color w:val="000000"/>
                <w:sz w:val="19"/>
                <w:szCs w:val="19"/>
              </w:rPr>
              <w:t>37.1%</w:t>
            </w:r>
          </w:p>
        </w:tc>
        <w:tc>
          <w:tcPr>
            <w:tcW w:w="1067" w:type="dxa"/>
            <w:tcBorders>
              <w:top w:val="nil"/>
              <w:left w:val="nil"/>
              <w:bottom w:val="single" w:sz="8" w:space="0" w:color="auto"/>
              <w:right w:val="single" w:sz="8" w:space="0" w:color="auto"/>
            </w:tcBorders>
            <w:shd w:val="clear" w:color="auto" w:fill="auto"/>
            <w:vAlign w:val="center"/>
          </w:tcPr>
          <w:p w14:paraId="2F78BD3B" w14:textId="77777777" w:rsidR="00335619" w:rsidRPr="0023367D" w:rsidRDefault="00335619" w:rsidP="00335619">
            <w:pPr>
              <w:jc w:val="center"/>
              <w:rPr>
                <w:color w:val="000000"/>
                <w:sz w:val="19"/>
                <w:szCs w:val="19"/>
              </w:rPr>
            </w:pPr>
            <w:r w:rsidRPr="0023367D">
              <w:rPr>
                <w:color w:val="000000"/>
                <w:sz w:val="19"/>
                <w:szCs w:val="19"/>
              </w:rPr>
              <w:t>31.6%</w:t>
            </w:r>
          </w:p>
        </w:tc>
        <w:tc>
          <w:tcPr>
            <w:tcW w:w="1292" w:type="dxa"/>
            <w:tcBorders>
              <w:top w:val="nil"/>
              <w:left w:val="nil"/>
              <w:bottom w:val="single" w:sz="8" w:space="0" w:color="auto"/>
              <w:right w:val="single" w:sz="12" w:space="0" w:color="auto"/>
            </w:tcBorders>
            <w:vAlign w:val="center"/>
          </w:tcPr>
          <w:p w14:paraId="46004119" w14:textId="77777777" w:rsidR="00335619" w:rsidRPr="0023367D" w:rsidRDefault="00335619" w:rsidP="00335619">
            <w:pPr>
              <w:jc w:val="center"/>
              <w:rPr>
                <w:color w:val="000000"/>
                <w:sz w:val="19"/>
                <w:szCs w:val="19"/>
              </w:rPr>
            </w:pPr>
            <w:r w:rsidRPr="0023367D">
              <w:rPr>
                <w:color w:val="000000"/>
                <w:sz w:val="19"/>
                <w:szCs w:val="19"/>
              </w:rPr>
              <w:t>69.6%</w:t>
            </w:r>
          </w:p>
        </w:tc>
        <w:tc>
          <w:tcPr>
            <w:tcW w:w="720" w:type="dxa"/>
            <w:tcBorders>
              <w:top w:val="nil"/>
              <w:left w:val="single" w:sz="12" w:space="0" w:color="auto"/>
              <w:bottom w:val="single" w:sz="8" w:space="0" w:color="auto"/>
              <w:right w:val="single" w:sz="8" w:space="0" w:color="auto"/>
            </w:tcBorders>
            <w:shd w:val="clear" w:color="auto" w:fill="auto"/>
            <w:vAlign w:val="center"/>
          </w:tcPr>
          <w:p w14:paraId="12CE2C8F" w14:textId="77777777" w:rsidR="00335619" w:rsidRPr="0023367D" w:rsidRDefault="00335619" w:rsidP="00335619">
            <w:pPr>
              <w:jc w:val="center"/>
              <w:rPr>
                <w:color w:val="000000"/>
                <w:sz w:val="19"/>
                <w:szCs w:val="19"/>
              </w:rPr>
            </w:pPr>
            <w:r w:rsidRPr="0023367D">
              <w:rPr>
                <w:color w:val="000000"/>
                <w:sz w:val="19"/>
                <w:szCs w:val="19"/>
              </w:rPr>
              <w:t>133</w:t>
            </w:r>
          </w:p>
        </w:tc>
        <w:tc>
          <w:tcPr>
            <w:tcW w:w="1176" w:type="dxa"/>
            <w:tcBorders>
              <w:top w:val="nil"/>
              <w:left w:val="nil"/>
              <w:bottom w:val="single" w:sz="8" w:space="0" w:color="auto"/>
              <w:right w:val="single" w:sz="8" w:space="0" w:color="auto"/>
            </w:tcBorders>
            <w:shd w:val="clear" w:color="auto" w:fill="auto"/>
            <w:vAlign w:val="center"/>
          </w:tcPr>
          <w:p w14:paraId="0A902093" w14:textId="77777777" w:rsidR="00335619" w:rsidRPr="0023367D" w:rsidRDefault="00335619" w:rsidP="00335619">
            <w:pPr>
              <w:jc w:val="center"/>
              <w:rPr>
                <w:color w:val="000000"/>
                <w:sz w:val="19"/>
                <w:szCs w:val="19"/>
              </w:rPr>
            </w:pPr>
            <w:r w:rsidRPr="0023367D">
              <w:rPr>
                <w:color w:val="000000"/>
                <w:sz w:val="19"/>
                <w:szCs w:val="19"/>
              </w:rPr>
              <w:t>20.0%</w:t>
            </w:r>
          </w:p>
        </w:tc>
        <w:tc>
          <w:tcPr>
            <w:tcW w:w="1074" w:type="dxa"/>
            <w:tcBorders>
              <w:top w:val="nil"/>
              <w:left w:val="nil"/>
              <w:bottom w:val="single" w:sz="8" w:space="0" w:color="auto"/>
              <w:right w:val="single" w:sz="8" w:space="0" w:color="auto"/>
            </w:tcBorders>
            <w:shd w:val="clear" w:color="auto" w:fill="auto"/>
            <w:vAlign w:val="center"/>
          </w:tcPr>
          <w:p w14:paraId="563E6AD6" w14:textId="77777777" w:rsidR="00335619" w:rsidRPr="0023367D" w:rsidRDefault="00335619" w:rsidP="00335619">
            <w:pPr>
              <w:jc w:val="center"/>
              <w:rPr>
                <w:color w:val="000000"/>
                <w:sz w:val="19"/>
                <w:szCs w:val="19"/>
              </w:rPr>
            </w:pPr>
            <w:r w:rsidRPr="0023367D">
              <w:rPr>
                <w:color w:val="000000"/>
                <w:sz w:val="19"/>
                <w:szCs w:val="19"/>
              </w:rPr>
              <w:t>17.2%</w:t>
            </w:r>
          </w:p>
        </w:tc>
        <w:tc>
          <w:tcPr>
            <w:tcW w:w="1260" w:type="dxa"/>
            <w:tcBorders>
              <w:top w:val="nil"/>
              <w:left w:val="nil"/>
              <w:bottom w:val="single" w:sz="8" w:space="0" w:color="auto"/>
              <w:right w:val="single" w:sz="4" w:space="0" w:color="auto"/>
            </w:tcBorders>
            <w:shd w:val="clear" w:color="auto" w:fill="auto"/>
            <w:noWrap/>
            <w:vAlign w:val="center"/>
          </w:tcPr>
          <w:p w14:paraId="33957FDD" w14:textId="77777777" w:rsidR="00335619" w:rsidRPr="0023367D" w:rsidRDefault="00335619" w:rsidP="00335619">
            <w:pPr>
              <w:jc w:val="center"/>
              <w:rPr>
                <w:color w:val="000000"/>
                <w:sz w:val="19"/>
                <w:szCs w:val="19"/>
              </w:rPr>
            </w:pPr>
            <w:r w:rsidRPr="0023367D">
              <w:rPr>
                <w:color w:val="000000"/>
                <w:sz w:val="19"/>
                <w:szCs w:val="19"/>
              </w:rPr>
              <w:t>59.6%</w:t>
            </w:r>
          </w:p>
        </w:tc>
      </w:tr>
      <w:tr w:rsidR="00335619" w:rsidRPr="0023367D" w14:paraId="4724EA4D"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6E56852E" w14:textId="77777777" w:rsidR="00335619" w:rsidRPr="0023367D" w:rsidRDefault="00335619" w:rsidP="00335619">
            <w:pPr>
              <w:jc w:val="center"/>
              <w:rPr>
                <w:color w:val="000000"/>
                <w:sz w:val="19"/>
                <w:szCs w:val="19"/>
              </w:rPr>
            </w:pPr>
            <w:r w:rsidRPr="0023367D">
              <w:rPr>
                <w:bCs/>
                <w:color w:val="000000"/>
                <w:sz w:val="19"/>
                <w:szCs w:val="19"/>
                <w:lang w:bidi="he-IL"/>
              </w:rPr>
              <w:t>1986</w:t>
            </w:r>
          </w:p>
        </w:tc>
        <w:tc>
          <w:tcPr>
            <w:tcW w:w="900" w:type="dxa"/>
            <w:tcBorders>
              <w:top w:val="nil"/>
              <w:left w:val="nil"/>
              <w:bottom w:val="single" w:sz="8" w:space="0" w:color="auto"/>
              <w:right w:val="single" w:sz="8" w:space="0" w:color="auto"/>
            </w:tcBorders>
            <w:shd w:val="clear" w:color="auto" w:fill="auto"/>
            <w:noWrap/>
            <w:vAlign w:val="center"/>
          </w:tcPr>
          <w:p w14:paraId="084038FD" w14:textId="77777777" w:rsidR="00335619" w:rsidRPr="0023367D" w:rsidRDefault="00335619" w:rsidP="00335619">
            <w:pPr>
              <w:jc w:val="center"/>
              <w:rPr>
                <w:color w:val="000000"/>
                <w:sz w:val="19"/>
                <w:szCs w:val="19"/>
              </w:rPr>
            </w:pPr>
            <w:r w:rsidRPr="0023367D">
              <w:rPr>
                <w:color w:val="000000"/>
                <w:sz w:val="19"/>
                <w:szCs w:val="19"/>
              </w:rPr>
              <w:t>464</w:t>
            </w:r>
          </w:p>
        </w:tc>
        <w:tc>
          <w:tcPr>
            <w:tcW w:w="971" w:type="dxa"/>
            <w:tcBorders>
              <w:top w:val="nil"/>
              <w:left w:val="nil"/>
              <w:bottom w:val="single" w:sz="8" w:space="0" w:color="auto"/>
              <w:right w:val="single" w:sz="8" w:space="0" w:color="auto"/>
            </w:tcBorders>
            <w:shd w:val="clear" w:color="auto" w:fill="auto"/>
            <w:noWrap/>
            <w:vAlign w:val="center"/>
          </w:tcPr>
          <w:p w14:paraId="22D6FE61" w14:textId="77777777" w:rsidR="00335619" w:rsidRPr="0023367D" w:rsidRDefault="00335619" w:rsidP="00335619">
            <w:pPr>
              <w:jc w:val="center"/>
              <w:rPr>
                <w:color w:val="000000"/>
                <w:sz w:val="19"/>
                <w:szCs w:val="19"/>
              </w:rPr>
            </w:pPr>
            <w:r w:rsidRPr="0023367D">
              <w:rPr>
                <w:color w:val="000000"/>
                <w:sz w:val="19"/>
                <w:szCs w:val="19"/>
              </w:rPr>
              <w:t>42.2%</w:t>
            </w:r>
          </w:p>
        </w:tc>
        <w:tc>
          <w:tcPr>
            <w:tcW w:w="1067" w:type="dxa"/>
            <w:tcBorders>
              <w:top w:val="nil"/>
              <w:left w:val="nil"/>
              <w:bottom w:val="single" w:sz="8" w:space="0" w:color="auto"/>
              <w:right w:val="single" w:sz="8" w:space="0" w:color="auto"/>
            </w:tcBorders>
            <w:shd w:val="clear" w:color="auto" w:fill="auto"/>
            <w:vAlign w:val="center"/>
          </w:tcPr>
          <w:p w14:paraId="2CE9991E" w14:textId="77777777" w:rsidR="00335619" w:rsidRPr="0023367D" w:rsidRDefault="00335619" w:rsidP="00335619">
            <w:pPr>
              <w:jc w:val="center"/>
              <w:rPr>
                <w:color w:val="000000"/>
                <w:sz w:val="19"/>
                <w:szCs w:val="19"/>
              </w:rPr>
            </w:pPr>
            <w:r w:rsidRPr="0023367D">
              <w:rPr>
                <w:color w:val="000000"/>
                <w:sz w:val="19"/>
                <w:szCs w:val="19"/>
              </w:rPr>
              <w:t>35.4%</w:t>
            </w:r>
          </w:p>
        </w:tc>
        <w:tc>
          <w:tcPr>
            <w:tcW w:w="1292" w:type="dxa"/>
            <w:tcBorders>
              <w:top w:val="nil"/>
              <w:left w:val="nil"/>
              <w:bottom w:val="single" w:sz="8" w:space="0" w:color="auto"/>
              <w:right w:val="single" w:sz="12" w:space="0" w:color="auto"/>
            </w:tcBorders>
            <w:vAlign w:val="center"/>
          </w:tcPr>
          <w:p w14:paraId="18A3F17D" w14:textId="77777777" w:rsidR="00335619" w:rsidRPr="0023367D" w:rsidRDefault="00335619" w:rsidP="00335619">
            <w:pPr>
              <w:jc w:val="center"/>
              <w:rPr>
                <w:color w:val="000000"/>
                <w:sz w:val="19"/>
                <w:szCs w:val="19"/>
              </w:rPr>
            </w:pPr>
            <w:r w:rsidRPr="0023367D">
              <w:rPr>
                <w:color w:val="000000"/>
                <w:sz w:val="19"/>
                <w:szCs w:val="19"/>
              </w:rPr>
              <w:t>70.1%</w:t>
            </w:r>
          </w:p>
        </w:tc>
        <w:tc>
          <w:tcPr>
            <w:tcW w:w="720" w:type="dxa"/>
            <w:tcBorders>
              <w:top w:val="nil"/>
              <w:left w:val="single" w:sz="12" w:space="0" w:color="auto"/>
              <w:bottom w:val="single" w:sz="8" w:space="0" w:color="auto"/>
              <w:right w:val="single" w:sz="8" w:space="0" w:color="auto"/>
            </w:tcBorders>
            <w:shd w:val="clear" w:color="auto" w:fill="auto"/>
            <w:vAlign w:val="center"/>
          </w:tcPr>
          <w:p w14:paraId="6473F6DD" w14:textId="77777777" w:rsidR="00335619" w:rsidRPr="0023367D" w:rsidRDefault="00335619" w:rsidP="00335619">
            <w:pPr>
              <w:jc w:val="center"/>
              <w:rPr>
                <w:color w:val="000000"/>
                <w:sz w:val="19"/>
                <w:szCs w:val="19"/>
              </w:rPr>
            </w:pPr>
            <w:r w:rsidRPr="0023367D">
              <w:rPr>
                <w:color w:val="000000"/>
                <w:sz w:val="19"/>
                <w:szCs w:val="19"/>
              </w:rPr>
              <w:t>147</w:t>
            </w:r>
          </w:p>
        </w:tc>
        <w:tc>
          <w:tcPr>
            <w:tcW w:w="1176" w:type="dxa"/>
            <w:tcBorders>
              <w:top w:val="nil"/>
              <w:left w:val="nil"/>
              <w:bottom w:val="single" w:sz="8" w:space="0" w:color="auto"/>
              <w:right w:val="single" w:sz="8" w:space="0" w:color="auto"/>
            </w:tcBorders>
            <w:shd w:val="clear" w:color="auto" w:fill="auto"/>
            <w:vAlign w:val="center"/>
          </w:tcPr>
          <w:p w14:paraId="4FD26DCD" w14:textId="77777777" w:rsidR="00335619" w:rsidRPr="0023367D" w:rsidRDefault="00335619" w:rsidP="00335619">
            <w:pPr>
              <w:jc w:val="center"/>
              <w:rPr>
                <w:color w:val="000000"/>
                <w:sz w:val="19"/>
                <w:szCs w:val="19"/>
              </w:rPr>
            </w:pPr>
            <w:r w:rsidRPr="0023367D">
              <w:rPr>
                <w:color w:val="000000"/>
                <w:sz w:val="19"/>
                <w:szCs w:val="19"/>
              </w:rPr>
              <w:t>30.8%</w:t>
            </w:r>
          </w:p>
        </w:tc>
        <w:tc>
          <w:tcPr>
            <w:tcW w:w="1074" w:type="dxa"/>
            <w:tcBorders>
              <w:top w:val="nil"/>
              <w:left w:val="nil"/>
              <w:bottom w:val="single" w:sz="8" w:space="0" w:color="auto"/>
              <w:right w:val="single" w:sz="8" w:space="0" w:color="auto"/>
            </w:tcBorders>
            <w:shd w:val="clear" w:color="auto" w:fill="auto"/>
            <w:vAlign w:val="center"/>
          </w:tcPr>
          <w:p w14:paraId="56CB326E" w14:textId="77777777" w:rsidR="00335619" w:rsidRPr="0023367D" w:rsidRDefault="00335619" w:rsidP="00335619">
            <w:pPr>
              <w:jc w:val="center"/>
              <w:rPr>
                <w:color w:val="000000"/>
                <w:sz w:val="19"/>
                <w:szCs w:val="19"/>
              </w:rPr>
            </w:pPr>
            <w:r w:rsidRPr="0023367D">
              <w:rPr>
                <w:color w:val="000000"/>
                <w:sz w:val="19"/>
                <w:szCs w:val="19"/>
              </w:rPr>
              <w:t>21.9%</w:t>
            </w:r>
          </w:p>
        </w:tc>
        <w:tc>
          <w:tcPr>
            <w:tcW w:w="1260" w:type="dxa"/>
            <w:tcBorders>
              <w:top w:val="nil"/>
              <w:left w:val="nil"/>
              <w:bottom w:val="single" w:sz="8" w:space="0" w:color="auto"/>
              <w:right w:val="single" w:sz="4" w:space="0" w:color="auto"/>
            </w:tcBorders>
            <w:shd w:val="clear" w:color="auto" w:fill="auto"/>
            <w:noWrap/>
            <w:vAlign w:val="center"/>
          </w:tcPr>
          <w:p w14:paraId="4C5A8173" w14:textId="77777777" w:rsidR="00335619" w:rsidRPr="0023367D" w:rsidRDefault="00335619" w:rsidP="00335619">
            <w:pPr>
              <w:jc w:val="center"/>
              <w:rPr>
                <w:color w:val="000000"/>
                <w:sz w:val="19"/>
                <w:szCs w:val="19"/>
              </w:rPr>
            </w:pPr>
            <w:r w:rsidRPr="0023367D">
              <w:rPr>
                <w:color w:val="000000"/>
                <w:sz w:val="19"/>
                <w:szCs w:val="19"/>
              </w:rPr>
              <w:t>61.1%</w:t>
            </w:r>
          </w:p>
        </w:tc>
      </w:tr>
      <w:tr w:rsidR="00335619" w:rsidRPr="0023367D" w14:paraId="33C289CF"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6E3D576C" w14:textId="77777777" w:rsidR="00335619" w:rsidRPr="0023367D" w:rsidRDefault="00335619" w:rsidP="00335619">
            <w:pPr>
              <w:jc w:val="center"/>
              <w:rPr>
                <w:color w:val="000000"/>
                <w:sz w:val="19"/>
                <w:szCs w:val="19"/>
              </w:rPr>
            </w:pPr>
            <w:r w:rsidRPr="0023367D">
              <w:rPr>
                <w:bCs/>
                <w:color w:val="000000"/>
                <w:sz w:val="19"/>
                <w:szCs w:val="19"/>
                <w:lang w:bidi="he-IL"/>
              </w:rPr>
              <w:t>1987</w:t>
            </w:r>
          </w:p>
        </w:tc>
        <w:tc>
          <w:tcPr>
            <w:tcW w:w="900" w:type="dxa"/>
            <w:tcBorders>
              <w:top w:val="nil"/>
              <w:left w:val="nil"/>
              <w:bottom w:val="single" w:sz="8" w:space="0" w:color="auto"/>
              <w:right w:val="single" w:sz="8" w:space="0" w:color="auto"/>
            </w:tcBorders>
            <w:shd w:val="clear" w:color="auto" w:fill="auto"/>
            <w:noWrap/>
            <w:vAlign w:val="center"/>
          </w:tcPr>
          <w:p w14:paraId="424FC711" w14:textId="77777777" w:rsidR="00335619" w:rsidRPr="0023367D" w:rsidRDefault="00335619" w:rsidP="00335619">
            <w:pPr>
              <w:jc w:val="center"/>
              <w:rPr>
                <w:color w:val="000000"/>
                <w:sz w:val="19"/>
                <w:szCs w:val="19"/>
              </w:rPr>
            </w:pPr>
            <w:r w:rsidRPr="0023367D">
              <w:rPr>
                <w:color w:val="000000"/>
                <w:sz w:val="19"/>
                <w:szCs w:val="19"/>
              </w:rPr>
              <w:t>481</w:t>
            </w:r>
          </w:p>
        </w:tc>
        <w:tc>
          <w:tcPr>
            <w:tcW w:w="971" w:type="dxa"/>
            <w:tcBorders>
              <w:top w:val="nil"/>
              <w:left w:val="nil"/>
              <w:bottom w:val="single" w:sz="8" w:space="0" w:color="auto"/>
              <w:right w:val="single" w:sz="8" w:space="0" w:color="auto"/>
            </w:tcBorders>
            <w:shd w:val="clear" w:color="auto" w:fill="auto"/>
            <w:noWrap/>
            <w:vAlign w:val="center"/>
          </w:tcPr>
          <w:p w14:paraId="0994A255" w14:textId="77777777" w:rsidR="00335619" w:rsidRPr="0023367D" w:rsidRDefault="00335619" w:rsidP="00335619">
            <w:pPr>
              <w:jc w:val="center"/>
              <w:rPr>
                <w:color w:val="000000"/>
                <w:sz w:val="19"/>
                <w:szCs w:val="19"/>
              </w:rPr>
            </w:pPr>
            <w:r w:rsidRPr="0023367D">
              <w:rPr>
                <w:color w:val="000000"/>
                <w:sz w:val="19"/>
                <w:szCs w:val="19"/>
              </w:rPr>
              <w:t>45.9%</w:t>
            </w:r>
          </w:p>
        </w:tc>
        <w:tc>
          <w:tcPr>
            <w:tcW w:w="1067" w:type="dxa"/>
            <w:tcBorders>
              <w:top w:val="nil"/>
              <w:left w:val="nil"/>
              <w:bottom w:val="single" w:sz="8" w:space="0" w:color="auto"/>
              <w:right w:val="single" w:sz="8" w:space="0" w:color="auto"/>
            </w:tcBorders>
            <w:shd w:val="clear" w:color="auto" w:fill="auto"/>
            <w:vAlign w:val="center"/>
          </w:tcPr>
          <w:p w14:paraId="2624517A" w14:textId="77777777" w:rsidR="00335619" w:rsidRPr="0023367D" w:rsidRDefault="00335619" w:rsidP="00335619">
            <w:pPr>
              <w:jc w:val="center"/>
              <w:rPr>
                <w:color w:val="000000"/>
                <w:sz w:val="19"/>
                <w:szCs w:val="19"/>
              </w:rPr>
            </w:pPr>
            <w:r w:rsidRPr="0023367D">
              <w:rPr>
                <w:color w:val="000000"/>
                <w:sz w:val="19"/>
                <w:szCs w:val="19"/>
              </w:rPr>
              <w:t>37.1%</w:t>
            </w:r>
          </w:p>
        </w:tc>
        <w:tc>
          <w:tcPr>
            <w:tcW w:w="1292" w:type="dxa"/>
            <w:tcBorders>
              <w:top w:val="nil"/>
              <w:left w:val="nil"/>
              <w:bottom w:val="single" w:sz="8" w:space="0" w:color="auto"/>
              <w:right w:val="single" w:sz="12" w:space="0" w:color="auto"/>
            </w:tcBorders>
            <w:vAlign w:val="center"/>
          </w:tcPr>
          <w:p w14:paraId="5A566A71" w14:textId="77777777" w:rsidR="00335619" w:rsidRPr="0023367D" w:rsidRDefault="00335619" w:rsidP="00335619">
            <w:pPr>
              <w:jc w:val="center"/>
              <w:rPr>
                <w:color w:val="000000"/>
                <w:sz w:val="19"/>
                <w:szCs w:val="19"/>
              </w:rPr>
            </w:pPr>
            <w:r w:rsidRPr="0023367D">
              <w:rPr>
                <w:color w:val="000000"/>
                <w:sz w:val="19"/>
                <w:szCs w:val="19"/>
              </w:rPr>
              <w:t>69.2%</w:t>
            </w:r>
          </w:p>
        </w:tc>
        <w:tc>
          <w:tcPr>
            <w:tcW w:w="720" w:type="dxa"/>
            <w:tcBorders>
              <w:top w:val="nil"/>
              <w:left w:val="single" w:sz="12" w:space="0" w:color="auto"/>
              <w:bottom w:val="single" w:sz="8" w:space="0" w:color="auto"/>
              <w:right w:val="single" w:sz="8" w:space="0" w:color="auto"/>
            </w:tcBorders>
            <w:shd w:val="clear" w:color="auto" w:fill="auto"/>
            <w:vAlign w:val="center"/>
          </w:tcPr>
          <w:p w14:paraId="403E68F0" w14:textId="77777777" w:rsidR="00335619" w:rsidRPr="0023367D" w:rsidRDefault="00335619" w:rsidP="00335619">
            <w:pPr>
              <w:jc w:val="center"/>
              <w:rPr>
                <w:color w:val="000000"/>
                <w:sz w:val="19"/>
                <w:szCs w:val="19"/>
              </w:rPr>
            </w:pPr>
            <w:r w:rsidRPr="0023367D">
              <w:rPr>
                <w:color w:val="000000"/>
                <w:sz w:val="19"/>
                <w:szCs w:val="19"/>
              </w:rPr>
              <w:t>163</w:t>
            </w:r>
          </w:p>
        </w:tc>
        <w:tc>
          <w:tcPr>
            <w:tcW w:w="1176" w:type="dxa"/>
            <w:tcBorders>
              <w:top w:val="nil"/>
              <w:left w:val="nil"/>
              <w:bottom w:val="single" w:sz="8" w:space="0" w:color="auto"/>
              <w:right w:val="single" w:sz="8" w:space="0" w:color="auto"/>
            </w:tcBorders>
            <w:shd w:val="clear" w:color="auto" w:fill="auto"/>
            <w:vAlign w:val="center"/>
          </w:tcPr>
          <w:p w14:paraId="354C8AA4" w14:textId="77777777" w:rsidR="00335619" w:rsidRPr="0023367D" w:rsidRDefault="00335619" w:rsidP="00335619">
            <w:pPr>
              <w:jc w:val="center"/>
              <w:rPr>
                <w:color w:val="000000"/>
                <w:sz w:val="19"/>
                <w:szCs w:val="19"/>
              </w:rPr>
            </w:pPr>
            <w:r w:rsidRPr="0023367D">
              <w:rPr>
                <w:color w:val="000000"/>
                <w:sz w:val="19"/>
                <w:szCs w:val="19"/>
              </w:rPr>
              <w:t>32.7%</w:t>
            </w:r>
          </w:p>
        </w:tc>
        <w:tc>
          <w:tcPr>
            <w:tcW w:w="1074" w:type="dxa"/>
            <w:tcBorders>
              <w:top w:val="nil"/>
              <w:left w:val="nil"/>
              <w:bottom w:val="single" w:sz="8" w:space="0" w:color="auto"/>
              <w:right w:val="single" w:sz="8" w:space="0" w:color="auto"/>
            </w:tcBorders>
            <w:shd w:val="clear" w:color="auto" w:fill="auto"/>
            <w:vAlign w:val="center"/>
          </w:tcPr>
          <w:p w14:paraId="546F8C0B" w14:textId="77777777" w:rsidR="00335619" w:rsidRPr="0023367D" w:rsidRDefault="00335619" w:rsidP="00335619">
            <w:pPr>
              <w:jc w:val="center"/>
              <w:rPr>
                <w:color w:val="000000"/>
                <w:sz w:val="19"/>
                <w:szCs w:val="19"/>
              </w:rPr>
            </w:pPr>
            <w:r w:rsidRPr="0023367D">
              <w:rPr>
                <w:color w:val="000000"/>
                <w:sz w:val="19"/>
                <w:szCs w:val="19"/>
              </w:rPr>
              <w:t>24.3%</w:t>
            </w:r>
          </w:p>
        </w:tc>
        <w:tc>
          <w:tcPr>
            <w:tcW w:w="1260" w:type="dxa"/>
            <w:tcBorders>
              <w:top w:val="nil"/>
              <w:left w:val="nil"/>
              <w:bottom w:val="single" w:sz="8" w:space="0" w:color="auto"/>
              <w:right w:val="single" w:sz="4" w:space="0" w:color="auto"/>
            </w:tcBorders>
            <w:shd w:val="clear" w:color="auto" w:fill="auto"/>
            <w:noWrap/>
            <w:vAlign w:val="center"/>
          </w:tcPr>
          <w:p w14:paraId="565C735D" w14:textId="77777777" w:rsidR="00335619" w:rsidRPr="0023367D" w:rsidRDefault="00335619" w:rsidP="00335619">
            <w:pPr>
              <w:jc w:val="center"/>
              <w:rPr>
                <w:color w:val="000000"/>
                <w:sz w:val="19"/>
                <w:szCs w:val="19"/>
              </w:rPr>
            </w:pPr>
            <w:r w:rsidRPr="0023367D">
              <w:rPr>
                <w:color w:val="000000"/>
                <w:sz w:val="19"/>
                <w:szCs w:val="19"/>
              </w:rPr>
              <w:t>58.7%</w:t>
            </w:r>
          </w:p>
        </w:tc>
      </w:tr>
      <w:tr w:rsidR="00335619" w:rsidRPr="0023367D" w14:paraId="118C990F"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492D8791" w14:textId="77777777" w:rsidR="00335619" w:rsidRPr="0023367D" w:rsidRDefault="00335619" w:rsidP="00335619">
            <w:pPr>
              <w:jc w:val="center"/>
              <w:rPr>
                <w:color w:val="000000"/>
                <w:sz w:val="19"/>
                <w:szCs w:val="19"/>
              </w:rPr>
            </w:pPr>
            <w:r w:rsidRPr="0023367D">
              <w:rPr>
                <w:bCs/>
                <w:color w:val="000000"/>
                <w:sz w:val="19"/>
                <w:szCs w:val="19"/>
                <w:lang w:bidi="he-IL"/>
              </w:rPr>
              <w:t>1988</w:t>
            </w:r>
          </w:p>
        </w:tc>
        <w:tc>
          <w:tcPr>
            <w:tcW w:w="900" w:type="dxa"/>
            <w:tcBorders>
              <w:top w:val="nil"/>
              <w:left w:val="nil"/>
              <w:bottom w:val="single" w:sz="8" w:space="0" w:color="auto"/>
              <w:right w:val="single" w:sz="8" w:space="0" w:color="auto"/>
            </w:tcBorders>
            <w:shd w:val="clear" w:color="auto" w:fill="auto"/>
            <w:noWrap/>
            <w:vAlign w:val="center"/>
          </w:tcPr>
          <w:p w14:paraId="72B69672" w14:textId="77777777" w:rsidR="00335619" w:rsidRPr="0023367D" w:rsidRDefault="00335619" w:rsidP="00335619">
            <w:pPr>
              <w:jc w:val="center"/>
              <w:rPr>
                <w:color w:val="000000"/>
                <w:sz w:val="19"/>
                <w:szCs w:val="19"/>
              </w:rPr>
            </w:pPr>
            <w:r w:rsidRPr="0023367D">
              <w:rPr>
                <w:color w:val="000000"/>
                <w:sz w:val="19"/>
                <w:szCs w:val="19"/>
              </w:rPr>
              <w:t>479</w:t>
            </w:r>
          </w:p>
        </w:tc>
        <w:tc>
          <w:tcPr>
            <w:tcW w:w="971" w:type="dxa"/>
            <w:tcBorders>
              <w:top w:val="nil"/>
              <w:left w:val="nil"/>
              <w:bottom w:val="single" w:sz="8" w:space="0" w:color="auto"/>
              <w:right w:val="single" w:sz="8" w:space="0" w:color="auto"/>
            </w:tcBorders>
            <w:shd w:val="clear" w:color="auto" w:fill="auto"/>
            <w:noWrap/>
            <w:vAlign w:val="center"/>
          </w:tcPr>
          <w:p w14:paraId="61B68C46" w14:textId="77777777" w:rsidR="00335619" w:rsidRPr="0023367D" w:rsidRDefault="00335619" w:rsidP="00335619">
            <w:pPr>
              <w:jc w:val="center"/>
              <w:rPr>
                <w:color w:val="000000"/>
                <w:sz w:val="19"/>
                <w:szCs w:val="19"/>
              </w:rPr>
            </w:pPr>
            <w:r w:rsidRPr="0023367D">
              <w:rPr>
                <w:color w:val="000000"/>
                <w:sz w:val="19"/>
                <w:szCs w:val="19"/>
              </w:rPr>
              <w:t>50.4%</w:t>
            </w:r>
          </w:p>
        </w:tc>
        <w:tc>
          <w:tcPr>
            <w:tcW w:w="1067" w:type="dxa"/>
            <w:tcBorders>
              <w:top w:val="nil"/>
              <w:left w:val="nil"/>
              <w:bottom w:val="single" w:sz="8" w:space="0" w:color="auto"/>
              <w:right w:val="single" w:sz="8" w:space="0" w:color="auto"/>
            </w:tcBorders>
            <w:shd w:val="clear" w:color="auto" w:fill="auto"/>
            <w:vAlign w:val="center"/>
          </w:tcPr>
          <w:p w14:paraId="333032D2" w14:textId="77777777" w:rsidR="00335619" w:rsidRPr="0023367D" w:rsidRDefault="00335619" w:rsidP="00335619">
            <w:pPr>
              <w:jc w:val="center"/>
              <w:rPr>
                <w:color w:val="000000"/>
                <w:sz w:val="19"/>
                <w:szCs w:val="19"/>
              </w:rPr>
            </w:pPr>
            <w:r w:rsidRPr="0023367D">
              <w:rPr>
                <w:color w:val="000000"/>
                <w:sz w:val="19"/>
                <w:szCs w:val="19"/>
              </w:rPr>
              <w:t>40.2%</w:t>
            </w:r>
          </w:p>
        </w:tc>
        <w:tc>
          <w:tcPr>
            <w:tcW w:w="1292" w:type="dxa"/>
            <w:tcBorders>
              <w:top w:val="nil"/>
              <w:left w:val="nil"/>
              <w:bottom w:val="single" w:sz="8" w:space="0" w:color="auto"/>
              <w:right w:val="single" w:sz="12" w:space="0" w:color="auto"/>
            </w:tcBorders>
            <w:vAlign w:val="center"/>
          </w:tcPr>
          <w:p w14:paraId="5B1A7083" w14:textId="77777777" w:rsidR="00335619" w:rsidRPr="0023367D" w:rsidRDefault="00335619" w:rsidP="00335619">
            <w:pPr>
              <w:jc w:val="center"/>
              <w:rPr>
                <w:color w:val="000000"/>
                <w:sz w:val="19"/>
                <w:szCs w:val="19"/>
              </w:rPr>
            </w:pPr>
            <w:r w:rsidRPr="0023367D">
              <w:rPr>
                <w:color w:val="000000"/>
                <w:sz w:val="19"/>
                <w:szCs w:val="19"/>
              </w:rPr>
              <w:t>69.2%</w:t>
            </w:r>
          </w:p>
        </w:tc>
        <w:tc>
          <w:tcPr>
            <w:tcW w:w="720" w:type="dxa"/>
            <w:tcBorders>
              <w:top w:val="nil"/>
              <w:left w:val="single" w:sz="12" w:space="0" w:color="auto"/>
              <w:bottom w:val="single" w:sz="8" w:space="0" w:color="auto"/>
              <w:right w:val="single" w:sz="8" w:space="0" w:color="auto"/>
            </w:tcBorders>
            <w:shd w:val="clear" w:color="auto" w:fill="auto"/>
            <w:vAlign w:val="center"/>
          </w:tcPr>
          <w:p w14:paraId="205B43B5" w14:textId="77777777" w:rsidR="00335619" w:rsidRPr="0023367D" w:rsidRDefault="00335619" w:rsidP="00335619">
            <w:pPr>
              <w:jc w:val="center"/>
              <w:rPr>
                <w:color w:val="000000"/>
                <w:sz w:val="19"/>
                <w:szCs w:val="19"/>
              </w:rPr>
            </w:pPr>
            <w:r w:rsidRPr="0023367D">
              <w:rPr>
                <w:color w:val="000000"/>
                <w:sz w:val="19"/>
                <w:szCs w:val="19"/>
              </w:rPr>
              <w:t>178</w:t>
            </w:r>
          </w:p>
        </w:tc>
        <w:tc>
          <w:tcPr>
            <w:tcW w:w="1176" w:type="dxa"/>
            <w:tcBorders>
              <w:top w:val="nil"/>
              <w:left w:val="nil"/>
              <w:bottom w:val="single" w:sz="8" w:space="0" w:color="auto"/>
              <w:right w:val="single" w:sz="8" w:space="0" w:color="auto"/>
            </w:tcBorders>
            <w:shd w:val="clear" w:color="auto" w:fill="auto"/>
            <w:vAlign w:val="center"/>
          </w:tcPr>
          <w:p w14:paraId="684142BB" w14:textId="77777777" w:rsidR="00335619" w:rsidRPr="0023367D" w:rsidRDefault="00335619" w:rsidP="00335619">
            <w:pPr>
              <w:jc w:val="center"/>
              <w:rPr>
                <w:color w:val="000000"/>
                <w:sz w:val="19"/>
                <w:szCs w:val="19"/>
              </w:rPr>
            </w:pPr>
            <w:r w:rsidRPr="0023367D">
              <w:rPr>
                <w:color w:val="000000"/>
                <w:sz w:val="19"/>
                <w:szCs w:val="19"/>
              </w:rPr>
              <w:t>36.8%</w:t>
            </w:r>
          </w:p>
        </w:tc>
        <w:tc>
          <w:tcPr>
            <w:tcW w:w="1074" w:type="dxa"/>
            <w:tcBorders>
              <w:top w:val="nil"/>
              <w:left w:val="nil"/>
              <w:bottom w:val="single" w:sz="8" w:space="0" w:color="auto"/>
              <w:right w:val="single" w:sz="8" w:space="0" w:color="auto"/>
            </w:tcBorders>
            <w:shd w:val="clear" w:color="auto" w:fill="auto"/>
            <w:vAlign w:val="center"/>
          </w:tcPr>
          <w:p w14:paraId="2AA9E0D1" w14:textId="77777777" w:rsidR="00335619" w:rsidRPr="0023367D" w:rsidRDefault="00335619" w:rsidP="00335619">
            <w:pPr>
              <w:jc w:val="center"/>
              <w:rPr>
                <w:color w:val="000000"/>
                <w:sz w:val="19"/>
                <w:szCs w:val="19"/>
              </w:rPr>
            </w:pPr>
            <w:r w:rsidRPr="0023367D">
              <w:rPr>
                <w:color w:val="000000"/>
                <w:sz w:val="19"/>
                <w:szCs w:val="19"/>
              </w:rPr>
              <w:t>24.7%</w:t>
            </w:r>
          </w:p>
        </w:tc>
        <w:tc>
          <w:tcPr>
            <w:tcW w:w="1260" w:type="dxa"/>
            <w:tcBorders>
              <w:top w:val="nil"/>
              <w:left w:val="nil"/>
              <w:bottom w:val="single" w:sz="8" w:space="0" w:color="auto"/>
              <w:right w:val="single" w:sz="4" w:space="0" w:color="auto"/>
            </w:tcBorders>
            <w:shd w:val="clear" w:color="auto" w:fill="auto"/>
            <w:noWrap/>
            <w:vAlign w:val="center"/>
          </w:tcPr>
          <w:p w14:paraId="52228672" w14:textId="77777777" w:rsidR="00335619" w:rsidRPr="0023367D" w:rsidRDefault="00335619" w:rsidP="00335619">
            <w:pPr>
              <w:jc w:val="center"/>
              <w:rPr>
                <w:color w:val="000000"/>
                <w:sz w:val="19"/>
                <w:szCs w:val="19"/>
              </w:rPr>
            </w:pPr>
            <w:r w:rsidRPr="0023367D">
              <w:rPr>
                <w:color w:val="000000"/>
                <w:sz w:val="19"/>
                <w:szCs w:val="19"/>
              </w:rPr>
              <w:t>60.0%</w:t>
            </w:r>
          </w:p>
        </w:tc>
      </w:tr>
      <w:tr w:rsidR="00335619" w:rsidRPr="0023367D" w14:paraId="1D446FA2"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59D89F87" w14:textId="77777777" w:rsidR="00335619" w:rsidRPr="0023367D" w:rsidRDefault="00335619" w:rsidP="00335619">
            <w:pPr>
              <w:jc w:val="center"/>
              <w:rPr>
                <w:color w:val="000000"/>
                <w:sz w:val="19"/>
                <w:szCs w:val="19"/>
              </w:rPr>
            </w:pPr>
            <w:r w:rsidRPr="0023367D">
              <w:rPr>
                <w:bCs/>
                <w:color w:val="000000"/>
                <w:sz w:val="19"/>
                <w:szCs w:val="19"/>
                <w:lang w:bidi="he-IL"/>
              </w:rPr>
              <w:t>1989</w:t>
            </w:r>
          </w:p>
        </w:tc>
        <w:tc>
          <w:tcPr>
            <w:tcW w:w="900" w:type="dxa"/>
            <w:tcBorders>
              <w:top w:val="nil"/>
              <w:left w:val="nil"/>
              <w:bottom w:val="single" w:sz="8" w:space="0" w:color="auto"/>
              <w:right w:val="single" w:sz="8" w:space="0" w:color="auto"/>
            </w:tcBorders>
            <w:shd w:val="clear" w:color="auto" w:fill="auto"/>
            <w:noWrap/>
            <w:vAlign w:val="center"/>
          </w:tcPr>
          <w:p w14:paraId="666CD808" w14:textId="77777777" w:rsidR="00335619" w:rsidRPr="0023367D" w:rsidRDefault="00335619" w:rsidP="00335619">
            <w:pPr>
              <w:jc w:val="center"/>
              <w:rPr>
                <w:color w:val="000000"/>
                <w:sz w:val="19"/>
                <w:szCs w:val="19"/>
              </w:rPr>
            </w:pPr>
            <w:r w:rsidRPr="0023367D">
              <w:rPr>
                <w:color w:val="000000"/>
                <w:sz w:val="19"/>
                <w:szCs w:val="19"/>
              </w:rPr>
              <w:t>488</w:t>
            </w:r>
          </w:p>
        </w:tc>
        <w:tc>
          <w:tcPr>
            <w:tcW w:w="971" w:type="dxa"/>
            <w:tcBorders>
              <w:top w:val="nil"/>
              <w:left w:val="nil"/>
              <w:bottom w:val="single" w:sz="8" w:space="0" w:color="auto"/>
              <w:right w:val="single" w:sz="8" w:space="0" w:color="auto"/>
            </w:tcBorders>
            <w:shd w:val="clear" w:color="auto" w:fill="auto"/>
            <w:noWrap/>
            <w:vAlign w:val="center"/>
          </w:tcPr>
          <w:p w14:paraId="78A88A83" w14:textId="77777777" w:rsidR="00335619" w:rsidRPr="0023367D" w:rsidRDefault="00335619" w:rsidP="00335619">
            <w:pPr>
              <w:jc w:val="center"/>
              <w:rPr>
                <w:color w:val="000000"/>
                <w:sz w:val="19"/>
                <w:szCs w:val="19"/>
              </w:rPr>
            </w:pPr>
            <w:r w:rsidRPr="0023367D">
              <w:rPr>
                <w:color w:val="000000"/>
                <w:sz w:val="19"/>
                <w:szCs w:val="19"/>
              </w:rPr>
              <w:t>51.0%</w:t>
            </w:r>
          </w:p>
        </w:tc>
        <w:tc>
          <w:tcPr>
            <w:tcW w:w="1067" w:type="dxa"/>
            <w:tcBorders>
              <w:top w:val="nil"/>
              <w:left w:val="nil"/>
              <w:bottom w:val="single" w:sz="8" w:space="0" w:color="auto"/>
              <w:right w:val="single" w:sz="8" w:space="0" w:color="auto"/>
            </w:tcBorders>
            <w:shd w:val="clear" w:color="auto" w:fill="auto"/>
            <w:vAlign w:val="center"/>
          </w:tcPr>
          <w:p w14:paraId="74D6BB19" w14:textId="77777777" w:rsidR="00335619" w:rsidRPr="0023367D" w:rsidRDefault="00335619" w:rsidP="00335619">
            <w:pPr>
              <w:jc w:val="center"/>
              <w:rPr>
                <w:color w:val="000000"/>
                <w:sz w:val="19"/>
                <w:szCs w:val="19"/>
              </w:rPr>
            </w:pPr>
            <w:r w:rsidRPr="0023367D">
              <w:rPr>
                <w:color w:val="000000"/>
                <w:sz w:val="19"/>
                <w:szCs w:val="19"/>
              </w:rPr>
              <w:t>37.7%</w:t>
            </w:r>
          </w:p>
        </w:tc>
        <w:tc>
          <w:tcPr>
            <w:tcW w:w="1292" w:type="dxa"/>
            <w:tcBorders>
              <w:top w:val="nil"/>
              <w:left w:val="nil"/>
              <w:bottom w:val="single" w:sz="8" w:space="0" w:color="auto"/>
              <w:right w:val="single" w:sz="12" w:space="0" w:color="auto"/>
            </w:tcBorders>
            <w:vAlign w:val="center"/>
          </w:tcPr>
          <w:p w14:paraId="6CD4A37E" w14:textId="77777777" w:rsidR="00335619" w:rsidRPr="0023367D" w:rsidRDefault="00335619" w:rsidP="00335619">
            <w:pPr>
              <w:jc w:val="center"/>
              <w:rPr>
                <w:color w:val="000000"/>
                <w:sz w:val="19"/>
                <w:szCs w:val="19"/>
              </w:rPr>
            </w:pPr>
            <w:r w:rsidRPr="0023367D">
              <w:rPr>
                <w:color w:val="000000"/>
                <w:sz w:val="19"/>
                <w:szCs w:val="19"/>
              </w:rPr>
              <w:t>66.5%</w:t>
            </w:r>
          </w:p>
        </w:tc>
        <w:tc>
          <w:tcPr>
            <w:tcW w:w="720" w:type="dxa"/>
            <w:tcBorders>
              <w:top w:val="nil"/>
              <w:left w:val="single" w:sz="12" w:space="0" w:color="auto"/>
              <w:bottom w:val="single" w:sz="8" w:space="0" w:color="auto"/>
              <w:right w:val="single" w:sz="8" w:space="0" w:color="auto"/>
            </w:tcBorders>
            <w:shd w:val="clear" w:color="auto" w:fill="auto"/>
            <w:vAlign w:val="center"/>
          </w:tcPr>
          <w:p w14:paraId="34910AE4" w14:textId="77777777" w:rsidR="00335619" w:rsidRPr="0023367D" w:rsidRDefault="00335619" w:rsidP="00335619">
            <w:pPr>
              <w:jc w:val="center"/>
              <w:rPr>
                <w:color w:val="000000"/>
                <w:sz w:val="19"/>
                <w:szCs w:val="19"/>
              </w:rPr>
            </w:pPr>
            <w:r w:rsidRPr="0023367D">
              <w:rPr>
                <w:color w:val="000000"/>
                <w:sz w:val="19"/>
                <w:szCs w:val="19"/>
              </w:rPr>
              <w:t>173</w:t>
            </w:r>
          </w:p>
        </w:tc>
        <w:tc>
          <w:tcPr>
            <w:tcW w:w="1176" w:type="dxa"/>
            <w:tcBorders>
              <w:top w:val="nil"/>
              <w:left w:val="nil"/>
              <w:bottom w:val="single" w:sz="8" w:space="0" w:color="auto"/>
              <w:right w:val="single" w:sz="8" w:space="0" w:color="auto"/>
            </w:tcBorders>
            <w:shd w:val="clear" w:color="auto" w:fill="auto"/>
            <w:vAlign w:val="center"/>
          </w:tcPr>
          <w:p w14:paraId="3B5B98E2" w14:textId="77777777" w:rsidR="00335619" w:rsidRPr="0023367D" w:rsidRDefault="00335619" w:rsidP="00335619">
            <w:pPr>
              <w:jc w:val="center"/>
              <w:rPr>
                <w:color w:val="000000"/>
                <w:sz w:val="19"/>
                <w:szCs w:val="19"/>
              </w:rPr>
            </w:pPr>
            <w:r w:rsidRPr="0023367D">
              <w:rPr>
                <w:color w:val="000000"/>
                <w:sz w:val="19"/>
                <w:szCs w:val="19"/>
              </w:rPr>
              <w:t>35.7%</w:t>
            </w:r>
          </w:p>
        </w:tc>
        <w:tc>
          <w:tcPr>
            <w:tcW w:w="1074" w:type="dxa"/>
            <w:tcBorders>
              <w:top w:val="nil"/>
              <w:left w:val="nil"/>
              <w:bottom w:val="single" w:sz="8" w:space="0" w:color="auto"/>
              <w:right w:val="single" w:sz="8" w:space="0" w:color="auto"/>
            </w:tcBorders>
            <w:shd w:val="clear" w:color="auto" w:fill="auto"/>
            <w:vAlign w:val="center"/>
          </w:tcPr>
          <w:p w14:paraId="4404D797" w14:textId="77777777" w:rsidR="00335619" w:rsidRPr="0023367D" w:rsidRDefault="00335619" w:rsidP="00335619">
            <w:pPr>
              <w:jc w:val="center"/>
              <w:rPr>
                <w:color w:val="000000"/>
                <w:sz w:val="19"/>
                <w:szCs w:val="19"/>
              </w:rPr>
            </w:pPr>
            <w:r w:rsidRPr="0023367D">
              <w:rPr>
                <w:color w:val="000000"/>
                <w:sz w:val="19"/>
                <w:szCs w:val="19"/>
              </w:rPr>
              <w:t>22.3%</w:t>
            </w:r>
          </w:p>
        </w:tc>
        <w:tc>
          <w:tcPr>
            <w:tcW w:w="1260" w:type="dxa"/>
            <w:tcBorders>
              <w:top w:val="nil"/>
              <w:left w:val="nil"/>
              <w:bottom w:val="single" w:sz="8" w:space="0" w:color="auto"/>
              <w:right w:val="single" w:sz="4" w:space="0" w:color="auto"/>
            </w:tcBorders>
            <w:shd w:val="clear" w:color="auto" w:fill="auto"/>
            <w:noWrap/>
            <w:vAlign w:val="center"/>
          </w:tcPr>
          <w:p w14:paraId="08CF8C42" w14:textId="77777777" w:rsidR="00335619" w:rsidRPr="0023367D" w:rsidRDefault="00335619" w:rsidP="00335619">
            <w:pPr>
              <w:jc w:val="center"/>
              <w:rPr>
                <w:color w:val="000000"/>
                <w:sz w:val="19"/>
                <w:szCs w:val="19"/>
              </w:rPr>
            </w:pPr>
            <w:r w:rsidRPr="0023367D">
              <w:rPr>
                <w:color w:val="000000"/>
                <w:sz w:val="19"/>
                <w:szCs w:val="19"/>
              </w:rPr>
              <w:t>54.1%</w:t>
            </w:r>
          </w:p>
        </w:tc>
      </w:tr>
      <w:tr w:rsidR="00335619" w:rsidRPr="0023367D" w14:paraId="00F3062E"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657B6168" w14:textId="77777777" w:rsidR="00335619" w:rsidRPr="0023367D" w:rsidRDefault="00335619" w:rsidP="00335619">
            <w:pPr>
              <w:jc w:val="center"/>
              <w:rPr>
                <w:color w:val="000000"/>
                <w:sz w:val="19"/>
                <w:szCs w:val="19"/>
              </w:rPr>
            </w:pPr>
            <w:r w:rsidRPr="0023367D">
              <w:rPr>
                <w:bCs/>
                <w:color w:val="000000"/>
                <w:sz w:val="19"/>
                <w:szCs w:val="19"/>
                <w:lang w:bidi="he-IL"/>
              </w:rPr>
              <w:t>1990</w:t>
            </w:r>
          </w:p>
        </w:tc>
        <w:tc>
          <w:tcPr>
            <w:tcW w:w="900" w:type="dxa"/>
            <w:tcBorders>
              <w:top w:val="nil"/>
              <w:left w:val="nil"/>
              <w:bottom w:val="single" w:sz="8" w:space="0" w:color="auto"/>
              <w:right w:val="single" w:sz="8" w:space="0" w:color="auto"/>
            </w:tcBorders>
            <w:shd w:val="clear" w:color="auto" w:fill="auto"/>
            <w:noWrap/>
            <w:vAlign w:val="center"/>
          </w:tcPr>
          <w:p w14:paraId="4954BE87" w14:textId="77777777" w:rsidR="00335619" w:rsidRPr="0023367D" w:rsidRDefault="00335619" w:rsidP="00335619">
            <w:pPr>
              <w:jc w:val="center"/>
              <w:rPr>
                <w:color w:val="000000"/>
                <w:sz w:val="19"/>
                <w:szCs w:val="19"/>
              </w:rPr>
            </w:pPr>
            <w:r w:rsidRPr="0023367D">
              <w:rPr>
                <w:color w:val="000000"/>
                <w:sz w:val="19"/>
                <w:szCs w:val="19"/>
              </w:rPr>
              <w:t>495</w:t>
            </w:r>
          </w:p>
        </w:tc>
        <w:tc>
          <w:tcPr>
            <w:tcW w:w="971" w:type="dxa"/>
            <w:tcBorders>
              <w:top w:val="nil"/>
              <w:left w:val="nil"/>
              <w:bottom w:val="single" w:sz="8" w:space="0" w:color="auto"/>
              <w:right w:val="single" w:sz="8" w:space="0" w:color="auto"/>
            </w:tcBorders>
            <w:shd w:val="clear" w:color="auto" w:fill="auto"/>
            <w:noWrap/>
            <w:vAlign w:val="center"/>
          </w:tcPr>
          <w:p w14:paraId="531E2286" w14:textId="77777777" w:rsidR="00335619" w:rsidRPr="0023367D" w:rsidRDefault="00335619" w:rsidP="00335619">
            <w:pPr>
              <w:jc w:val="center"/>
              <w:rPr>
                <w:color w:val="000000"/>
                <w:sz w:val="19"/>
                <w:szCs w:val="19"/>
              </w:rPr>
            </w:pPr>
            <w:r w:rsidRPr="0023367D">
              <w:rPr>
                <w:color w:val="000000"/>
                <w:sz w:val="19"/>
                <w:szCs w:val="19"/>
              </w:rPr>
              <w:t>50.6%</w:t>
            </w:r>
          </w:p>
        </w:tc>
        <w:tc>
          <w:tcPr>
            <w:tcW w:w="1067" w:type="dxa"/>
            <w:tcBorders>
              <w:top w:val="nil"/>
              <w:left w:val="nil"/>
              <w:bottom w:val="single" w:sz="8" w:space="0" w:color="auto"/>
              <w:right w:val="single" w:sz="8" w:space="0" w:color="auto"/>
            </w:tcBorders>
            <w:shd w:val="clear" w:color="auto" w:fill="auto"/>
            <w:vAlign w:val="center"/>
          </w:tcPr>
          <w:p w14:paraId="461F5495" w14:textId="77777777" w:rsidR="00335619" w:rsidRPr="0023367D" w:rsidRDefault="00335619" w:rsidP="00335619">
            <w:pPr>
              <w:jc w:val="center"/>
              <w:rPr>
                <w:color w:val="000000"/>
                <w:sz w:val="19"/>
                <w:szCs w:val="19"/>
              </w:rPr>
            </w:pPr>
            <w:r w:rsidRPr="0023367D">
              <w:rPr>
                <w:color w:val="000000"/>
                <w:sz w:val="19"/>
                <w:szCs w:val="19"/>
              </w:rPr>
              <w:t>34.7%</w:t>
            </w:r>
          </w:p>
        </w:tc>
        <w:tc>
          <w:tcPr>
            <w:tcW w:w="1292" w:type="dxa"/>
            <w:tcBorders>
              <w:top w:val="nil"/>
              <w:left w:val="nil"/>
              <w:bottom w:val="single" w:sz="8" w:space="0" w:color="auto"/>
              <w:right w:val="single" w:sz="12" w:space="0" w:color="auto"/>
            </w:tcBorders>
            <w:vAlign w:val="center"/>
          </w:tcPr>
          <w:p w14:paraId="3AFCB32B" w14:textId="77777777" w:rsidR="00335619" w:rsidRPr="0023367D" w:rsidRDefault="00335619" w:rsidP="00335619">
            <w:pPr>
              <w:jc w:val="center"/>
              <w:rPr>
                <w:color w:val="000000"/>
                <w:sz w:val="19"/>
                <w:szCs w:val="19"/>
              </w:rPr>
            </w:pPr>
            <w:r w:rsidRPr="0023367D">
              <w:rPr>
                <w:color w:val="000000"/>
                <w:sz w:val="19"/>
                <w:szCs w:val="19"/>
              </w:rPr>
              <w:t>65.9%</w:t>
            </w:r>
          </w:p>
        </w:tc>
        <w:tc>
          <w:tcPr>
            <w:tcW w:w="720" w:type="dxa"/>
            <w:tcBorders>
              <w:top w:val="nil"/>
              <w:left w:val="single" w:sz="12" w:space="0" w:color="auto"/>
              <w:bottom w:val="single" w:sz="8" w:space="0" w:color="auto"/>
              <w:right w:val="single" w:sz="8" w:space="0" w:color="auto"/>
            </w:tcBorders>
            <w:shd w:val="clear" w:color="auto" w:fill="auto"/>
            <w:vAlign w:val="center"/>
          </w:tcPr>
          <w:p w14:paraId="0B7246B3" w14:textId="77777777" w:rsidR="00335619" w:rsidRPr="0023367D" w:rsidRDefault="00335619" w:rsidP="00335619">
            <w:pPr>
              <w:jc w:val="center"/>
              <w:rPr>
                <w:color w:val="000000"/>
                <w:sz w:val="19"/>
                <w:szCs w:val="19"/>
              </w:rPr>
            </w:pPr>
            <w:r w:rsidRPr="0023367D">
              <w:rPr>
                <w:color w:val="000000"/>
                <w:sz w:val="19"/>
                <w:szCs w:val="19"/>
              </w:rPr>
              <w:t>160</w:t>
            </w:r>
          </w:p>
        </w:tc>
        <w:tc>
          <w:tcPr>
            <w:tcW w:w="1176" w:type="dxa"/>
            <w:tcBorders>
              <w:top w:val="nil"/>
              <w:left w:val="nil"/>
              <w:bottom w:val="single" w:sz="8" w:space="0" w:color="auto"/>
              <w:right w:val="single" w:sz="8" w:space="0" w:color="auto"/>
            </w:tcBorders>
            <w:shd w:val="clear" w:color="auto" w:fill="auto"/>
            <w:vAlign w:val="center"/>
          </w:tcPr>
          <w:p w14:paraId="3A0EFED8" w14:textId="77777777" w:rsidR="00335619" w:rsidRPr="0023367D" w:rsidRDefault="00335619" w:rsidP="00335619">
            <w:pPr>
              <w:jc w:val="center"/>
              <w:rPr>
                <w:color w:val="000000"/>
                <w:sz w:val="19"/>
                <w:szCs w:val="19"/>
              </w:rPr>
            </w:pPr>
            <w:r w:rsidRPr="0023367D">
              <w:rPr>
                <w:color w:val="000000"/>
                <w:sz w:val="19"/>
                <w:szCs w:val="19"/>
              </w:rPr>
              <w:t>35.7%</w:t>
            </w:r>
          </w:p>
        </w:tc>
        <w:tc>
          <w:tcPr>
            <w:tcW w:w="1074" w:type="dxa"/>
            <w:tcBorders>
              <w:top w:val="nil"/>
              <w:left w:val="nil"/>
              <w:bottom w:val="single" w:sz="8" w:space="0" w:color="auto"/>
              <w:right w:val="single" w:sz="8" w:space="0" w:color="auto"/>
            </w:tcBorders>
            <w:shd w:val="clear" w:color="auto" w:fill="auto"/>
            <w:vAlign w:val="center"/>
          </w:tcPr>
          <w:p w14:paraId="6C5378B0" w14:textId="77777777" w:rsidR="00335619" w:rsidRPr="0023367D" w:rsidRDefault="00335619" w:rsidP="00335619">
            <w:pPr>
              <w:jc w:val="center"/>
              <w:rPr>
                <w:color w:val="000000"/>
                <w:sz w:val="19"/>
                <w:szCs w:val="19"/>
              </w:rPr>
            </w:pPr>
            <w:r w:rsidRPr="0023367D">
              <w:rPr>
                <w:color w:val="000000"/>
                <w:sz w:val="19"/>
                <w:szCs w:val="19"/>
              </w:rPr>
              <w:t>21.6%</w:t>
            </w:r>
          </w:p>
        </w:tc>
        <w:tc>
          <w:tcPr>
            <w:tcW w:w="1260" w:type="dxa"/>
            <w:tcBorders>
              <w:top w:val="nil"/>
              <w:left w:val="nil"/>
              <w:bottom w:val="single" w:sz="8" w:space="0" w:color="auto"/>
              <w:right w:val="single" w:sz="4" w:space="0" w:color="auto"/>
            </w:tcBorders>
            <w:shd w:val="clear" w:color="auto" w:fill="auto"/>
            <w:noWrap/>
            <w:vAlign w:val="center"/>
          </w:tcPr>
          <w:p w14:paraId="5949D812" w14:textId="77777777" w:rsidR="00335619" w:rsidRPr="0023367D" w:rsidRDefault="00335619" w:rsidP="00335619">
            <w:pPr>
              <w:jc w:val="center"/>
              <w:rPr>
                <w:color w:val="000000"/>
                <w:sz w:val="19"/>
                <w:szCs w:val="19"/>
              </w:rPr>
            </w:pPr>
            <w:r w:rsidRPr="0023367D">
              <w:rPr>
                <w:color w:val="000000"/>
                <w:sz w:val="19"/>
                <w:szCs w:val="19"/>
              </w:rPr>
              <w:t>52.2%</w:t>
            </w:r>
          </w:p>
        </w:tc>
      </w:tr>
      <w:tr w:rsidR="00335619" w:rsidRPr="0023367D" w14:paraId="568C3E35"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0640CBCF" w14:textId="77777777" w:rsidR="00335619" w:rsidRPr="0023367D" w:rsidRDefault="00335619" w:rsidP="00335619">
            <w:pPr>
              <w:jc w:val="center"/>
              <w:rPr>
                <w:color w:val="000000"/>
                <w:sz w:val="19"/>
                <w:szCs w:val="19"/>
              </w:rPr>
            </w:pPr>
            <w:r w:rsidRPr="0023367D">
              <w:rPr>
                <w:bCs/>
                <w:color w:val="000000"/>
                <w:sz w:val="19"/>
                <w:szCs w:val="19"/>
                <w:lang w:bidi="he-IL"/>
              </w:rPr>
              <w:t>1991</w:t>
            </w:r>
          </w:p>
        </w:tc>
        <w:tc>
          <w:tcPr>
            <w:tcW w:w="900" w:type="dxa"/>
            <w:tcBorders>
              <w:top w:val="nil"/>
              <w:left w:val="nil"/>
              <w:bottom w:val="single" w:sz="8" w:space="0" w:color="auto"/>
              <w:right w:val="single" w:sz="8" w:space="0" w:color="auto"/>
            </w:tcBorders>
            <w:shd w:val="clear" w:color="auto" w:fill="auto"/>
            <w:noWrap/>
            <w:vAlign w:val="center"/>
          </w:tcPr>
          <w:p w14:paraId="7ED78768" w14:textId="77777777" w:rsidR="00335619" w:rsidRPr="0023367D" w:rsidRDefault="00335619" w:rsidP="00335619">
            <w:pPr>
              <w:jc w:val="center"/>
              <w:rPr>
                <w:color w:val="000000"/>
                <w:sz w:val="19"/>
                <w:szCs w:val="19"/>
              </w:rPr>
            </w:pPr>
            <w:r w:rsidRPr="0023367D">
              <w:rPr>
                <w:color w:val="000000"/>
                <w:sz w:val="19"/>
                <w:szCs w:val="19"/>
              </w:rPr>
              <w:t>491</w:t>
            </w:r>
          </w:p>
        </w:tc>
        <w:tc>
          <w:tcPr>
            <w:tcW w:w="971" w:type="dxa"/>
            <w:tcBorders>
              <w:top w:val="nil"/>
              <w:left w:val="nil"/>
              <w:bottom w:val="single" w:sz="8" w:space="0" w:color="auto"/>
              <w:right w:val="single" w:sz="8" w:space="0" w:color="auto"/>
            </w:tcBorders>
            <w:shd w:val="clear" w:color="auto" w:fill="auto"/>
            <w:noWrap/>
            <w:vAlign w:val="center"/>
          </w:tcPr>
          <w:p w14:paraId="2D72A9DC" w14:textId="77777777" w:rsidR="00335619" w:rsidRPr="0023367D" w:rsidRDefault="00335619" w:rsidP="00335619">
            <w:pPr>
              <w:jc w:val="center"/>
              <w:rPr>
                <w:color w:val="000000"/>
                <w:sz w:val="19"/>
                <w:szCs w:val="19"/>
              </w:rPr>
            </w:pPr>
            <w:r w:rsidRPr="0023367D">
              <w:rPr>
                <w:color w:val="000000"/>
                <w:sz w:val="19"/>
                <w:szCs w:val="19"/>
              </w:rPr>
              <w:t>48.5%</w:t>
            </w:r>
          </w:p>
        </w:tc>
        <w:tc>
          <w:tcPr>
            <w:tcW w:w="1067" w:type="dxa"/>
            <w:tcBorders>
              <w:top w:val="nil"/>
              <w:left w:val="nil"/>
              <w:bottom w:val="single" w:sz="8" w:space="0" w:color="auto"/>
              <w:right w:val="single" w:sz="8" w:space="0" w:color="auto"/>
            </w:tcBorders>
            <w:shd w:val="clear" w:color="auto" w:fill="auto"/>
            <w:vAlign w:val="center"/>
          </w:tcPr>
          <w:p w14:paraId="22EB27ED" w14:textId="77777777" w:rsidR="00335619" w:rsidRPr="0023367D" w:rsidRDefault="00335619" w:rsidP="00335619">
            <w:pPr>
              <w:jc w:val="center"/>
              <w:rPr>
                <w:color w:val="000000"/>
                <w:sz w:val="19"/>
                <w:szCs w:val="19"/>
              </w:rPr>
            </w:pPr>
            <w:r w:rsidRPr="0023367D">
              <w:rPr>
                <w:color w:val="000000"/>
                <w:sz w:val="19"/>
                <w:szCs w:val="19"/>
              </w:rPr>
              <w:t>33.3%</w:t>
            </w:r>
          </w:p>
        </w:tc>
        <w:tc>
          <w:tcPr>
            <w:tcW w:w="1292" w:type="dxa"/>
            <w:tcBorders>
              <w:top w:val="nil"/>
              <w:left w:val="nil"/>
              <w:bottom w:val="single" w:sz="8" w:space="0" w:color="auto"/>
              <w:right w:val="single" w:sz="12" w:space="0" w:color="auto"/>
            </w:tcBorders>
            <w:vAlign w:val="center"/>
          </w:tcPr>
          <w:p w14:paraId="3267821F" w14:textId="77777777" w:rsidR="00335619" w:rsidRPr="0023367D" w:rsidRDefault="00335619" w:rsidP="00335619">
            <w:pPr>
              <w:jc w:val="center"/>
              <w:rPr>
                <w:color w:val="000000"/>
                <w:sz w:val="19"/>
                <w:szCs w:val="19"/>
              </w:rPr>
            </w:pPr>
            <w:r w:rsidRPr="0023367D">
              <w:rPr>
                <w:color w:val="000000"/>
                <w:sz w:val="19"/>
                <w:szCs w:val="19"/>
              </w:rPr>
              <w:t>63.3%</w:t>
            </w:r>
          </w:p>
        </w:tc>
        <w:tc>
          <w:tcPr>
            <w:tcW w:w="720" w:type="dxa"/>
            <w:tcBorders>
              <w:top w:val="nil"/>
              <w:left w:val="single" w:sz="12" w:space="0" w:color="auto"/>
              <w:bottom w:val="single" w:sz="8" w:space="0" w:color="auto"/>
              <w:right w:val="single" w:sz="8" w:space="0" w:color="auto"/>
            </w:tcBorders>
            <w:shd w:val="clear" w:color="auto" w:fill="auto"/>
            <w:vAlign w:val="center"/>
          </w:tcPr>
          <w:p w14:paraId="47F79CA1" w14:textId="77777777" w:rsidR="00335619" w:rsidRPr="0023367D" w:rsidRDefault="00335619" w:rsidP="00335619">
            <w:pPr>
              <w:jc w:val="center"/>
              <w:rPr>
                <w:color w:val="000000"/>
                <w:sz w:val="19"/>
                <w:szCs w:val="19"/>
              </w:rPr>
            </w:pPr>
            <w:r w:rsidRPr="0023367D">
              <w:rPr>
                <w:color w:val="000000"/>
                <w:sz w:val="19"/>
                <w:szCs w:val="19"/>
              </w:rPr>
              <w:t>139</w:t>
            </w:r>
          </w:p>
        </w:tc>
        <w:tc>
          <w:tcPr>
            <w:tcW w:w="1176" w:type="dxa"/>
            <w:tcBorders>
              <w:top w:val="nil"/>
              <w:left w:val="nil"/>
              <w:bottom w:val="single" w:sz="8" w:space="0" w:color="auto"/>
              <w:right w:val="single" w:sz="8" w:space="0" w:color="auto"/>
            </w:tcBorders>
            <w:shd w:val="clear" w:color="auto" w:fill="auto"/>
            <w:vAlign w:val="center"/>
          </w:tcPr>
          <w:p w14:paraId="01409D44" w14:textId="77777777" w:rsidR="00335619" w:rsidRPr="0023367D" w:rsidRDefault="00335619" w:rsidP="00335619">
            <w:pPr>
              <w:jc w:val="center"/>
              <w:rPr>
                <w:color w:val="000000"/>
                <w:sz w:val="19"/>
                <w:szCs w:val="19"/>
              </w:rPr>
            </w:pPr>
            <w:r w:rsidRPr="0023367D">
              <w:rPr>
                <w:color w:val="000000"/>
                <w:sz w:val="19"/>
                <w:szCs w:val="19"/>
              </w:rPr>
              <w:t>26.3%</w:t>
            </w:r>
          </w:p>
        </w:tc>
        <w:tc>
          <w:tcPr>
            <w:tcW w:w="1074" w:type="dxa"/>
            <w:tcBorders>
              <w:top w:val="nil"/>
              <w:left w:val="nil"/>
              <w:bottom w:val="single" w:sz="8" w:space="0" w:color="auto"/>
              <w:right w:val="single" w:sz="8" w:space="0" w:color="auto"/>
            </w:tcBorders>
            <w:shd w:val="clear" w:color="auto" w:fill="auto"/>
            <w:vAlign w:val="center"/>
          </w:tcPr>
          <w:p w14:paraId="26DDE5D6" w14:textId="77777777" w:rsidR="00335619" w:rsidRPr="0023367D" w:rsidRDefault="00335619" w:rsidP="00335619">
            <w:pPr>
              <w:jc w:val="center"/>
              <w:rPr>
                <w:color w:val="000000"/>
                <w:sz w:val="19"/>
                <w:szCs w:val="19"/>
              </w:rPr>
            </w:pPr>
            <w:r w:rsidRPr="0023367D">
              <w:rPr>
                <w:color w:val="000000"/>
                <w:sz w:val="19"/>
                <w:szCs w:val="19"/>
              </w:rPr>
              <w:t>18.5%</w:t>
            </w:r>
          </w:p>
        </w:tc>
        <w:tc>
          <w:tcPr>
            <w:tcW w:w="1260" w:type="dxa"/>
            <w:tcBorders>
              <w:top w:val="nil"/>
              <w:left w:val="nil"/>
              <w:bottom w:val="single" w:sz="8" w:space="0" w:color="auto"/>
              <w:right w:val="single" w:sz="4" w:space="0" w:color="auto"/>
            </w:tcBorders>
            <w:shd w:val="clear" w:color="auto" w:fill="auto"/>
            <w:noWrap/>
            <w:vAlign w:val="center"/>
          </w:tcPr>
          <w:p w14:paraId="29C71C0F" w14:textId="77777777" w:rsidR="00335619" w:rsidRPr="0023367D" w:rsidRDefault="00335619" w:rsidP="00335619">
            <w:pPr>
              <w:jc w:val="center"/>
              <w:rPr>
                <w:color w:val="000000"/>
                <w:sz w:val="19"/>
                <w:szCs w:val="19"/>
              </w:rPr>
            </w:pPr>
            <w:r w:rsidRPr="0023367D">
              <w:rPr>
                <w:color w:val="000000"/>
                <w:sz w:val="19"/>
                <w:szCs w:val="19"/>
              </w:rPr>
              <w:t>50.5%</w:t>
            </w:r>
          </w:p>
        </w:tc>
      </w:tr>
      <w:tr w:rsidR="00335619" w:rsidRPr="0023367D" w14:paraId="073E2636"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5D3B55C6" w14:textId="77777777" w:rsidR="00335619" w:rsidRPr="0023367D" w:rsidRDefault="00335619" w:rsidP="00335619">
            <w:pPr>
              <w:jc w:val="center"/>
              <w:rPr>
                <w:color w:val="000000"/>
                <w:sz w:val="19"/>
                <w:szCs w:val="19"/>
              </w:rPr>
            </w:pPr>
            <w:r w:rsidRPr="0023367D">
              <w:rPr>
                <w:bCs/>
                <w:color w:val="000000"/>
                <w:sz w:val="19"/>
                <w:szCs w:val="19"/>
                <w:lang w:bidi="he-IL"/>
              </w:rPr>
              <w:t>1992</w:t>
            </w:r>
          </w:p>
        </w:tc>
        <w:tc>
          <w:tcPr>
            <w:tcW w:w="900" w:type="dxa"/>
            <w:tcBorders>
              <w:top w:val="nil"/>
              <w:left w:val="nil"/>
              <w:bottom w:val="single" w:sz="8" w:space="0" w:color="auto"/>
              <w:right w:val="single" w:sz="8" w:space="0" w:color="auto"/>
            </w:tcBorders>
            <w:shd w:val="clear" w:color="auto" w:fill="auto"/>
            <w:noWrap/>
            <w:vAlign w:val="center"/>
          </w:tcPr>
          <w:p w14:paraId="48567F45" w14:textId="77777777" w:rsidR="00335619" w:rsidRPr="0023367D" w:rsidRDefault="00335619" w:rsidP="00335619">
            <w:pPr>
              <w:jc w:val="center"/>
              <w:rPr>
                <w:color w:val="000000"/>
                <w:sz w:val="19"/>
                <w:szCs w:val="19"/>
              </w:rPr>
            </w:pPr>
            <w:r w:rsidRPr="0023367D">
              <w:rPr>
                <w:color w:val="000000"/>
                <w:sz w:val="19"/>
                <w:szCs w:val="19"/>
              </w:rPr>
              <w:t>450</w:t>
            </w:r>
          </w:p>
        </w:tc>
        <w:tc>
          <w:tcPr>
            <w:tcW w:w="971" w:type="dxa"/>
            <w:tcBorders>
              <w:top w:val="nil"/>
              <w:left w:val="nil"/>
              <w:bottom w:val="single" w:sz="8" w:space="0" w:color="auto"/>
              <w:right w:val="single" w:sz="8" w:space="0" w:color="auto"/>
            </w:tcBorders>
            <w:shd w:val="clear" w:color="auto" w:fill="auto"/>
            <w:noWrap/>
            <w:vAlign w:val="center"/>
          </w:tcPr>
          <w:p w14:paraId="395D5AF3" w14:textId="77777777" w:rsidR="00335619" w:rsidRPr="0023367D" w:rsidRDefault="00335619" w:rsidP="00335619">
            <w:pPr>
              <w:jc w:val="center"/>
              <w:rPr>
                <w:color w:val="000000"/>
                <w:sz w:val="19"/>
                <w:szCs w:val="19"/>
              </w:rPr>
            </w:pPr>
            <w:r w:rsidRPr="0023367D">
              <w:rPr>
                <w:color w:val="000000"/>
                <w:sz w:val="19"/>
                <w:szCs w:val="19"/>
              </w:rPr>
              <w:t>47.9%</w:t>
            </w:r>
          </w:p>
        </w:tc>
        <w:tc>
          <w:tcPr>
            <w:tcW w:w="1067" w:type="dxa"/>
            <w:tcBorders>
              <w:top w:val="nil"/>
              <w:left w:val="nil"/>
              <w:bottom w:val="single" w:sz="8" w:space="0" w:color="auto"/>
              <w:right w:val="single" w:sz="8" w:space="0" w:color="auto"/>
            </w:tcBorders>
            <w:shd w:val="clear" w:color="auto" w:fill="auto"/>
            <w:vAlign w:val="center"/>
          </w:tcPr>
          <w:p w14:paraId="4D76F0CC" w14:textId="77777777" w:rsidR="00335619" w:rsidRPr="0023367D" w:rsidRDefault="00335619" w:rsidP="00335619">
            <w:pPr>
              <w:jc w:val="center"/>
              <w:rPr>
                <w:color w:val="000000"/>
                <w:sz w:val="19"/>
                <w:szCs w:val="19"/>
              </w:rPr>
            </w:pPr>
            <w:r w:rsidRPr="0023367D">
              <w:rPr>
                <w:color w:val="000000"/>
                <w:sz w:val="19"/>
                <w:szCs w:val="19"/>
              </w:rPr>
              <w:t>31.4%</w:t>
            </w:r>
          </w:p>
        </w:tc>
        <w:tc>
          <w:tcPr>
            <w:tcW w:w="1292" w:type="dxa"/>
            <w:tcBorders>
              <w:top w:val="nil"/>
              <w:left w:val="nil"/>
              <w:bottom w:val="single" w:sz="8" w:space="0" w:color="auto"/>
              <w:right w:val="single" w:sz="12" w:space="0" w:color="auto"/>
            </w:tcBorders>
            <w:vAlign w:val="center"/>
          </w:tcPr>
          <w:p w14:paraId="670097C0" w14:textId="77777777" w:rsidR="00335619" w:rsidRPr="0023367D" w:rsidRDefault="00335619" w:rsidP="00335619">
            <w:pPr>
              <w:jc w:val="center"/>
              <w:rPr>
                <w:color w:val="000000"/>
                <w:sz w:val="19"/>
                <w:szCs w:val="19"/>
              </w:rPr>
            </w:pPr>
            <w:r w:rsidRPr="0023367D">
              <w:rPr>
                <w:color w:val="000000"/>
                <w:sz w:val="19"/>
                <w:szCs w:val="19"/>
              </w:rPr>
              <w:t>61.8%</w:t>
            </w:r>
          </w:p>
        </w:tc>
        <w:tc>
          <w:tcPr>
            <w:tcW w:w="720" w:type="dxa"/>
            <w:tcBorders>
              <w:top w:val="nil"/>
              <w:left w:val="single" w:sz="12" w:space="0" w:color="auto"/>
              <w:bottom w:val="single" w:sz="8" w:space="0" w:color="auto"/>
              <w:right w:val="single" w:sz="8" w:space="0" w:color="auto"/>
            </w:tcBorders>
            <w:shd w:val="clear" w:color="auto" w:fill="auto"/>
            <w:vAlign w:val="center"/>
          </w:tcPr>
          <w:p w14:paraId="1CCA9232" w14:textId="77777777" w:rsidR="00335619" w:rsidRPr="0023367D" w:rsidRDefault="00335619" w:rsidP="00335619">
            <w:pPr>
              <w:jc w:val="center"/>
              <w:rPr>
                <w:color w:val="000000"/>
                <w:sz w:val="19"/>
                <w:szCs w:val="19"/>
              </w:rPr>
            </w:pPr>
            <w:r w:rsidRPr="0023367D">
              <w:rPr>
                <w:color w:val="000000"/>
                <w:sz w:val="19"/>
                <w:szCs w:val="19"/>
              </w:rPr>
              <w:t>99</w:t>
            </w:r>
          </w:p>
        </w:tc>
        <w:tc>
          <w:tcPr>
            <w:tcW w:w="1176" w:type="dxa"/>
            <w:tcBorders>
              <w:top w:val="nil"/>
              <w:left w:val="nil"/>
              <w:bottom w:val="single" w:sz="8" w:space="0" w:color="auto"/>
              <w:right w:val="single" w:sz="8" w:space="0" w:color="auto"/>
            </w:tcBorders>
            <w:shd w:val="clear" w:color="auto" w:fill="auto"/>
            <w:vAlign w:val="center"/>
          </w:tcPr>
          <w:p w14:paraId="22573BCB" w14:textId="77777777" w:rsidR="00335619" w:rsidRPr="0023367D" w:rsidRDefault="00335619" w:rsidP="00335619">
            <w:pPr>
              <w:jc w:val="center"/>
              <w:rPr>
                <w:color w:val="000000"/>
                <w:sz w:val="19"/>
                <w:szCs w:val="19"/>
              </w:rPr>
            </w:pPr>
            <w:r w:rsidRPr="0023367D">
              <w:rPr>
                <w:color w:val="000000"/>
                <w:sz w:val="19"/>
                <w:szCs w:val="19"/>
              </w:rPr>
              <w:t>34.4%</w:t>
            </w:r>
          </w:p>
        </w:tc>
        <w:tc>
          <w:tcPr>
            <w:tcW w:w="1074" w:type="dxa"/>
            <w:tcBorders>
              <w:top w:val="nil"/>
              <w:left w:val="nil"/>
              <w:bottom w:val="single" w:sz="8" w:space="0" w:color="auto"/>
              <w:right w:val="single" w:sz="8" w:space="0" w:color="auto"/>
            </w:tcBorders>
            <w:shd w:val="clear" w:color="auto" w:fill="auto"/>
            <w:vAlign w:val="center"/>
          </w:tcPr>
          <w:p w14:paraId="079D93FF" w14:textId="77777777" w:rsidR="00335619" w:rsidRPr="0023367D" w:rsidRDefault="00335619" w:rsidP="00335619">
            <w:pPr>
              <w:jc w:val="center"/>
              <w:rPr>
                <w:color w:val="000000"/>
                <w:sz w:val="19"/>
                <w:szCs w:val="19"/>
              </w:rPr>
            </w:pPr>
            <w:r w:rsidRPr="0023367D">
              <w:rPr>
                <w:color w:val="000000"/>
                <w:sz w:val="19"/>
                <w:szCs w:val="19"/>
              </w:rPr>
              <w:t>24.3%</w:t>
            </w:r>
          </w:p>
        </w:tc>
        <w:tc>
          <w:tcPr>
            <w:tcW w:w="1260" w:type="dxa"/>
            <w:tcBorders>
              <w:top w:val="nil"/>
              <w:left w:val="nil"/>
              <w:bottom w:val="single" w:sz="8" w:space="0" w:color="auto"/>
              <w:right w:val="single" w:sz="4" w:space="0" w:color="auto"/>
            </w:tcBorders>
            <w:shd w:val="clear" w:color="auto" w:fill="auto"/>
            <w:noWrap/>
            <w:vAlign w:val="center"/>
          </w:tcPr>
          <w:p w14:paraId="4343486C" w14:textId="77777777" w:rsidR="00335619" w:rsidRPr="0023367D" w:rsidRDefault="00335619" w:rsidP="00335619">
            <w:pPr>
              <w:jc w:val="center"/>
              <w:rPr>
                <w:color w:val="000000"/>
                <w:sz w:val="19"/>
                <w:szCs w:val="19"/>
              </w:rPr>
            </w:pPr>
            <w:r w:rsidRPr="0023367D">
              <w:rPr>
                <w:color w:val="000000"/>
                <w:sz w:val="19"/>
                <w:szCs w:val="19"/>
              </w:rPr>
              <w:t>51.4%</w:t>
            </w:r>
          </w:p>
        </w:tc>
      </w:tr>
      <w:tr w:rsidR="00335619" w:rsidRPr="0023367D" w14:paraId="5D01CAE4"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764CAA53" w14:textId="77777777" w:rsidR="00335619" w:rsidRPr="0023367D" w:rsidRDefault="00335619" w:rsidP="00335619">
            <w:pPr>
              <w:jc w:val="center"/>
              <w:rPr>
                <w:color w:val="000000"/>
                <w:sz w:val="19"/>
                <w:szCs w:val="19"/>
              </w:rPr>
            </w:pPr>
            <w:r w:rsidRPr="0023367D">
              <w:rPr>
                <w:bCs/>
                <w:color w:val="000000"/>
                <w:sz w:val="19"/>
                <w:szCs w:val="19"/>
                <w:lang w:bidi="he-IL"/>
              </w:rPr>
              <w:t>1993</w:t>
            </w:r>
          </w:p>
        </w:tc>
        <w:tc>
          <w:tcPr>
            <w:tcW w:w="900" w:type="dxa"/>
            <w:tcBorders>
              <w:top w:val="nil"/>
              <w:left w:val="nil"/>
              <w:bottom w:val="single" w:sz="8" w:space="0" w:color="auto"/>
              <w:right w:val="single" w:sz="8" w:space="0" w:color="auto"/>
            </w:tcBorders>
            <w:shd w:val="clear" w:color="auto" w:fill="auto"/>
            <w:noWrap/>
            <w:vAlign w:val="center"/>
          </w:tcPr>
          <w:p w14:paraId="762F21A5" w14:textId="77777777" w:rsidR="00335619" w:rsidRPr="0023367D" w:rsidRDefault="00335619" w:rsidP="00335619">
            <w:pPr>
              <w:jc w:val="center"/>
              <w:rPr>
                <w:color w:val="000000"/>
                <w:sz w:val="19"/>
                <w:szCs w:val="19"/>
              </w:rPr>
            </w:pPr>
            <w:r w:rsidRPr="0023367D">
              <w:rPr>
                <w:color w:val="000000"/>
                <w:sz w:val="19"/>
                <w:szCs w:val="19"/>
              </w:rPr>
              <w:t>454</w:t>
            </w:r>
          </w:p>
        </w:tc>
        <w:tc>
          <w:tcPr>
            <w:tcW w:w="971" w:type="dxa"/>
            <w:tcBorders>
              <w:top w:val="nil"/>
              <w:left w:val="nil"/>
              <w:bottom w:val="single" w:sz="8" w:space="0" w:color="auto"/>
              <w:right w:val="single" w:sz="8" w:space="0" w:color="auto"/>
            </w:tcBorders>
            <w:shd w:val="clear" w:color="auto" w:fill="auto"/>
            <w:noWrap/>
            <w:vAlign w:val="center"/>
          </w:tcPr>
          <w:p w14:paraId="092A9B93" w14:textId="77777777" w:rsidR="00335619" w:rsidRPr="0023367D" w:rsidRDefault="00335619" w:rsidP="00335619">
            <w:pPr>
              <w:jc w:val="center"/>
              <w:rPr>
                <w:color w:val="000000"/>
                <w:sz w:val="19"/>
                <w:szCs w:val="19"/>
              </w:rPr>
            </w:pPr>
            <w:r w:rsidRPr="0023367D">
              <w:rPr>
                <w:color w:val="000000"/>
                <w:sz w:val="19"/>
                <w:szCs w:val="19"/>
              </w:rPr>
              <w:t>44.4%</w:t>
            </w:r>
          </w:p>
        </w:tc>
        <w:tc>
          <w:tcPr>
            <w:tcW w:w="1067" w:type="dxa"/>
            <w:tcBorders>
              <w:top w:val="nil"/>
              <w:left w:val="nil"/>
              <w:bottom w:val="single" w:sz="8" w:space="0" w:color="auto"/>
              <w:right w:val="single" w:sz="8" w:space="0" w:color="auto"/>
            </w:tcBorders>
            <w:shd w:val="clear" w:color="auto" w:fill="auto"/>
            <w:vAlign w:val="center"/>
          </w:tcPr>
          <w:p w14:paraId="429F07C8" w14:textId="77777777" w:rsidR="00335619" w:rsidRPr="0023367D" w:rsidRDefault="00335619" w:rsidP="00335619">
            <w:pPr>
              <w:jc w:val="center"/>
              <w:rPr>
                <w:color w:val="000000"/>
                <w:sz w:val="19"/>
                <w:szCs w:val="19"/>
              </w:rPr>
            </w:pPr>
            <w:r w:rsidRPr="0023367D">
              <w:rPr>
                <w:color w:val="000000"/>
                <w:sz w:val="19"/>
                <w:szCs w:val="19"/>
              </w:rPr>
              <w:t>29.4%</w:t>
            </w:r>
          </w:p>
        </w:tc>
        <w:tc>
          <w:tcPr>
            <w:tcW w:w="1292" w:type="dxa"/>
            <w:tcBorders>
              <w:top w:val="nil"/>
              <w:left w:val="nil"/>
              <w:bottom w:val="single" w:sz="8" w:space="0" w:color="auto"/>
              <w:right w:val="single" w:sz="12" w:space="0" w:color="auto"/>
            </w:tcBorders>
            <w:vAlign w:val="center"/>
          </w:tcPr>
          <w:p w14:paraId="69FA5207" w14:textId="77777777" w:rsidR="00335619" w:rsidRPr="0023367D" w:rsidRDefault="00335619" w:rsidP="00335619">
            <w:pPr>
              <w:jc w:val="center"/>
              <w:rPr>
                <w:color w:val="000000"/>
                <w:sz w:val="19"/>
                <w:szCs w:val="19"/>
              </w:rPr>
            </w:pPr>
            <w:r w:rsidRPr="0023367D">
              <w:rPr>
                <w:color w:val="000000"/>
                <w:sz w:val="19"/>
                <w:szCs w:val="19"/>
              </w:rPr>
              <w:t>59.0%</w:t>
            </w:r>
          </w:p>
        </w:tc>
        <w:tc>
          <w:tcPr>
            <w:tcW w:w="720" w:type="dxa"/>
            <w:tcBorders>
              <w:top w:val="nil"/>
              <w:left w:val="single" w:sz="12" w:space="0" w:color="auto"/>
              <w:bottom w:val="single" w:sz="8" w:space="0" w:color="auto"/>
              <w:right w:val="single" w:sz="8" w:space="0" w:color="auto"/>
            </w:tcBorders>
            <w:shd w:val="clear" w:color="auto" w:fill="auto"/>
            <w:vAlign w:val="center"/>
          </w:tcPr>
          <w:p w14:paraId="4329D698" w14:textId="77777777" w:rsidR="00335619" w:rsidRPr="0023367D" w:rsidRDefault="00335619" w:rsidP="00335619">
            <w:pPr>
              <w:jc w:val="center"/>
              <w:rPr>
                <w:color w:val="000000"/>
                <w:sz w:val="19"/>
                <w:szCs w:val="19"/>
              </w:rPr>
            </w:pPr>
            <w:r w:rsidRPr="0023367D">
              <w:rPr>
                <w:color w:val="000000"/>
                <w:sz w:val="19"/>
                <w:szCs w:val="19"/>
              </w:rPr>
              <w:t>79</w:t>
            </w:r>
          </w:p>
        </w:tc>
        <w:tc>
          <w:tcPr>
            <w:tcW w:w="1176" w:type="dxa"/>
            <w:tcBorders>
              <w:top w:val="nil"/>
              <w:left w:val="nil"/>
              <w:bottom w:val="single" w:sz="8" w:space="0" w:color="auto"/>
              <w:right w:val="single" w:sz="8" w:space="0" w:color="auto"/>
            </w:tcBorders>
            <w:shd w:val="clear" w:color="auto" w:fill="auto"/>
            <w:vAlign w:val="center"/>
          </w:tcPr>
          <w:p w14:paraId="371A6F51" w14:textId="77777777" w:rsidR="00335619" w:rsidRPr="0023367D" w:rsidRDefault="00335619" w:rsidP="00335619">
            <w:pPr>
              <w:jc w:val="center"/>
              <w:rPr>
                <w:color w:val="000000"/>
                <w:sz w:val="19"/>
                <w:szCs w:val="19"/>
              </w:rPr>
            </w:pPr>
            <w:r w:rsidRPr="0023367D">
              <w:rPr>
                <w:color w:val="000000"/>
                <w:sz w:val="19"/>
                <w:szCs w:val="19"/>
              </w:rPr>
              <w:t>35.0%</w:t>
            </w:r>
          </w:p>
        </w:tc>
        <w:tc>
          <w:tcPr>
            <w:tcW w:w="1074" w:type="dxa"/>
            <w:tcBorders>
              <w:top w:val="nil"/>
              <w:left w:val="nil"/>
              <w:bottom w:val="single" w:sz="8" w:space="0" w:color="auto"/>
              <w:right w:val="single" w:sz="8" w:space="0" w:color="auto"/>
            </w:tcBorders>
            <w:shd w:val="clear" w:color="auto" w:fill="auto"/>
            <w:vAlign w:val="center"/>
          </w:tcPr>
          <w:p w14:paraId="0C2D5810" w14:textId="77777777" w:rsidR="00335619" w:rsidRPr="0023367D" w:rsidRDefault="00335619" w:rsidP="00335619">
            <w:pPr>
              <w:jc w:val="center"/>
              <w:rPr>
                <w:color w:val="000000"/>
                <w:sz w:val="19"/>
                <w:szCs w:val="19"/>
              </w:rPr>
            </w:pPr>
            <w:r w:rsidRPr="0023367D">
              <w:rPr>
                <w:color w:val="000000"/>
                <w:sz w:val="19"/>
                <w:szCs w:val="19"/>
              </w:rPr>
              <w:t>28.8%</w:t>
            </w:r>
          </w:p>
        </w:tc>
        <w:tc>
          <w:tcPr>
            <w:tcW w:w="1260" w:type="dxa"/>
            <w:tcBorders>
              <w:top w:val="nil"/>
              <w:left w:val="nil"/>
              <w:bottom w:val="single" w:sz="8" w:space="0" w:color="auto"/>
              <w:right w:val="single" w:sz="4" w:space="0" w:color="auto"/>
            </w:tcBorders>
            <w:shd w:val="clear" w:color="auto" w:fill="auto"/>
            <w:noWrap/>
            <w:vAlign w:val="center"/>
          </w:tcPr>
          <w:p w14:paraId="429804ED" w14:textId="77777777" w:rsidR="00335619" w:rsidRPr="0023367D" w:rsidRDefault="00335619" w:rsidP="00335619">
            <w:pPr>
              <w:jc w:val="center"/>
              <w:rPr>
                <w:color w:val="000000"/>
                <w:sz w:val="19"/>
                <w:szCs w:val="19"/>
              </w:rPr>
            </w:pPr>
            <w:r w:rsidRPr="0023367D">
              <w:rPr>
                <w:color w:val="000000"/>
                <w:sz w:val="19"/>
                <w:szCs w:val="19"/>
              </w:rPr>
              <w:t>49.4%</w:t>
            </w:r>
          </w:p>
        </w:tc>
      </w:tr>
      <w:tr w:rsidR="00335619" w:rsidRPr="0023367D" w14:paraId="0E4E87B3"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28D18205" w14:textId="77777777" w:rsidR="00335619" w:rsidRPr="0023367D" w:rsidRDefault="00335619" w:rsidP="00335619">
            <w:pPr>
              <w:jc w:val="center"/>
              <w:rPr>
                <w:color w:val="000000"/>
                <w:sz w:val="19"/>
                <w:szCs w:val="19"/>
              </w:rPr>
            </w:pPr>
            <w:r w:rsidRPr="0023367D">
              <w:rPr>
                <w:bCs/>
                <w:color w:val="000000"/>
                <w:sz w:val="19"/>
                <w:szCs w:val="19"/>
                <w:lang w:bidi="he-IL"/>
              </w:rPr>
              <w:t>1994</w:t>
            </w:r>
          </w:p>
        </w:tc>
        <w:tc>
          <w:tcPr>
            <w:tcW w:w="900" w:type="dxa"/>
            <w:tcBorders>
              <w:top w:val="nil"/>
              <w:left w:val="nil"/>
              <w:bottom w:val="single" w:sz="8" w:space="0" w:color="auto"/>
              <w:right w:val="single" w:sz="8" w:space="0" w:color="auto"/>
            </w:tcBorders>
            <w:shd w:val="clear" w:color="auto" w:fill="auto"/>
            <w:noWrap/>
            <w:vAlign w:val="center"/>
          </w:tcPr>
          <w:p w14:paraId="0875B098" w14:textId="77777777" w:rsidR="00335619" w:rsidRPr="0023367D" w:rsidRDefault="00335619" w:rsidP="00335619">
            <w:pPr>
              <w:jc w:val="center"/>
              <w:rPr>
                <w:color w:val="000000"/>
                <w:sz w:val="19"/>
                <w:szCs w:val="19"/>
              </w:rPr>
            </w:pPr>
            <w:r w:rsidRPr="0023367D">
              <w:rPr>
                <w:color w:val="000000"/>
                <w:sz w:val="19"/>
                <w:szCs w:val="19"/>
              </w:rPr>
              <w:t>505</w:t>
            </w:r>
          </w:p>
        </w:tc>
        <w:tc>
          <w:tcPr>
            <w:tcW w:w="971" w:type="dxa"/>
            <w:tcBorders>
              <w:top w:val="nil"/>
              <w:left w:val="nil"/>
              <w:bottom w:val="single" w:sz="8" w:space="0" w:color="auto"/>
              <w:right w:val="single" w:sz="8" w:space="0" w:color="auto"/>
            </w:tcBorders>
            <w:shd w:val="clear" w:color="auto" w:fill="auto"/>
            <w:noWrap/>
            <w:vAlign w:val="center"/>
          </w:tcPr>
          <w:p w14:paraId="2604623B" w14:textId="77777777" w:rsidR="00335619" w:rsidRPr="0023367D" w:rsidRDefault="00335619" w:rsidP="00335619">
            <w:pPr>
              <w:jc w:val="center"/>
              <w:rPr>
                <w:color w:val="000000"/>
                <w:sz w:val="19"/>
                <w:szCs w:val="19"/>
              </w:rPr>
            </w:pPr>
            <w:r w:rsidRPr="0023367D">
              <w:rPr>
                <w:color w:val="000000"/>
                <w:sz w:val="19"/>
                <w:szCs w:val="19"/>
              </w:rPr>
              <w:t>41.3%</w:t>
            </w:r>
          </w:p>
        </w:tc>
        <w:tc>
          <w:tcPr>
            <w:tcW w:w="1067" w:type="dxa"/>
            <w:tcBorders>
              <w:top w:val="nil"/>
              <w:left w:val="nil"/>
              <w:bottom w:val="single" w:sz="8" w:space="0" w:color="auto"/>
              <w:right w:val="single" w:sz="8" w:space="0" w:color="auto"/>
            </w:tcBorders>
            <w:shd w:val="clear" w:color="auto" w:fill="auto"/>
            <w:vAlign w:val="center"/>
          </w:tcPr>
          <w:p w14:paraId="11392EF4" w14:textId="77777777" w:rsidR="00335619" w:rsidRPr="0023367D" w:rsidRDefault="00335619" w:rsidP="00335619">
            <w:pPr>
              <w:jc w:val="center"/>
              <w:rPr>
                <w:color w:val="000000"/>
                <w:sz w:val="19"/>
                <w:szCs w:val="19"/>
              </w:rPr>
            </w:pPr>
            <w:r w:rsidRPr="0023367D">
              <w:rPr>
                <w:color w:val="000000"/>
                <w:sz w:val="19"/>
                <w:szCs w:val="19"/>
              </w:rPr>
              <w:t>27.5%</w:t>
            </w:r>
          </w:p>
        </w:tc>
        <w:tc>
          <w:tcPr>
            <w:tcW w:w="1292" w:type="dxa"/>
            <w:tcBorders>
              <w:top w:val="nil"/>
              <w:left w:val="nil"/>
              <w:bottom w:val="single" w:sz="8" w:space="0" w:color="auto"/>
              <w:right w:val="single" w:sz="12" w:space="0" w:color="auto"/>
            </w:tcBorders>
            <w:vAlign w:val="center"/>
          </w:tcPr>
          <w:p w14:paraId="59CAFEFC" w14:textId="77777777" w:rsidR="00335619" w:rsidRPr="0023367D" w:rsidRDefault="00335619" w:rsidP="00335619">
            <w:pPr>
              <w:jc w:val="center"/>
              <w:rPr>
                <w:color w:val="000000"/>
                <w:sz w:val="19"/>
                <w:szCs w:val="19"/>
              </w:rPr>
            </w:pPr>
            <w:r w:rsidRPr="0023367D">
              <w:rPr>
                <w:color w:val="000000"/>
                <w:sz w:val="19"/>
                <w:szCs w:val="19"/>
              </w:rPr>
              <w:t>58.5%</w:t>
            </w:r>
          </w:p>
        </w:tc>
        <w:tc>
          <w:tcPr>
            <w:tcW w:w="720" w:type="dxa"/>
            <w:tcBorders>
              <w:top w:val="nil"/>
              <w:left w:val="single" w:sz="12" w:space="0" w:color="auto"/>
              <w:bottom w:val="single" w:sz="8" w:space="0" w:color="auto"/>
              <w:right w:val="single" w:sz="8" w:space="0" w:color="auto"/>
            </w:tcBorders>
            <w:shd w:val="clear" w:color="auto" w:fill="auto"/>
            <w:vAlign w:val="center"/>
          </w:tcPr>
          <w:p w14:paraId="5BA4FA2A" w14:textId="77777777" w:rsidR="00335619" w:rsidRPr="0023367D" w:rsidRDefault="00335619" w:rsidP="00335619">
            <w:pPr>
              <w:jc w:val="center"/>
              <w:rPr>
                <w:color w:val="000000"/>
                <w:sz w:val="19"/>
                <w:szCs w:val="19"/>
              </w:rPr>
            </w:pPr>
            <w:r w:rsidRPr="0023367D">
              <w:rPr>
                <w:color w:val="000000"/>
                <w:sz w:val="19"/>
                <w:szCs w:val="19"/>
              </w:rPr>
              <w:t>85</w:t>
            </w:r>
          </w:p>
        </w:tc>
        <w:tc>
          <w:tcPr>
            <w:tcW w:w="1176" w:type="dxa"/>
            <w:tcBorders>
              <w:top w:val="nil"/>
              <w:left w:val="nil"/>
              <w:bottom w:val="single" w:sz="8" w:space="0" w:color="auto"/>
              <w:right w:val="single" w:sz="8" w:space="0" w:color="auto"/>
            </w:tcBorders>
            <w:shd w:val="clear" w:color="auto" w:fill="auto"/>
            <w:vAlign w:val="center"/>
          </w:tcPr>
          <w:p w14:paraId="631DF752" w14:textId="77777777" w:rsidR="00335619" w:rsidRPr="0023367D" w:rsidRDefault="00335619" w:rsidP="00335619">
            <w:pPr>
              <w:jc w:val="center"/>
              <w:rPr>
                <w:color w:val="000000"/>
                <w:sz w:val="19"/>
                <w:szCs w:val="19"/>
              </w:rPr>
            </w:pPr>
            <w:r w:rsidRPr="0023367D">
              <w:rPr>
                <w:color w:val="000000"/>
                <w:sz w:val="19"/>
                <w:szCs w:val="19"/>
              </w:rPr>
              <w:t>36.9%</w:t>
            </w:r>
          </w:p>
        </w:tc>
        <w:tc>
          <w:tcPr>
            <w:tcW w:w="1074" w:type="dxa"/>
            <w:tcBorders>
              <w:top w:val="nil"/>
              <w:left w:val="nil"/>
              <w:bottom w:val="single" w:sz="8" w:space="0" w:color="auto"/>
              <w:right w:val="single" w:sz="8" w:space="0" w:color="auto"/>
            </w:tcBorders>
            <w:shd w:val="clear" w:color="auto" w:fill="auto"/>
            <w:vAlign w:val="center"/>
          </w:tcPr>
          <w:p w14:paraId="0FA5EB5F" w14:textId="77777777" w:rsidR="00335619" w:rsidRPr="0023367D" w:rsidRDefault="00335619" w:rsidP="00335619">
            <w:pPr>
              <w:jc w:val="center"/>
              <w:rPr>
                <w:color w:val="000000"/>
                <w:sz w:val="19"/>
                <w:szCs w:val="19"/>
              </w:rPr>
            </w:pPr>
            <w:r w:rsidRPr="0023367D">
              <w:rPr>
                <w:color w:val="000000"/>
                <w:sz w:val="19"/>
                <w:szCs w:val="19"/>
              </w:rPr>
              <w:t>31.3%</w:t>
            </w:r>
          </w:p>
        </w:tc>
        <w:tc>
          <w:tcPr>
            <w:tcW w:w="1260" w:type="dxa"/>
            <w:tcBorders>
              <w:top w:val="nil"/>
              <w:left w:val="nil"/>
              <w:bottom w:val="single" w:sz="8" w:space="0" w:color="auto"/>
              <w:right w:val="single" w:sz="4" w:space="0" w:color="auto"/>
            </w:tcBorders>
            <w:shd w:val="clear" w:color="auto" w:fill="auto"/>
            <w:noWrap/>
            <w:vAlign w:val="center"/>
          </w:tcPr>
          <w:p w14:paraId="6B43422C" w14:textId="77777777" w:rsidR="00335619" w:rsidRPr="0023367D" w:rsidRDefault="00335619" w:rsidP="00335619">
            <w:pPr>
              <w:jc w:val="center"/>
              <w:rPr>
                <w:color w:val="000000"/>
                <w:sz w:val="19"/>
                <w:szCs w:val="19"/>
              </w:rPr>
            </w:pPr>
            <w:r w:rsidRPr="0023367D">
              <w:rPr>
                <w:color w:val="000000"/>
                <w:sz w:val="19"/>
                <w:szCs w:val="19"/>
              </w:rPr>
              <w:t>53.9%</w:t>
            </w:r>
          </w:p>
        </w:tc>
      </w:tr>
      <w:tr w:rsidR="00335619" w:rsidRPr="0023367D" w14:paraId="360749FD"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75B89F49" w14:textId="77777777" w:rsidR="00335619" w:rsidRPr="0023367D" w:rsidRDefault="00335619" w:rsidP="00335619">
            <w:pPr>
              <w:jc w:val="center"/>
              <w:rPr>
                <w:color w:val="000000"/>
                <w:sz w:val="19"/>
                <w:szCs w:val="19"/>
              </w:rPr>
            </w:pPr>
            <w:r w:rsidRPr="0023367D">
              <w:rPr>
                <w:bCs/>
                <w:color w:val="000000"/>
                <w:sz w:val="19"/>
                <w:szCs w:val="19"/>
                <w:lang w:bidi="he-IL"/>
              </w:rPr>
              <w:t>1995</w:t>
            </w:r>
          </w:p>
        </w:tc>
        <w:tc>
          <w:tcPr>
            <w:tcW w:w="900" w:type="dxa"/>
            <w:tcBorders>
              <w:top w:val="nil"/>
              <w:left w:val="nil"/>
              <w:bottom w:val="single" w:sz="8" w:space="0" w:color="auto"/>
              <w:right w:val="single" w:sz="8" w:space="0" w:color="auto"/>
            </w:tcBorders>
            <w:shd w:val="clear" w:color="auto" w:fill="auto"/>
            <w:noWrap/>
            <w:vAlign w:val="center"/>
          </w:tcPr>
          <w:p w14:paraId="46C3BBBD" w14:textId="77777777" w:rsidR="00335619" w:rsidRPr="0023367D" w:rsidRDefault="00335619" w:rsidP="00335619">
            <w:pPr>
              <w:jc w:val="center"/>
              <w:rPr>
                <w:color w:val="000000"/>
                <w:sz w:val="19"/>
                <w:szCs w:val="19"/>
              </w:rPr>
            </w:pPr>
            <w:r w:rsidRPr="0023367D">
              <w:rPr>
                <w:color w:val="000000"/>
                <w:sz w:val="19"/>
                <w:szCs w:val="19"/>
              </w:rPr>
              <w:t>527</w:t>
            </w:r>
          </w:p>
        </w:tc>
        <w:tc>
          <w:tcPr>
            <w:tcW w:w="971" w:type="dxa"/>
            <w:tcBorders>
              <w:top w:val="nil"/>
              <w:left w:val="nil"/>
              <w:bottom w:val="single" w:sz="8" w:space="0" w:color="auto"/>
              <w:right w:val="single" w:sz="8" w:space="0" w:color="auto"/>
            </w:tcBorders>
            <w:shd w:val="clear" w:color="auto" w:fill="auto"/>
            <w:noWrap/>
            <w:vAlign w:val="center"/>
          </w:tcPr>
          <w:p w14:paraId="5E062430" w14:textId="77777777" w:rsidR="00335619" w:rsidRPr="0023367D" w:rsidRDefault="00335619" w:rsidP="00335619">
            <w:pPr>
              <w:jc w:val="center"/>
              <w:rPr>
                <w:color w:val="000000"/>
                <w:sz w:val="19"/>
                <w:szCs w:val="19"/>
              </w:rPr>
            </w:pPr>
            <w:r w:rsidRPr="0023367D">
              <w:rPr>
                <w:color w:val="000000"/>
                <w:sz w:val="19"/>
                <w:szCs w:val="19"/>
              </w:rPr>
              <w:t>40.2%</w:t>
            </w:r>
          </w:p>
        </w:tc>
        <w:tc>
          <w:tcPr>
            <w:tcW w:w="1067" w:type="dxa"/>
            <w:tcBorders>
              <w:top w:val="nil"/>
              <w:left w:val="nil"/>
              <w:bottom w:val="single" w:sz="8" w:space="0" w:color="auto"/>
              <w:right w:val="single" w:sz="8" w:space="0" w:color="auto"/>
            </w:tcBorders>
            <w:shd w:val="clear" w:color="auto" w:fill="auto"/>
            <w:vAlign w:val="center"/>
          </w:tcPr>
          <w:p w14:paraId="2CA7402C" w14:textId="77777777" w:rsidR="00335619" w:rsidRPr="0023367D" w:rsidRDefault="00335619" w:rsidP="00335619">
            <w:pPr>
              <w:jc w:val="center"/>
              <w:rPr>
                <w:color w:val="000000"/>
                <w:sz w:val="19"/>
                <w:szCs w:val="19"/>
              </w:rPr>
            </w:pPr>
            <w:r w:rsidRPr="0023367D">
              <w:rPr>
                <w:color w:val="000000"/>
                <w:sz w:val="19"/>
                <w:szCs w:val="19"/>
              </w:rPr>
              <w:t>28.3%</w:t>
            </w:r>
          </w:p>
        </w:tc>
        <w:tc>
          <w:tcPr>
            <w:tcW w:w="1292" w:type="dxa"/>
            <w:tcBorders>
              <w:top w:val="nil"/>
              <w:left w:val="nil"/>
              <w:bottom w:val="single" w:sz="8" w:space="0" w:color="auto"/>
              <w:right w:val="single" w:sz="12" w:space="0" w:color="auto"/>
            </w:tcBorders>
            <w:vAlign w:val="center"/>
          </w:tcPr>
          <w:p w14:paraId="27559FB1" w14:textId="77777777" w:rsidR="00335619" w:rsidRPr="0023367D" w:rsidRDefault="00335619" w:rsidP="00335619">
            <w:pPr>
              <w:jc w:val="center"/>
              <w:rPr>
                <w:color w:val="000000"/>
                <w:sz w:val="19"/>
                <w:szCs w:val="19"/>
              </w:rPr>
            </w:pPr>
            <w:r w:rsidRPr="0023367D">
              <w:rPr>
                <w:color w:val="000000"/>
                <w:sz w:val="19"/>
                <w:szCs w:val="19"/>
              </w:rPr>
              <w:t>55.0%</w:t>
            </w:r>
          </w:p>
        </w:tc>
        <w:tc>
          <w:tcPr>
            <w:tcW w:w="720" w:type="dxa"/>
            <w:tcBorders>
              <w:top w:val="nil"/>
              <w:left w:val="single" w:sz="12" w:space="0" w:color="auto"/>
              <w:bottom w:val="single" w:sz="8" w:space="0" w:color="auto"/>
              <w:right w:val="single" w:sz="8" w:space="0" w:color="auto"/>
            </w:tcBorders>
            <w:shd w:val="clear" w:color="auto" w:fill="auto"/>
            <w:vAlign w:val="center"/>
          </w:tcPr>
          <w:p w14:paraId="1ADC1CA0" w14:textId="77777777" w:rsidR="00335619" w:rsidRPr="0023367D" w:rsidRDefault="00335619" w:rsidP="00335619">
            <w:pPr>
              <w:jc w:val="center"/>
              <w:rPr>
                <w:color w:val="000000"/>
                <w:sz w:val="19"/>
                <w:szCs w:val="19"/>
              </w:rPr>
            </w:pPr>
            <w:r w:rsidRPr="0023367D">
              <w:rPr>
                <w:color w:val="000000"/>
                <w:sz w:val="19"/>
                <w:szCs w:val="19"/>
              </w:rPr>
              <w:t>87</w:t>
            </w:r>
          </w:p>
        </w:tc>
        <w:tc>
          <w:tcPr>
            <w:tcW w:w="1176" w:type="dxa"/>
            <w:tcBorders>
              <w:top w:val="nil"/>
              <w:left w:val="nil"/>
              <w:bottom w:val="single" w:sz="8" w:space="0" w:color="auto"/>
              <w:right w:val="single" w:sz="8" w:space="0" w:color="auto"/>
            </w:tcBorders>
            <w:shd w:val="clear" w:color="auto" w:fill="auto"/>
            <w:vAlign w:val="center"/>
          </w:tcPr>
          <w:p w14:paraId="0942D901" w14:textId="77777777" w:rsidR="00335619" w:rsidRPr="0023367D" w:rsidRDefault="00335619" w:rsidP="00335619">
            <w:pPr>
              <w:jc w:val="center"/>
              <w:rPr>
                <w:color w:val="000000"/>
                <w:sz w:val="19"/>
                <w:szCs w:val="19"/>
              </w:rPr>
            </w:pPr>
            <w:r w:rsidRPr="0023367D">
              <w:rPr>
                <w:color w:val="000000"/>
                <w:sz w:val="19"/>
                <w:szCs w:val="19"/>
              </w:rPr>
              <w:t>38.5%</w:t>
            </w:r>
          </w:p>
        </w:tc>
        <w:tc>
          <w:tcPr>
            <w:tcW w:w="1074" w:type="dxa"/>
            <w:tcBorders>
              <w:top w:val="nil"/>
              <w:left w:val="nil"/>
              <w:bottom w:val="single" w:sz="8" w:space="0" w:color="auto"/>
              <w:right w:val="single" w:sz="8" w:space="0" w:color="auto"/>
            </w:tcBorders>
            <w:shd w:val="clear" w:color="auto" w:fill="auto"/>
            <w:vAlign w:val="center"/>
          </w:tcPr>
          <w:p w14:paraId="648BBBA6" w14:textId="77777777" w:rsidR="00335619" w:rsidRPr="0023367D" w:rsidRDefault="00335619" w:rsidP="00335619">
            <w:pPr>
              <w:jc w:val="center"/>
              <w:rPr>
                <w:color w:val="000000"/>
                <w:sz w:val="19"/>
                <w:szCs w:val="19"/>
              </w:rPr>
            </w:pPr>
            <w:r w:rsidRPr="0023367D">
              <w:rPr>
                <w:color w:val="000000"/>
                <w:sz w:val="19"/>
                <w:szCs w:val="19"/>
              </w:rPr>
              <w:t>34.8%</w:t>
            </w:r>
          </w:p>
        </w:tc>
        <w:tc>
          <w:tcPr>
            <w:tcW w:w="1260" w:type="dxa"/>
            <w:tcBorders>
              <w:top w:val="nil"/>
              <w:left w:val="nil"/>
              <w:bottom w:val="single" w:sz="8" w:space="0" w:color="auto"/>
              <w:right w:val="single" w:sz="4" w:space="0" w:color="auto"/>
            </w:tcBorders>
            <w:shd w:val="clear" w:color="auto" w:fill="auto"/>
            <w:noWrap/>
            <w:vAlign w:val="center"/>
          </w:tcPr>
          <w:p w14:paraId="5FAAC9A9" w14:textId="77777777" w:rsidR="00335619" w:rsidRPr="0023367D" w:rsidRDefault="00335619" w:rsidP="00335619">
            <w:pPr>
              <w:jc w:val="center"/>
              <w:rPr>
                <w:color w:val="000000"/>
                <w:sz w:val="19"/>
                <w:szCs w:val="19"/>
              </w:rPr>
            </w:pPr>
            <w:r w:rsidRPr="0023367D">
              <w:rPr>
                <w:color w:val="000000"/>
                <w:sz w:val="19"/>
                <w:szCs w:val="19"/>
              </w:rPr>
              <w:t>49.9%</w:t>
            </w:r>
          </w:p>
        </w:tc>
      </w:tr>
      <w:tr w:rsidR="00335619" w:rsidRPr="0023367D" w14:paraId="1C7B1065"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50AE3079" w14:textId="77777777" w:rsidR="00335619" w:rsidRPr="0023367D" w:rsidRDefault="00335619" w:rsidP="00335619">
            <w:pPr>
              <w:jc w:val="center"/>
              <w:rPr>
                <w:color w:val="000000"/>
                <w:sz w:val="19"/>
                <w:szCs w:val="19"/>
              </w:rPr>
            </w:pPr>
            <w:r w:rsidRPr="0023367D">
              <w:rPr>
                <w:bCs/>
                <w:color w:val="000000"/>
                <w:sz w:val="19"/>
                <w:szCs w:val="19"/>
                <w:lang w:bidi="he-IL"/>
              </w:rPr>
              <w:t>1996</w:t>
            </w:r>
          </w:p>
        </w:tc>
        <w:tc>
          <w:tcPr>
            <w:tcW w:w="900" w:type="dxa"/>
            <w:tcBorders>
              <w:top w:val="nil"/>
              <w:left w:val="nil"/>
              <w:bottom w:val="single" w:sz="8" w:space="0" w:color="auto"/>
              <w:right w:val="single" w:sz="8" w:space="0" w:color="auto"/>
            </w:tcBorders>
            <w:shd w:val="clear" w:color="auto" w:fill="auto"/>
            <w:noWrap/>
            <w:vAlign w:val="center"/>
          </w:tcPr>
          <w:p w14:paraId="45866953" w14:textId="77777777" w:rsidR="00335619" w:rsidRPr="0023367D" w:rsidRDefault="00335619" w:rsidP="00335619">
            <w:pPr>
              <w:jc w:val="center"/>
              <w:rPr>
                <w:color w:val="000000"/>
                <w:sz w:val="19"/>
                <w:szCs w:val="19"/>
              </w:rPr>
            </w:pPr>
            <w:r w:rsidRPr="0023367D">
              <w:rPr>
                <w:color w:val="000000"/>
                <w:sz w:val="19"/>
                <w:szCs w:val="19"/>
              </w:rPr>
              <w:t>573</w:t>
            </w:r>
          </w:p>
        </w:tc>
        <w:tc>
          <w:tcPr>
            <w:tcW w:w="971" w:type="dxa"/>
            <w:tcBorders>
              <w:top w:val="nil"/>
              <w:left w:val="nil"/>
              <w:bottom w:val="single" w:sz="8" w:space="0" w:color="auto"/>
              <w:right w:val="single" w:sz="8" w:space="0" w:color="auto"/>
            </w:tcBorders>
            <w:shd w:val="clear" w:color="auto" w:fill="auto"/>
            <w:noWrap/>
            <w:vAlign w:val="center"/>
          </w:tcPr>
          <w:p w14:paraId="5083670C" w14:textId="77777777" w:rsidR="00335619" w:rsidRPr="0023367D" w:rsidRDefault="00335619" w:rsidP="00335619">
            <w:pPr>
              <w:jc w:val="center"/>
              <w:rPr>
                <w:color w:val="000000"/>
                <w:sz w:val="19"/>
                <w:szCs w:val="19"/>
              </w:rPr>
            </w:pPr>
            <w:r w:rsidRPr="0023367D">
              <w:rPr>
                <w:color w:val="000000"/>
                <w:sz w:val="19"/>
                <w:szCs w:val="19"/>
              </w:rPr>
              <w:t>43.9%</w:t>
            </w:r>
          </w:p>
        </w:tc>
        <w:tc>
          <w:tcPr>
            <w:tcW w:w="1067" w:type="dxa"/>
            <w:tcBorders>
              <w:top w:val="nil"/>
              <w:left w:val="nil"/>
              <w:bottom w:val="single" w:sz="8" w:space="0" w:color="auto"/>
              <w:right w:val="single" w:sz="8" w:space="0" w:color="auto"/>
            </w:tcBorders>
            <w:shd w:val="clear" w:color="auto" w:fill="auto"/>
            <w:vAlign w:val="center"/>
          </w:tcPr>
          <w:p w14:paraId="5C1525A7" w14:textId="77777777" w:rsidR="00335619" w:rsidRPr="0023367D" w:rsidRDefault="00335619" w:rsidP="00335619">
            <w:pPr>
              <w:jc w:val="center"/>
              <w:rPr>
                <w:color w:val="000000"/>
                <w:sz w:val="19"/>
                <w:szCs w:val="19"/>
              </w:rPr>
            </w:pPr>
            <w:r w:rsidRPr="0023367D">
              <w:rPr>
                <w:color w:val="000000"/>
                <w:sz w:val="19"/>
                <w:szCs w:val="19"/>
              </w:rPr>
              <w:t>29.1%</w:t>
            </w:r>
          </w:p>
        </w:tc>
        <w:tc>
          <w:tcPr>
            <w:tcW w:w="1292" w:type="dxa"/>
            <w:tcBorders>
              <w:top w:val="nil"/>
              <w:left w:val="nil"/>
              <w:bottom w:val="single" w:sz="8" w:space="0" w:color="auto"/>
              <w:right w:val="single" w:sz="12" w:space="0" w:color="auto"/>
            </w:tcBorders>
            <w:vAlign w:val="center"/>
          </w:tcPr>
          <w:p w14:paraId="32525FE5" w14:textId="77777777" w:rsidR="00335619" w:rsidRPr="0023367D" w:rsidRDefault="00335619" w:rsidP="00335619">
            <w:pPr>
              <w:jc w:val="center"/>
              <w:rPr>
                <w:color w:val="000000"/>
                <w:sz w:val="19"/>
                <w:szCs w:val="19"/>
              </w:rPr>
            </w:pPr>
            <w:r w:rsidRPr="0023367D">
              <w:rPr>
                <w:color w:val="000000"/>
                <w:sz w:val="19"/>
                <w:szCs w:val="19"/>
              </w:rPr>
              <w:t>49.5%</w:t>
            </w:r>
          </w:p>
        </w:tc>
        <w:tc>
          <w:tcPr>
            <w:tcW w:w="720" w:type="dxa"/>
            <w:tcBorders>
              <w:top w:val="nil"/>
              <w:left w:val="single" w:sz="12" w:space="0" w:color="auto"/>
              <w:bottom w:val="single" w:sz="8" w:space="0" w:color="auto"/>
              <w:right w:val="single" w:sz="8" w:space="0" w:color="auto"/>
            </w:tcBorders>
            <w:shd w:val="clear" w:color="auto" w:fill="auto"/>
            <w:vAlign w:val="center"/>
          </w:tcPr>
          <w:p w14:paraId="1D35A112" w14:textId="77777777" w:rsidR="00335619" w:rsidRPr="0023367D" w:rsidRDefault="00335619" w:rsidP="00335619">
            <w:pPr>
              <w:jc w:val="center"/>
              <w:rPr>
                <w:color w:val="000000"/>
                <w:sz w:val="19"/>
                <w:szCs w:val="19"/>
              </w:rPr>
            </w:pPr>
            <w:r w:rsidRPr="0023367D">
              <w:rPr>
                <w:color w:val="000000"/>
                <w:sz w:val="19"/>
                <w:szCs w:val="19"/>
              </w:rPr>
              <w:t>99</w:t>
            </w:r>
          </w:p>
        </w:tc>
        <w:tc>
          <w:tcPr>
            <w:tcW w:w="1176" w:type="dxa"/>
            <w:tcBorders>
              <w:top w:val="nil"/>
              <w:left w:val="nil"/>
              <w:bottom w:val="single" w:sz="8" w:space="0" w:color="auto"/>
              <w:right w:val="single" w:sz="8" w:space="0" w:color="auto"/>
            </w:tcBorders>
            <w:shd w:val="clear" w:color="auto" w:fill="auto"/>
            <w:vAlign w:val="center"/>
          </w:tcPr>
          <w:p w14:paraId="2D70F0F4" w14:textId="77777777" w:rsidR="00335619" w:rsidRPr="0023367D" w:rsidRDefault="00335619" w:rsidP="00335619">
            <w:pPr>
              <w:jc w:val="center"/>
              <w:rPr>
                <w:color w:val="000000"/>
                <w:sz w:val="19"/>
                <w:szCs w:val="19"/>
              </w:rPr>
            </w:pPr>
            <w:r w:rsidRPr="0023367D">
              <w:rPr>
                <w:color w:val="000000"/>
                <w:sz w:val="19"/>
                <w:szCs w:val="19"/>
              </w:rPr>
              <w:t>43.1%</w:t>
            </w:r>
          </w:p>
        </w:tc>
        <w:tc>
          <w:tcPr>
            <w:tcW w:w="1074" w:type="dxa"/>
            <w:tcBorders>
              <w:top w:val="nil"/>
              <w:left w:val="nil"/>
              <w:bottom w:val="single" w:sz="8" w:space="0" w:color="auto"/>
              <w:right w:val="single" w:sz="8" w:space="0" w:color="auto"/>
            </w:tcBorders>
            <w:shd w:val="clear" w:color="auto" w:fill="auto"/>
            <w:vAlign w:val="center"/>
          </w:tcPr>
          <w:p w14:paraId="60D88A12" w14:textId="77777777" w:rsidR="00335619" w:rsidRPr="0023367D" w:rsidRDefault="00335619" w:rsidP="00335619">
            <w:pPr>
              <w:jc w:val="center"/>
              <w:rPr>
                <w:color w:val="000000"/>
                <w:sz w:val="19"/>
                <w:szCs w:val="19"/>
              </w:rPr>
            </w:pPr>
            <w:r w:rsidRPr="0023367D">
              <w:rPr>
                <w:color w:val="000000"/>
                <w:sz w:val="19"/>
                <w:szCs w:val="19"/>
              </w:rPr>
              <w:t>37.7%</w:t>
            </w:r>
          </w:p>
        </w:tc>
        <w:tc>
          <w:tcPr>
            <w:tcW w:w="1260" w:type="dxa"/>
            <w:tcBorders>
              <w:top w:val="nil"/>
              <w:left w:val="nil"/>
              <w:bottom w:val="single" w:sz="8" w:space="0" w:color="auto"/>
              <w:right w:val="single" w:sz="4" w:space="0" w:color="auto"/>
            </w:tcBorders>
            <w:shd w:val="clear" w:color="auto" w:fill="auto"/>
            <w:noWrap/>
            <w:vAlign w:val="center"/>
          </w:tcPr>
          <w:p w14:paraId="6E35AEAD" w14:textId="77777777" w:rsidR="00335619" w:rsidRPr="0023367D" w:rsidRDefault="00335619" w:rsidP="00335619">
            <w:pPr>
              <w:jc w:val="center"/>
              <w:rPr>
                <w:color w:val="000000"/>
                <w:sz w:val="19"/>
                <w:szCs w:val="19"/>
              </w:rPr>
            </w:pPr>
            <w:r w:rsidRPr="0023367D">
              <w:rPr>
                <w:color w:val="000000"/>
                <w:sz w:val="19"/>
                <w:szCs w:val="19"/>
              </w:rPr>
              <w:t>43.3%</w:t>
            </w:r>
          </w:p>
        </w:tc>
      </w:tr>
      <w:tr w:rsidR="00335619" w:rsidRPr="0023367D" w14:paraId="1D2E727C"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3830BBBF" w14:textId="77777777" w:rsidR="00335619" w:rsidRPr="0023367D" w:rsidRDefault="00335619" w:rsidP="00335619">
            <w:pPr>
              <w:jc w:val="center"/>
              <w:rPr>
                <w:color w:val="000000"/>
                <w:sz w:val="19"/>
                <w:szCs w:val="19"/>
              </w:rPr>
            </w:pPr>
            <w:r w:rsidRPr="0023367D">
              <w:rPr>
                <w:bCs/>
                <w:color w:val="000000"/>
                <w:sz w:val="19"/>
                <w:szCs w:val="19"/>
                <w:lang w:bidi="he-IL"/>
              </w:rPr>
              <w:t>1997</w:t>
            </w:r>
          </w:p>
        </w:tc>
        <w:tc>
          <w:tcPr>
            <w:tcW w:w="900" w:type="dxa"/>
            <w:tcBorders>
              <w:top w:val="nil"/>
              <w:left w:val="nil"/>
              <w:bottom w:val="single" w:sz="8" w:space="0" w:color="auto"/>
              <w:right w:val="single" w:sz="8" w:space="0" w:color="auto"/>
            </w:tcBorders>
            <w:shd w:val="clear" w:color="auto" w:fill="auto"/>
            <w:noWrap/>
            <w:vAlign w:val="center"/>
          </w:tcPr>
          <w:p w14:paraId="409F6C0C" w14:textId="77777777" w:rsidR="00335619" w:rsidRPr="0023367D" w:rsidRDefault="00335619" w:rsidP="00335619">
            <w:pPr>
              <w:jc w:val="center"/>
              <w:rPr>
                <w:color w:val="000000"/>
                <w:sz w:val="19"/>
                <w:szCs w:val="19"/>
              </w:rPr>
            </w:pPr>
            <w:r w:rsidRPr="0023367D">
              <w:rPr>
                <w:color w:val="000000"/>
                <w:sz w:val="19"/>
                <w:szCs w:val="19"/>
              </w:rPr>
              <w:t>602</w:t>
            </w:r>
          </w:p>
        </w:tc>
        <w:tc>
          <w:tcPr>
            <w:tcW w:w="971" w:type="dxa"/>
            <w:tcBorders>
              <w:top w:val="nil"/>
              <w:left w:val="nil"/>
              <w:bottom w:val="single" w:sz="8" w:space="0" w:color="auto"/>
              <w:right w:val="single" w:sz="8" w:space="0" w:color="auto"/>
            </w:tcBorders>
            <w:shd w:val="clear" w:color="auto" w:fill="auto"/>
            <w:noWrap/>
            <w:vAlign w:val="center"/>
          </w:tcPr>
          <w:p w14:paraId="3F00E426" w14:textId="77777777" w:rsidR="00335619" w:rsidRPr="0023367D" w:rsidRDefault="00335619" w:rsidP="00335619">
            <w:pPr>
              <w:jc w:val="center"/>
              <w:rPr>
                <w:color w:val="000000"/>
                <w:sz w:val="19"/>
                <w:szCs w:val="19"/>
              </w:rPr>
            </w:pPr>
            <w:r w:rsidRPr="0023367D">
              <w:rPr>
                <w:color w:val="000000"/>
                <w:sz w:val="19"/>
                <w:szCs w:val="19"/>
              </w:rPr>
              <w:t>44.0%</w:t>
            </w:r>
          </w:p>
        </w:tc>
        <w:tc>
          <w:tcPr>
            <w:tcW w:w="1067" w:type="dxa"/>
            <w:tcBorders>
              <w:top w:val="nil"/>
              <w:left w:val="nil"/>
              <w:bottom w:val="single" w:sz="8" w:space="0" w:color="auto"/>
              <w:right w:val="single" w:sz="8" w:space="0" w:color="auto"/>
            </w:tcBorders>
            <w:shd w:val="clear" w:color="auto" w:fill="auto"/>
            <w:vAlign w:val="center"/>
          </w:tcPr>
          <w:p w14:paraId="203D4CD7" w14:textId="77777777" w:rsidR="00335619" w:rsidRPr="0023367D" w:rsidRDefault="00335619" w:rsidP="00335619">
            <w:pPr>
              <w:jc w:val="center"/>
              <w:rPr>
                <w:color w:val="000000"/>
                <w:sz w:val="19"/>
                <w:szCs w:val="19"/>
              </w:rPr>
            </w:pPr>
            <w:r w:rsidRPr="0023367D">
              <w:rPr>
                <w:color w:val="000000"/>
                <w:sz w:val="19"/>
                <w:szCs w:val="19"/>
              </w:rPr>
              <w:t>28.5%</w:t>
            </w:r>
          </w:p>
        </w:tc>
        <w:tc>
          <w:tcPr>
            <w:tcW w:w="1292" w:type="dxa"/>
            <w:tcBorders>
              <w:top w:val="nil"/>
              <w:left w:val="nil"/>
              <w:bottom w:val="single" w:sz="8" w:space="0" w:color="auto"/>
              <w:right w:val="single" w:sz="12" w:space="0" w:color="auto"/>
            </w:tcBorders>
            <w:vAlign w:val="center"/>
          </w:tcPr>
          <w:p w14:paraId="6AB98F12" w14:textId="77777777" w:rsidR="00335619" w:rsidRPr="0023367D" w:rsidRDefault="00335619" w:rsidP="00335619">
            <w:pPr>
              <w:jc w:val="center"/>
              <w:rPr>
                <w:color w:val="000000"/>
                <w:sz w:val="19"/>
                <w:szCs w:val="19"/>
              </w:rPr>
            </w:pPr>
            <w:r w:rsidRPr="0023367D">
              <w:rPr>
                <w:color w:val="000000"/>
                <w:sz w:val="19"/>
                <w:szCs w:val="19"/>
              </w:rPr>
              <w:t>41.2%</w:t>
            </w:r>
          </w:p>
        </w:tc>
        <w:tc>
          <w:tcPr>
            <w:tcW w:w="720" w:type="dxa"/>
            <w:tcBorders>
              <w:top w:val="nil"/>
              <w:left w:val="single" w:sz="12" w:space="0" w:color="auto"/>
              <w:bottom w:val="single" w:sz="8" w:space="0" w:color="auto"/>
              <w:right w:val="single" w:sz="8" w:space="0" w:color="auto"/>
            </w:tcBorders>
            <w:shd w:val="clear" w:color="auto" w:fill="auto"/>
            <w:vAlign w:val="center"/>
          </w:tcPr>
          <w:p w14:paraId="6BB2A3DE" w14:textId="77777777" w:rsidR="00335619" w:rsidRPr="0023367D" w:rsidRDefault="00335619" w:rsidP="00335619">
            <w:pPr>
              <w:jc w:val="center"/>
              <w:rPr>
                <w:color w:val="000000"/>
                <w:sz w:val="19"/>
                <w:szCs w:val="19"/>
              </w:rPr>
            </w:pPr>
            <w:r w:rsidRPr="0023367D">
              <w:rPr>
                <w:color w:val="000000"/>
                <w:sz w:val="19"/>
                <w:szCs w:val="19"/>
              </w:rPr>
              <w:t>123</w:t>
            </w:r>
          </w:p>
        </w:tc>
        <w:tc>
          <w:tcPr>
            <w:tcW w:w="1176" w:type="dxa"/>
            <w:tcBorders>
              <w:top w:val="nil"/>
              <w:left w:val="nil"/>
              <w:bottom w:val="single" w:sz="8" w:space="0" w:color="auto"/>
              <w:right w:val="single" w:sz="8" w:space="0" w:color="auto"/>
            </w:tcBorders>
            <w:shd w:val="clear" w:color="auto" w:fill="auto"/>
            <w:vAlign w:val="center"/>
          </w:tcPr>
          <w:p w14:paraId="3F455EEE" w14:textId="77777777" w:rsidR="00335619" w:rsidRPr="0023367D" w:rsidRDefault="00335619" w:rsidP="00335619">
            <w:pPr>
              <w:jc w:val="center"/>
              <w:rPr>
                <w:color w:val="000000"/>
                <w:sz w:val="19"/>
                <w:szCs w:val="19"/>
              </w:rPr>
            </w:pPr>
            <w:r w:rsidRPr="0023367D">
              <w:rPr>
                <w:color w:val="000000"/>
                <w:sz w:val="19"/>
                <w:szCs w:val="19"/>
              </w:rPr>
              <w:t>39.6%</w:t>
            </w:r>
          </w:p>
        </w:tc>
        <w:tc>
          <w:tcPr>
            <w:tcW w:w="1074" w:type="dxa"/>
            <w:tcBorders>
              <w:top w:val="nil"/>
              <w:left w:val="nil"/>
              <w:bottom w:val="single" w:sz="8" w:space="0" w:color="auto"/>
              <w:right w:val="single" w:sz="8" w:space="0" w:color="auto"/>
            </w:tcBorders>
            <w:shd w:val="clear" w:color="auto" w:fill="auto"/>
            <w:vAlign w:val="center"/>
          </w:tcPr>
          <w:p w14:paraId="63579DDC" w14:textId="77777777" w:rsidR="00335619" w:rsidRPr="0023367D" w:rsidRDefault="00335619" w:rsidP="00335619">
            <w:pPr>
              <w:jc w:val="center"/>
              <w:rPr>
                <w:color w:val="000000"/>
                <w:sz w:val="19"/>
                <w:szCs w:val="19"/>
              </w:rPr>
            </w:pPr>
            <w:r w:rsidRPr="0023367D">
              <w:rPr>
                <w:color w:val="000000"/>
                <w:sz w:val="19"/>
                <w:szCs w:val="19"/>
              </w:rPr>
              <w:t>33.9%</w:t>
            </w:r>
          </w:p>
        </w:tc>
        <w:tc>
          <w:tcPr>
            <w:tcW w:w="1260" w:type="dxa"/>
            <w:tcBorders>
              <w:top w:val="nil"/>
              <w:left w:val="nil"/>
              <w:bottom w:val="single" w:sz="8" w:space="0" w:color="auto"/>
              <w:right w:val="single" w:sz="4" w:space="0" w:color="auto"/>
            </w:tcBorders>
            <w:shd w:val="clear" w:color="auto" w:fill="auto"/>
            <w:noWrap/>
            <w:vAlign w:val="center"/>
          </w:tcPr>
          <w:p w14:paraId="334FF31D" w14:textId="77777777" w:rsidR="00335619" w:rsidRPr="0023367D" w:rsidRDefault="00335619" w:rsidP="00335619">
            <w:pPr>
              <w:jc w:val="center"/>
              <w:rPr>
                <w:color w:val="000000"/>
                <w:sz w:val="19"/>
                <w:szCs w:val="19"/>
              </w:rPr>
            </w:pPr>
            <w:r w:rsidRPr="0023367D">
              <w:rPr>
                <w:color w:val="000000"/>
                <w:sz w:val="19"/>
                <w:szCs w:val="19"/>
              </w:rPr>
              <w:t>33.2%</w:t>
            </w:r>
          </w:p>
        </w:tc>
      </w:tr>
      <w:tr w:rsidR="00335619" w:rsidRPr="0023367D" w14:paraId="0C7536A6"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19EAB573" w14:textId="77777777" w:rsidR="00335619" w:rsidRPr="0023367D" w:rsidRDefault="00335619" w:rsidP="00335619">
            <w:pPr>
              <w:jc w:val="center"/>
              <w:rPr>
                <w:color w:val="000000"/>
                <w:sz w:val="19"/>
                <w:szCs w:val="19"/>
              </w:rPr>
            </w:pPr>
            <w:r w:rsidRPr="0023367D">
              <w:rPr>
                <w:bCs/>
                <w:color w:val="000000"/>
                <w:sz w:val="19"/>
                <w:szCs w:val="19"/>
                <w:lang w:bidi="he-IL"/>
              </w:rPr>
              <w:t>1998</w:t>
            </w:r>
          </w:p>
        </w:tc>
        <w:tc>
          <w:tcPr>
            <w:tcW w:w="900" w:type="dxa"/>
            <w:tcBorders>
              <w:top w:val="nil"/>
              <w:left w:val="nil"/>
              <w:bottom w:val="single" w:sz="8" w:space="0" w:color="auto"/>
              <w:right w:val="single" w:sz="8" w:space="0" w:color="auto"/>
            </w:tcBorders>
            <w:shd w:val="clear" w:color="auto" w:fill="auto"/>
            <w:noWrap/>
            <w:vAlign w:val="center"/>
          </w:tcPr>
          <w:p w14:paraId="5C3FAB4E" w14:textId="77777777" w:rsidR="00335619" w:rsidRPr="0023367D" w:rsidRDefault="00335619" w:rsidP="00335619">
            <w:pPr>
              <w:jc w:val="center"/>
              <w:rPr>
                <w:color w:val="000000"/>
                <w:sz w:val="19"/>
                <w:szCs w:val="19"/>
              </w:rPr>
            </w:pPr>
            <w:r w:rsidRPr="0023367D">
              <w:rPr>
                <w:color w:val="000000"/>
                <w:sz w:val="19"/>
                <w:szCs w:val="19"/>
              </w:rPr>
              <w:t>685</w:t>
            </w:r>
          </w:p>
        </w:tc>
        <w:tc>
          <w:tcPr>
            <w:tcW w:w="971" w:type="dxa"/>
            <w:tcBorders>
              <w:top w:val="nil"/>
              <w:left w:val="nil"/>
              <w:bottom w:val="single" w:sz="8" w:space="0" w:color="auto"/>
              <w:right w:val="single" w:sz="8" w:space="0" w:color="auto"/>
            </w:tcBorders>
            <w:shd w:val="clear" w:color="auto" w:fill="auto"/>
            <w:noWrap/>
            <w:vAlign w:val="center"/>
          </w:tcPr>
          <w:p w14:paraId="119BC7D3" w14:textId="77777777" w:rsidR="00335619" w:rsidRPr="0023367D" w:rsidRDefault="00335619" w:rsidP="00335619">
            <w:pPr>
              <w:jc w:val="center"/>
              <w:rPr>
                <w:color w:val="000000"/>
                <w:sz w:val="19"/>
                <w:szCs w:val="19"/>
              </w:rPr>
            </w:pPr>
            <w:r w:rsidRPr="0023367D">
              <w:rPr>
                <w:color w:val="000000"/>
                <w:sz w:val="19"/>
                <w:szCs w:val="19"/>
              </w:rPr>
              <w:t>46.2%</w:t>
            </w:r>
          </w:p>
        </w:tc>
        <w:tc>
          <w:tcPr>
            <w:tcW w:w="1067" w:type="dxa"/>
            <w:tcBorders>
              <w:top w:val="nil"/>
              <w:left w:val="nil"/>
              <w:bottom w:val="single" w:sz="8" w:space="0" w:color="auto"/>
              <w:right w:val="single" w:sz="8" w:space="0" w:color="auto"/>
            </w:tcBorders>
            <w:shd w:val="clear" w:color="auto" w:fill="auto"/>
            <w:vAlign w:val="center"/>
          </w:tcPr>
          <w:p w14:paraId="204DA021" w14:textId="77777777" w:rsidR="00335619" w:rsidRPr="0023367D" w:rsidRDefault="00335619" w:rsidP="00335619">
            <w:pPr>
              <w:jc w:val="center"/>
              <w:rPr>
                <w:color w:val="000000"/>
                <w:sz w:val="19"/>
                <w:szCs w:val="19"/>
              </w:rPr>
            </w:pPr>
            <w:r w:rsidRPr="0023367D">
              <w:rPr>
                <w:color w:val="000000"/>
                <w:sz w:val="19"/>
                <w:szCs w:val="19"/>
              </w:rPr>
              <w:t>30.0%</w:t>
            </w:r>
          </w:p>
        </w:tc>
        <w:tc>
          <w:tcPr>
            <w:tcW w:w="1292" w:type="dxa"/>
            <w:tcBorders>
              <w:top w:val="nil"/>
              <w:left w:val="nil"/>
              <w:bottom w:val="single" w:sz="8" w:space="0" w:color="auto"/>
              <w:right w:val="single" w:sz="12" w:space="0" w:color="auto"/>
            </w:tcBorders>
            <w:vAlign w:val="center"/>
          </w:tcPr>
          <w:p w14:paraId="5D04C77C" w14:textId="77777777" w:rsidR="00335619" w:rsidRPr="0023367D" w:rsidRDefault="00335619" w:rsidP="00335619">
            <w:pPr>
              <w:jc w:val="center"/>
              <w:rPr>
                <w:color w:val="000000"/>
                <w:sz w:val="19"/>
                <w:szCs w:val="19"/>
              </w:rPr>
            </w:pPr>
            <w:r w:rsidRPr="0023367D">
              <w:rPr>
                <w:color w:val="000000"/>
                <w:sz w:val="19"/>
                <w:szCs w:val="19"/>
              </w:rPr>
              <w:t>36.5%</w:t>
            </w:r>
          </w:p>
        </w:tc>
        <w:tc>
          <w:tcPr>
            <w:tcW w:w="720" w:type="dxa"/>
            <w:tcBorders>
              <w:top w:val="nil"/>
              <w:left w:val="single" w:sz="12" w:space="0" w:color="auto"/>
              <w:bottom w:val="single" w:sz="8" w:space="0" w:color="auto"/>
              <w:right w:val="single" w:sz="8" w:space="0" w:color="auto"/>
            </w:tcBorders>
            <w:shd w:val="clear" w:color="auto" w:fill="auto"/>
            <w:vAlign w:val="center"/>
          </w:tcPr>
          <w:p w14:paraId="1B65D46A" w14:textId="77777777" w:rsidR="00335619" w:rsidRPr="0023367D" w:rsidRDefault="00335619" w:rsidP="00335619">
            <w:pPr>
              <w:jc w:val="center"/>
              <w:rPr>
                <w:color w:val="000000"/>
                <w:sz w:val="19"/>
                <w:szCs w:val="19"/>
              </w:rPr>
            </w:pPr>
            <w:r w:rsidRPr="0023367D">
              <w:rPr>
                <w:color w:val="000000"/>
                <w:sz w:val="19"/>
                <w:szCs w:val="19"/>
              </w:rPr>
              <w:t>179</w:t>
            </w:r>
          </w:p>
        </w:tc>
        <w:tc>
          <w:tcPr>
            <w:tcW w:w="1176" w:type="dxa"/>
            <w:tcBorders>
              <w:top w:val="nil"/>
              <w:left w:val="nil"/>
              <w:bottom w:val="single" w:sz="8" w:space="0" w:color="auto"/>
              <w:right w:val="single" w:sz="8" w:space="0" w:color="auto"/>
            </w:tcBorders>
            <w:shd w:val="clear" w:color="auto" w:fill="auto"/>
            <w:vAlign w:val="center"/>
          </w:tcPr>
          <w:p w14:paraId="2C929D5B" w14:textId="77777777" w:rsidR="00335619" w:rsidRPr="0023367D" w:rsidRDefault="00335619" w:rsidP="00335619">
            <w:pPr>
              <w:jc w:val="center"/>
              <w:rPr>
                <w:color w:val="000000"/>
                <w:sz w:val="19"/>
                <w:szCs w:val="19"/>
              </w:rPr>
            </w:pPr>
            <w:r w:rsidRPr="0023367D">
              <w:rPr>
                <w:color w:val="000000"/>
                <w:sz w:val="19"/>
                <w:szCs w:val="19"/>
              </w:rPr>
              <w:t>42.7%</w:t>
            </w:r>
          </w:p>
        </w:tc>
        <w:tc>
          <w:tcPr>
            <w:tcW w:w="1074" w:type="dxa"/>
            <w:tcBorders>
              <w:top w:val="nil"/>
              <w:left w:val="nil"/>
              <w:bottom w:val="single" w:sz="8" w:space="0" w:color="auto"/>
              <w:right w:val="single" w:sz="8" w:space="0" w:color="auto"/>
            </w:tcBorders>
            <w:shd w:val="clear" w:color="auto" w:fill="auto"/>
            <w:vAlign w:val="center"/>
          </w:tcPr>
          <w:p w14:paraId="0FAB8467" w14:textId="77777777" w:rsidR="00335619" w:rsidRPr="0023367D" w:rsidRDefault="00335619" w:rsidP="00335619">
            <w:pPr>
              <w:jc w:val="center"/>
              <w:rPr>
                <w:color w:val="000000"/>
                <w:sz w:val="19"/>
                <w:szCs w:val="19"/>
              </w:rPr>
            </w:pPr>
            <w:r w:rsidRPr="0023367D">
              <w:rPr>
                <w:color w:val="000000"/>
                <w:sz w:val="19"/>
                <w:szCs w:val="19"/>
              </w:rPr>
              <w:t>32.2%</w:t>
            </w:r>
          </w:p>
        </w:tc>
        <w:tc>
          <w:tcPr>
            <w:tcW w:w="1260" w:type="dxa"/>
            <w:tcBorders>
              <w:top w:val="nil"/>
              <w:left w:val="nil"/>
              <w:bottom w:val="single" w:sz="8" w:space="0" w:color="auto"/>
              <w:right w:val="single" w:sz="4" w:space="0" w:color="auto"/>
            </w:tcBorders>
            <w:shd w:val="clear" w:color="auto" w:fill="auto"/>
            <w:noWrap/>
            <w:vAlign w:val="center"/>
          </w:tcPr>
          <w:p w14:paraId="42031CD0" w14:textId="77777777" w:rsidR="00335619" w:rsidRPr="0023367D" w:rsidRDefault="00335619" w:rsidP="00335619">
            <w:pPr>
              <w:jc w:val="center"/>
              <w:rPr>
                <w:color w:val="000000"/>
                <w:sz w:val="19"/>
                <w:szCs w:val="19"/>
              </w:rPr>
            </w:pPr>
            <w:r w:rsidRPr="0023367D">
              <w:rPr>
                <w:color w:val="000000"/>
                <w:sz w:val="19"/>
                <w:szCs w:val="19"/>
              </w:rPr>
              <w:t>31.5%</w:t>
            </w:r>
          </w:p>
        </w:tc>
      </w:tr>
      <w:tr w:rsidR="00335619" w:rsidRPr="0023367D" w14:paraId="69CFC613"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07BE450A" w14:textId="77777777" w:rsidR="00335619" w:rsidRPr="0023367D" w:rsidRDefault="00335619" w:rsidP="00335619">
            <w:pPr>
              <w:jc w:val="center"/>
              <w:rPr>
                <w:color w:val="000000"/>
                <w:sz w:val="19"/>
                <w:szCs w:val="19"/>
              </w:rPr>
            </w:pPr>
            <w:r w:rsidRPr="0023367D">
              <w:rPr>
                <w:bCs/>
                <w:color w:val="000000"/>
                <w:sz w:val="19"/>
                <w:szCs w:val="19"/>
                <w:lang w:bidi="he-IL"/>
              </w:rPr>
              <w:t>1999</w:t>
            </w:r>
          </w:p>
        </w:tc>
        <w:tc>
          <w:tcPr>
            <w:tcW w:w="900" w:type="dxa"/>
            <w:tcBorders>
              <w:top w:val="nil"/>
              <w:left w:val="nil"/>
              <w:bottom w:val="single" w:sz="8" w:space="0" w:color="auto"/>
              <w:right w:val="single" w:sz="8" w:space="0" w:color="auto"/>
            </w:tcBorders>
            <w:shd w:val="clear" w:color="auto" w:fill="auto"/>
            <w:noWrap/>
            <w:vAlign w:val="center"/>
          </w:tcPr>
          <w:p w14:paraId="296B5618" w14:textId="77777777" w:rsidR="00335619" w:rsidRPr="0023367D" w:rsidRDefault="00335619" w:rsidP="00335619">
            <w:pPr>
              <w:jc w:val="center"/>
              <w:rPr>
                <w:color w:val="000000"/>
                <w:sz w:val="19"/>
                <w:szCs w:val="19"/>
              </w:rPr>
            </w:pPr>
            <w:r w:rsidRPr="0023367D">
              <w:rPr>
                <w:color w:val="000000"/>
                <w:sz w:val="19"/>
                <w:szCs w:val="19"/>
              </w:rPr>
              <w:t>744</w:t>
            </w:r>
          </w:p>
        </w:tc>
        <w:tc>
          <w:tcPr>
            <w:tcW w:w="971" w:type="dxa"/>
            <w:tcBorders>
              <w:top w:val="nil"/>
              <w:left w:val="nil"/>
              <w:bottom w:val="single" w:sz="8" w:space="0" w:color="auto"/>
              <w:right w:val="single" w:sz="8" w:space="0" w:color="auto"/>
            </w:tcBorders>
            <w:shd w:val="clear" w:color="auto" w:fill="auto"/>
            <w:noWrap/>
            <w:vAlign w:val="center"/>
          </w:tcPr>
          <w:p w14:paraId="15D298CF" w14:textId="77777777" w:rsidR="00335619" w:rsidRPr="0023367D" w:rsidRDefault="00335619" w:rsidP="00335619">
            <w:pPr>
              <w:jc w:val="center"/>
              <w:rPr>
                <w:color w:val="000000"/>
                <w:sz w:val="19"/>
                <w:szCs w:val="19"/>
              </w:rPr>
            </w:pPr>
            <w:r w:rsidRPr="0023367D">
              <w:rPr>
                <w:color w:val="000000"/>
                <w:sz w:val="19"/>
                <w:szCs w:val="19"/>
              </w:rPr>
              <w:t>44.8%</w:t>
            </w:r>
          </w:p>
        </w:tc>
        <w:tc>
          <w:tcPr>
            <w:tcW w:w="1067" w:type="dxa"/>
            <w:tcBorders>
              <w:top w:val="nil"/>
              <w:left w:val="nil"/>
              <w:bottom w:val="single" w:sz="8" w:space="0" w:color="auto"/>
              <w:right w:val="single" w:sz="8" w:space="0" w:color="auto"/>
            </w:tcBorders>
            <w:shd w:val="clear" w:color="auto" w:fill="auto"/>
            <w:vAlign w:val="center"/>
          </w:tcPr>
          <w:p w14:paraId="4B3CF89E" w14:textId="77777777" w:rsidR="00335619" w:rsidRPr="0023367D" w:rsidRDefault="00335619" w:rsidP="00335619">
            <w:pPr>
              <w:jc w:val="center"/>
              <w:rPr>
                <w:color w:val="000000"/>
                <w:sz w:val="19"/>
                <w:szCs w:val="19"/>
              </w:rPr>
            </w:pPr>
            <w:r w:rsidRPr="0023367D">
              <w:rPr>
                <w:color w:val="000000"/>
                <w:sz w:val="19"/>
                <w:szCs w:val="19"/>
              </w:rPr>
              <w:t>28.7%</w:t>
            </w:r>
          </w:p>
        </w:tc>
        <w:tc>
          <w:tcPr>
            <w:tcW w:w="1292" w:type="dxa"/>
            <w:tcBorders>
              <w:top w:val="nil"/>
              <w:left w:val="nil"/>
              <w:bottom w:val="single" w:sz="8" w:space="0" w:color="auto"/>
              <w:right w:val="single" w:sz="12" w:space="0" w:color="auto"/>
            </w:tcBorders>
            <w:vAlign w:val="center"/>
          </w:tcPr>
          <w:p w14:paraId="7D1AA0CF" w14:textId="77777777" w:rsidR="00335619" w:rsidRPr="0023367D" w:rsidRDefault="00335619" w:rsidP="00335619">
            <w:pPr>
              <w:jc w:val="center"/>
              <w:rPr>
                <w:color w:val="000000"/>
                <w:sz w:val="19"/>
                <w:szCs w:val="19"/>
              </w:rPr>
            </w:pPr>
            <w:r w:rsidRPr="0023367D">
              <w:rPr>
                <w:color w:val="000000"/>
                <w:sz w:val="19"/>
                <w:szCs w:val="19"/>
              </w:rPr>
              <w:t>32.9%</w:t>
            </w:r>
          </w:p>
        </w:tc>
        <w:tc>
          <w:tcPr>
            <w:tcW w:w="720" w:type="dxa"/>
            <w:tcBorders>
              <w:top w:val="nil"/>
              <w:left w:val="single" w:sz="12" w:space="0" w:color="auto"/>
              <w:bottom w:val="single" w:sz="8" w:space="0" w:color="auto"/>
              <w:right w:val="single" w:sz="8" w:space="0" w:color="auto"/>
            </w:tcBorders>
            <w:shd w:val="clear" w:color="auto" w:fill="auto"/>
            <w:vAlign w:val="center"/>
          </w:tcPr>
          <w:p w14:paraId="0198161F" w14:textId="77777777" w:rsidR="00335619" w:rsidRPr="0023367D" w:rsidRDefault="00335619" w:rsidP="00335619">
            <w:pPr>
              <w:jc w:val="center"/>
              <w:rPr>
                <w:color w:val="000000"/>
                <w:sz w:val="19"/>
                <w:szCs w:val="19"/>
              </w:rPr>
            </w:pPr>
            <w:r w:rsidRPr="0023367D">
              <w:rPr>
                <w:color w:val="000000"/>
                <w:sz w:val="19"/>
                <w:szCs w:val="19"/>
              </w:rPr>
              <w:t>255</w:t>
            </w:r>
          </w:p>
        </w:tc>
        <w:tc>
          <w:tcPr>
            <w:tcW w:w="1176" w:type="dxa"/>
            <w:tcBorders>
              <w:top w:val="nil"/>
              <w:left w:val="nil"/>
              <w:bottom w:val="single" w:sz="8" w:space="0" w:color="auto"/>
              <w:right w:val="single" w:sz="8" w:space="0" w:color="auto"/>
            </w:tcBorders>
            <w:shd w:val="clear" w:color="auto" w:fill="auto"/>
            <w:vAlign w:val="center"/>
          </w:tcPr>
          <w:p w14:paraId="42954C8C" w14:textId="77777777" w:rsidR="00335619" w:rsidRPr="0023367D" w:rsidRDefault="00335619" w:rsidP="00335619">
            <w:pPr>
              <w:jc w:val="center"/>
              <w:rPr>
                <w:color w:val="000000"/>
                <w:sz w:val="19"/>
                <w:szCs w:val="19"/>
              </w:rPr>
            </w:pPr>
            <w:r w:rsidRPr="0023367D">
              <w:rPr>
                <w:color w:val="000000"/>
                <w:sz w:val="19"/>
                <w:szCs w:val="19"/>
              </w:rPr>
              <w:t>49.0%</w:t>
            </w:r>
          </w:p>
        </w:tc>
        <w:tc>
          <w:tcPr>
            <w:tcW w:w="1074" w:type="dxa"/>
            <w:tcBorders>
              <w:top w:val="nil"/>
              <w:left w:val="nil"/>
              <w:bottom w:val="single" w:sz="8" w:space="0" w:color="auto"/>
              <w:right w:val="single" w:sz="8" w:space="0" w:color="auto"/>
            </w:tcBorders>
            <w:shd w:val="clear" w:color="auto" w:fill="auto"/>
            <w:vAlign w:val="center"/>
          </w:tcPr>
          <w:p w14:paraId="74A673EB" w14:textId="77777777" w:rsidR="00335619" w:rsidRPr="0023367D" w:rsidRDefault="00335619" w:rsidP="00335619">
            <w:pPr>
              <w:jc w:val="center"/>
              <w:rPr>
                <w:color w:val="000000"/>
                <w:sz w:val="19"/>
                <w:szCs w:val="19"/>
              </w:rPr>
            </w:pPr>
            <w:r w:rsidRPr="0023367D">
              <w:rPr>
                <w:color w:val="000000"/>
                <w:sz w:val="19"/>
                <w:szCs w:val="19"/>
              </w:rPr>
              <w:t>37.5%</w:t>
            </w:r>
          </w:p>
        </w:tc>
        <w:tc>
          <w:tcPr>
            <w:tcW w:w="1260" w:type="dxa"/>
            <w:tcBorders>
              <w:top w:val="nil"/>
              <w:left w:val="nil"/>
              <w:bottom w:val="single" w:sz="8" w:space="0" w:color="auto"/>
              <w:right w:val="single" w:sz="4" w:space="0" w:color="auto"/>
            </w:tcBorders>
            <w:shd w:val="clear" w:color="auto" w:fill="auto"/>
            <w:noWrap/>
            <w:vAlign w:val="center"/>
          </w:tcPr>
          <w:p w14:paraId="30B9FA9A" w14:textId="77777777" w:rsidR="00335619" w:rsidRPr="0023367D" w:rsidRDefault="00335619" w:rsidP="00335619">
            <w:pPr>
              <w:jc w:val="center"/>
              <w:rPr>
                <w:color w:val="000000"/>
                <w:sz w:val="19"/>
                <w:szCs w:val="19"/>
              </w:rPr>
            </w:pPr>
            <w:r w:rsidRPr="0023367D">
              <w:rPr>
                <w:color w:val="000000"/>
                <w:sz w:val="19"/>
                <w:szCs w:val="19"/>
              </w:rPr>
              <w:t>26.7%</w:t>
            </w:r>
          </w:p>
        </w:tc>
      </w:tr>
      <w:tr w:rsidR="00335619" w:rsidRPr="0023367D" w14:paraId="4AE47650"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62EEC8D4" w14:textId="77777777" w:rsidR="00335619" w:rsidRPr="0023367D" w:rsidRDefault="00335619" w:rsidP="00335619">
            <w:pPr>
              <w:jc w:val="center"/>
              <w:rPr>
                <w:color w:val="000000"/>
                <w:sz w:val="19"/>
                <w:szCs w:val="19"/>
              </w:rPr>
            </w:pPr>
            <w:r w:rsidRPr="0023367D">
              <w:rPr>
                <w:bCs/>
                <w:color w:val="000000"/>
                <w:sz w:val="19"/>
                <w:szCs w:val="19"/>
                <w:lang w:bidi="he-IL"/>
              </w:rPr>
              <w:t>2000</w:t>
            </w:r>
          </w:p>
        </w:tc>
        <w:tc>
          <w:tcPr>
            <w:tcW w:w="900" w:type="dxa"/>
            <w:tcBorders>
              <w:top w:val="nil"/>
              <w:left w:val="nil"/>
              <w:bottom w:val="single" w:sz="8" w:space="0" w:color="auto"/>
              <w:right w:val="single" w:sz="8" w:space="0" w:color="auto"/>
            </w:tcBorders>
            <w:shd w:val="clear" w:color="auto" w:fill="auto"/>
            <w:noWrap/>
            <w:vAlign w:val="center"/>
          </w:tcPr>
          <w:p w14:paraId="7D9B4581" w14:textId="77777777" w:rsidR="00335619" w:rsidRPr="0023367D" w:rsidRDefault="00335619" w:rsidP="00335619">
            <w:pPr>
              <w:jc w:val="center"/>
              <w:rPr>
                <w:color w:val="000000"/>
                <w:sz w:val="19"/>
                <w:szCs w:val="19"/>
              </w:rPr>
            </w:pPr>
            <w:r w:rsidRPr="0023367D">
              <w:rPr>
                <w:color w:val="000000"/>
                <w:sz w:val="19"/>
                <w:szCs w:val="19"/>
              </w:rPr>
              <w:t>759</w:t>
            </w:r>
          </w:p>
        </w:tc>
        <w:tc>
          <w:tcPr>
            <w:tcW w:w="971" w:type="dxa"/>
            <w:tcBorders>
              <w:top w:val="nil"/>
              <w:left w:val="nil"/>
              <w:bottom w:val="single" w:sz="8" w:space="0" w:color="auto"/>
              <w:right w:val="single" w:sz="8" w:space="0" w:color="auto"/>
            </w:tcBorders>
            <w:shd w:val="clear" w:color="auto" w:fill="auto"/>
            <w:noWrap/>
            <w:vAlign w:val="center"/>
          </w:tcPr>
          <w:p w14:paraId="48C6538F" w14:textId="77777777" w:rsidR="00335619" w:rsidRPr="0023367D" w:rsidRDefault="00335619" w:rsidP="00335619">
            <w:pPr>
              <w:jc w:val="center"/>
              <w:rPr>
                <w:color w:val="000000"/>
                <w:sz w:val="19"/>
                <w:szCs w:val="19"/>
              </w:rPr>
            </w:pPr>
            <w:r w:rsidRPr="0023367D">
              <w:rPr>
                <w:color w:val="000000"/>
                <w:sz w:val="19"/>
                <w:szCs w:val="19"/>
              </w:rPr>
              <w:t>43.4%</w:t>
            </w:r>
          </w:p>
        </w:tc>
        <w:tc>
          <w:tcPr>
            <w:tcW w:w="1067" w:type="dxa"/>
            <w:tcBorders>
              <w:top w:val="nil"/>
              <w:left w:val="nil"/>
              <w:bottom w:val="single" w:sz="8" w:space="0" w:color="auto"/>
              <w:right w:val="single" w:sz="8" w:space="0" w:color="auto"/>
            </w:tcBorders>
            <w:shd w:val="clear" w:color="auto" w:fill="auto"/>
            <w:vAlign w:val="center"/>
          </w:tcPr>
          <w:p w14:paraId="7B806BCA" w14:textId="77777777" w:rsidR="00335619" w:rsidRPr="0023367D" w:rsidRDefault="00335619" w:rsidP="00335619">
            <w:pPr>
              <w:jc w:val="center"/>
              <w:rPr>
                <w:color w:val="000000"/>
                <w:sz w:val="19"/>
                <w:szCs w:val="19"/>
              </w:rPr>
            </w:pPr>
            <w:r w:rsidRPr="0023367D">
              <w:rPr>
                <w:color w:val="000000"/>
                <w:sz w:val="19"/>
                <w:szCs w:val="19"/>
              </w:rPr>
              <w:t>28.6%</w:t>
            </w:r>
          </w:p>
        </w:tc>
        <w:tc>
          <w:tcPr>
            <w:tcW w:w="1292" w:type="dxa"/>
            <w:tcBorders>
              <w:top w:val="nil"/>
              <w:left w:val="nil"/>
              <w:bottom w:val="single" w:sz="8" w:space="0" w:color="auto"/>
              <w:right w:val="single" w:sz="12" w:space="0" w:color="auto"/>
            </w:tcBorders>
            <w:vAlign w:val="center"/>
          </w:tcPr>
          <w:p w14:paraId="08B4123B" w14:textId="77777777" w:rsidR="00335619" w:rsidRPr="0023367D" w:rsidRDefault="00335619" w:rsidP="00335619">
            <w:pPr>
              <w:jc w:val="center"/>
              <w:rPr>
                <w:color w:val="000000"/>
                <w:sz w:val="19"/>
                <w:szCs w:val="19"/>
              </w:rPr>
            </w:pPr>
            <w:r w:rsidRPr="0023367D">
              <w:rPr>
                <w:color w:val="000000"/>
                <w:sz w:val="19"/>
                <w:szCs w:val="19"/>
              </w:rPr>
              <w:t>33.7%</w:t>
            </w:r>
          </w:p>
        </w:tc>
        <w:tc>
          <w:tcPr>
            <w:tcW w:w="720" w:type="dxa"/>
            <w:tcBorders>
              <w:top w:val="nil"/>
              <w:left w:val="single" w:sz="12" w:space="0" w:color="auto"/>
              <w:bottom w:val="single" w:sz="8" w:space="0" w:color="auto"/>
              <w:right w:val="single" w:sz="8" w:space="0" w:color="auto"/>
            </w:tcBorders>
            <w:shd w:val="clear" w:color="auto" w:fill="auto"/>
            <w:vAlign w:val="center"/>
          </w:tcPr>
          <w:p w14:paraId="7F2C1FFF" w14:textId="77777777" w:rsidR="00335619" w:rsidRPr="0023367D" w:rsidRDefault="00335619" w:rsidP="00335619">
            <w:pPr>
              <w:jc w:val="center"/>
              <w:rPr>
                <w:color w:val="000000"/>
                <w:sz w:val="19"/>
                <w:szCs w:val="19"/>
              </w:rPr>
            </w:pPr>
            <w:r w:rsidRPr="0023367D">
              <w:rPr>
                <w:color w:val="000000"/>
                <w:sz w:val="19"/>
                <w:szCs w:val="19"/>
              </w:rPr>
              <w:t>237</w:t>
            </w:r>
          </w:p>
        </w:tc>
        <w:tc>
          <w:tcPr>
            <w:tcW w:w="1176" w:type="dxa"/>
            <w:tcBorders>
              <w:top w:val="nil"/>
              <w:left w:val="nil"/>
              <w:bottom w:val="single" w:sz="8" w:space="0" w:color="auto"/>
              <w:right w:val="single" w:sz="8" w:space="0" w:color="auto"/>
            </w:tcBorders>
            <w:shd w:val="clear" w:color="auto" w:fill="auto"/>
            <w:vAlign w:val="center"/>
          </w:tcPr>
          <w:p w14:paraId="5AD46D2D" w14:textId="77777777" w:rsidR="00335619" w:rsidRPr="0023367D" w:rsidRDefault="00335619" w:rsidP="00335619">
            <w:pPr>
              <w:jc w:val="center"/>
              <w:rPr>
                <w:color w:val="000000"/>
                <w:sz w:val="19"/>
                <w:szCs w:val="19"/>
              </w:rPr>
            </w:pPr>
            <w:r w:rsidRPr="0023367D">
              <w:rPr>
                <w:color w:val="000000"/>
                <w:sz w:val="19"/>
                <w:szCs w:val="19"/>
              </w:rPr>
              <w:t>49.8%</w:t>
            </w:r>
          </w:p>
        </w:tc>
        <w:tc>
          <w:tcPr>
            <w:tcW w:w="1074" w:type="dxa"/>
            <w:tcBorders>
              <w:top w:val="nil"/>
              <w:left w:val="nil"/>
              <w:bottom w:val="single" w:sz="8" w:space="0" w:color="auto"/>
              <w:right w:val="single" w:sz="8" w:space="0" w:color="auto"/>
            </w:tcBorders>
            <w:shd w:val="clear" w:color="auto" w:fill="auto"/>
            <w:vAlign w:val="center"/>
          </w:tcPr>
          <w:p w14:paraId="226D34C9" w14:textId="77777777" w:rsidR="00335619" w:rsidRPr="0023367D" w:rsidRDefault="00335619" w:rsidP="00335619">
            <w:pPr>
              <w:jc w:val="center"/>
              <w:rPr>
                <w:color w:val="000000"/>
                <w:sz w:val="19"/>
                <w:szCs w:val="19"/>
              </w:rPr>
            </w:pPr>
            <w:r w:rsidRPr="0023367D">
              <w:rPr>
                <w:color w:val="000000"/>
                <w:sz w:val="19"/>
                <w:szCs w:val="19"/>
              </w:rPr>
              <w:t>36.5%</w:t>
            </w:r>
          </w:p>
        </w:tc>
        <w:tc>
          <w:tcPr>
            <w:tcW w:w="1260" w:type="dxa"/>
            <w:tcBorders>
              <w:top w:val="nil"/>
              <w:left w:val="nil"/>
              <w:bottom w:val="single" w:sz="8" w:space="0" w:color="auto"/>
              <w:right w:val="single" w:sz="4" w:space="0" w:color="auto"/>
            </w:tcBorders>
            <w:shd w:val="clear" w:color="auto" w:fill="auto"/>
            <w:noWrap/>
            <w:vAlign w:val="center"/>
          </w:tcPr>
          <w:p w14:paraId="528EC9E7" w14:textId="77777777" w:rsidR="00335619" w:rsidRPr="0023367D" w:rsidRDefault="00335619" w:rsidP="00335619">
            <w:pPr>
              <w:jc w:val="center"/>
              <w:rPr>
                <w:color w:val="000000"/>
                <w:sz w:val="19"/>
                <w:szCs w:val="19"/>
              </w:rPr>
            </w:pPr>
            <w:r w:rsidRPr="0023367D">
              <w:rPr>
                <w:color w:val="000000"/>
                <w:sz w:val="19"/>
                <w:szCs w:val="19"/>
              </w:rPr>
              <w:t>27.1%</w:t>
            </w:r>
          </w:p>
        </w:tc>
      </w:tr>
      <w:tr w:rsidR="00335619" w:rsidRPr="0023367D" w14:paraId="0CB6B5E2"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399BBB45" w14:textId="77777777" w:rsidR="00335619" w:rsidRPr="0023367D" w:rsidRDefault="00335619" w:rsidP="00335619">
            <w:pPr>
              <w:jc w:val="center"/>
              <w:rPr>
                <w:color w:val="000000"/>
                <w:sz w:val="19"/>
                <w:szCs w:val="19"/>
              </w:rPr>
            </w:pPr>
            <w:r w:rsidRPr="0023367D">
              <w:rPr>
                <w:bCs/>
                <w:color w:val="000000"/>
                <w:sz w:val="19"/>
                <w:szCs w:val="19"/>
                <w:lang w:bidi="he-IL"/>
              </w:rPr>
              <w:t>2001</w:t>
            </w:r>
          </w:p>
        </w:tc>
        <w:tc>
          <w:tcPr>
            <w:tcW w:w="900" w:type="dxa"/>
            <w:tcBorders>
              <w:top w:val="nil"/>
              <w:left w:val="nil"/>
              <w:bottom w:val="single" w:sz="8" w:space="0" w:color="auto"/>
              <w:right w:val="single" w:sz="8" w:space="0" w:color="auto"/>
            </w:tcBorders>
            <w:shd w:val="clear" w:color="auto" w:fill="auto"/>
            <w:noWrap/>
            <w:vAlign w:val="center"/>
          </w:tcPr>
          <w:p w14:paraId="266C2899" w14:textId="77777777" w:rsidR="00335619" w:rsidRPr="0023367D" w:rsidRDefault="00335619" w:rsidP="00335619">
            <w:pPr>
              <w:jc w:val="center"/>
              <w:rPr>
                <w:color w:val="000000"/>
                <w:sz w:val="19"/>
                <w:szCs w:val="19"/>
              </w:rPr>
            </w:pPr>
            <w:r w:rsidRPr="0023367D">
              <w:rPr>
                <w:color w:val="000000"/>
                <w:sz w:val="19"/>
                <w:szCs w:val="19"/>
              </w:rPr>
              <w:t>730</w:t>
            </w:r>
          </w:p>
        </w:tc>
        <w:tc>
          <w:tcPr>
            <w:tcW w:w="971" w:type="dxa"/>
            <w:tcBorders>
              <w:top w:val="nil"/>
              <w:left w:val="nil"/>
              <w:bottom w:val="single" w:sz="8" w:space="0" w:color="auto"/>
              <w:right w:val="single" w:sz="8" w:space="0" w:color="auto"/>
            </w:tcBorders>
            <w:shd w:val="clear" w:color="auto" w:fill="auto"/>
            <w:noWrap/>
            <w:vAlign w:val="center"/>
          </w:tcPr>
          <w:p w14:paraId="1E5E49F4" w14:textId="77777777" w:rsidR="00335619" w:rsidRPr="0023367D" w:rsidRDefault="00335619" w:rsidP="00335619">
            <w:pPr>
              <w:jc w:val="center"/>
              <w:rPr>
                <w:color w:val="000000"/>
                <w:sz w:val="19"/>
                <w:szCs w:val="19"/>
              </w:rPr>
            </w:pPr>
            <w:r w:rsidRPr="0023367D">
              <w:rPr>
                <w:color w:val="000000"/>
                <w:sz w:val="19"/>
                <w:szCs w:val="19"/>
              </w:rPr>
              <w:t>41.2%</w:t>
            </w:r>
          </w:p>
        </w:tc>
        <w:tc>
          <w:tcPr>
            <w:tcW w:w="1067" w:type="dxa"/>
            <w:tcBorders>
              <w:top w:val="nil"/>
              <w:left w:val="nil"/>
              <w:bottom w:val="single" w:sz="8" w:space="0" w:color="auto"/>
              <w:right w:val="single" w:sz="8" w:space="0" w:color="auto"/>
            </w:tcBorders>
            <w:shd w:val="clear" w:color="auto" w:fill="auto"/>
            <w:vAlign w:val="center"/>
          </w:tcPr>
          <w:p w14:paraId="2247DD59" w14:textId="77777777" w:rsidR="00335619" w:rsidRPr="0023367D" w:rsidRDefault="00335619" w:rsidP="00335619">
            <w:pPr>
              <w:jc w:val="center"/>
              <w:rPr>
                <w:color w:val="000000"/>
                <w:sz w:val="19"/>
                <w:szCs w:val="19"/>
              </w:rPr>
            </w:pPr>
            <w:r w:rsidRPr="0023367D">
              <w:rPr>
                <w:color w:val="000000"/>
                <w:sz w:val="19"/>
                <w:szCs w:val="19"/>
              </w:rPr>
              <w:t>28.8%</w:t>
            </w:r>
          </w:p>
        </w:tc>
        <w:tc>
          <w:tcPr>
            <w:tcW w:w="1292" w:type="dxa"/>
            <w:tcBorders>
              <w:top w:val="nil"/>
              <w:left w:val="nil"/>
              <w:bottom w:val="single" w:sz="8" w:space="0" w:color="auto"/>
              <w:right w:val="single" w:sz="12" w:space="0" w:color="auto"/>
            </w:tcBorders>
            <w:vAlign w:val="center"/>
          </w:tcPr>
          <w:p w14:paraId="3A0372A7" w14:textId="77777777" w:rsidR="00335619" w:rsidRPr="0023367D" w:rsidRDefault="00335619" w:rsidP="00335619">
            <w:pPr>
              <w:jc w:val="center"/>
              <w:rPr>
                <w:color w:val="000000"/>
                <w:sz w:val="19"/>
                <w:szCs w:val="19"/>
              </w:rPr>
            </w:pPr>
            <w:r w:rsidRPr="0023367D">
              <w:rPr>
                <w:color w:val="000000"/>
                <w:sz w:val="19"/>
                <w:szCs w:val="19"/>
              </w:rPr>
              <w:t>38.6%</w:t>
            </w:r>
          </w:p>
        </w:tc>
        <w:tc>
          <w:tcPr>
            <w:tcW w:w="720" w:type="dxa"/>
            <w:tcBorders>
              <w:top w:val="nil"/>
              <w:left w:val="single" w:sz="12" w:space="0" w:color="auto"/>
              <w:bottom w:val="single" w:sz="8" w:space="0" w:color="auto"/>
              <w:right w:val="single" w:sz="8" w:space="0" w:color="auto"/>
            </w:tcBorders>
            <w:shd w:val="clear" w:color="auto" w:fill="auto"/>
            <w:vAlign w:val="center"/>
          </w:tcPr>
          <w:p w14:paraId="315249E9" w14:textId="77777777" w:rsidR="00335619" w:rsidRPr="0023367D" w:rsidRDefault="00335619" w:rsidP="00335619">
            <w:pPr>
              <w:jc w:val="center"/>
              <w:rPr>
                <w:color w:val="000000"/>
                <w:sz w:val="19"/>
                <w:szCs w:val="19"/>
              </w:rPr>
            </w:pPr>
            <w:r w:rsidRPr="0023367D">
              <w:rPr>
                <w:color w:val="000000"/>
                <w:sz w:val="19"/>
                <w:szCs w:val="19"/>
              </w:rPr>
              <w:t>227</w:t>
            </w:r>
          </w:p>
        </w:tc>
        <w:tc>
          <w:tcPr>
            <w:tcW w:w="1176" w:type="dxa"/>
            <w:tcBorders>
              <w:top w:val="nil"/>
              <w:left w:val="nil"/>
              <w:bottom w:val="single" w:sz="8" w:space="0" w:color="auto"/>
              <w:right w:val="single" w:sz="8" w:space="0" w:color="auto"/>
            </w:tcBorders>
            <w:shd w:val="clear" w:color="auto" w:fill="auto"/>
            <w:vAlign w:val="center"/>
          </w:tcPr>
          <w:p w14:paraId="3CEA2FEF" w14:textId="77777777" w:rsidR="00335619" w:rsidRPr="0023367D" w:rsidRDefault="00335619" w:rsidP="00335619">
            <w:pPr>
              <w:jc w:val="center"/>
              <w:rPr>
                <w:color w:val="000000"/>
                <w:sz w:val="19"/>
                <w:szCs w:val="19"/>
              </w:rPr>
            </w:pPr>
            <w:r w:rsidRPr="0023367D">
              <w:rPr>
                <w:color w:val="000000"/>
                <w:sz w:val="19"/>
                <w:szCs w:val="19"/>
              </w:rPr>
              <w:t>49.7%</w:t>
            </w:r>
          </w:p>
        </w:tc>
        <w:tc>
          <w:tcPr>
            <w:tcW w:w="1074" w:type="dxa"/>
            <w:tcBorders>
              <w:top w:val="nil"/>
              <w:left w:val="nil"/>
              <w:bottom w:val="single" w:sz="8" w:space="0" w:color="auto"/>
              <w:right w:val="single" w:sz="8" w:space="0" w:color="auto"/>
            </w:tcBorders>
            <w:shd w:val="clear" w:color="auto" w:fill="auto"/>
            <w:vAlign w:val="center"/>
          </w:tcPr>
          <w:p w14:paraId="7F3DB7D1" w14:textId="77777777" w:rsidR="00335619" w:rsidRPr="0023367D" w:rsidRDefault="00335619" w:rsidP="00335619">
            <w:pPr>
              <w:jc w:val="center"/>
              <w:rPr>
                <w:color w:val="000000"/>
                <w:sz w:val="19"/>
                <w:szCs w:val="19"/>
              </w:rPr>
            </w:pPr>
            <w:r w:rsidRPr="0023367D">
              <w:rPr>
                <w:color w:val="000000"/>
                <w:sz w:val="19"/>
                <w:szCs w:val="19"/>
              </w:rPr>
              <w:t>37.4%</w:t>
            </w:r>
          </w:p>
        </w:tc>
        <w:tc>
          <w:tcPr>
            <w:tcW w:w="1260" w:type="dxa"/>
            <w:tcBorders>
              <w:top w:val="nil"/>
              <w:left w:val="nil"/>
              <w:bottom w:val="single" w:sz="8" w:space="0" w:color="auto"/>
              <w:right w:val="single" w:sz="4" w:space="0" w:color="auto"/>
            </w:tcBorders>
            <w:shd w:val="clear" w:color="auto" w:fill="auto"/>
            <w:noWrap/>
            <w:vAlign w:val="center"/>
          </w:tcPr>
          <w:p w14:paraId="7DC1BE83" w14:textId="77777777" w:rsidR="00335619" w:rsidRPr="0023367D" w:rsidRDefault="00335619" w:rsidP="00335619">
            <w:pPr>
              <w:jc w:val="center"/>
              <w:rPr>
                <w:color w:val="000000"/>
                <w:sz w:val="19"/>
                <w:szCs w:val="19"/>
              </w:rPr>
            </w:pPr>
            <w:r w:rsidRPr="0023367D">
              <w:rPr>
                <w:color w:val="000000"/>
                <w:sz w:val="19"/>
                <w:szCs w:val="19"/>
              </w:rPr>
              <w:t>35.5%</w:t>
            </w:r>
          </w:p>
        </w:tc>
      </w:tr>
      <w:tr w:rsidR="00335619" w:rsidRPr="0023367D" w14:paraId="0E33619F"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586C502E" w14:textId="77777777" w:rsidR="00335619" w:rsidRPr="0023367D" w:rsidRDefault="00335619" w:rsidP="00335619">
            <w:pPr>
              <w:jc w:val="center"/>
              <w:rPr>
                <w:color w:val="000000"/>
                <w:sz w:val="19"/>
                <w:szCs w:val="19"/>
              </w:rPr>
            </w:pPr>
            <w:r w:rsidRPr="0023367D">
              <w:rPr>
                <w:bCs/>
                <w:color w:val="000000"/>
                <w:sz w:val="19"/>
                <w:szCs w:val="19"/>
                <w:lang w:bidi="he-IL"/>
              </w:rPr>
              <w:t>2002</w:t>
            </w:r>
          </w:p>
        </w:tc>
        <w:tc>
          <w:tcPr>
            <w:tcW w:w="900" w:type="dxa"/>
            <w:tcBorders>
              <w:top w:val="nil"/>
              <w:left w:val="nil"/>
              <w:bottom w:val="single" w:sz="8" w:space="0" w:color="auto"/>
              <w:right w:val="single" w:sz="8" w:space="0" w:color="auto"/>
            </w:tcBorders>
            <w:shd w:val="clear" w:color="auto" w:fill="auto"/>
            <w:noWrap/>
            <w:vAlign w:val="center"/>
          </w:tcPr>
          <w:p w14:paraId="4E4CCD93" w14:textId="77777777" w:rsidR="00335619" w:rsidRPr="0023367D" w:rsidRDefault="00335619" w:rsidP="00335619">
            <w:pPr>
              <w:jc w:val="center"/>
              <w:rPr>
                <w:color w:val="000000"/>
                <w:sz w:val="19"/>
                <w:szCs w:val="19"/>
              </w:rPr>
            </w:pPr>
            <w:r w:rsidRPr="0023367D">
              <w:rPr>
                <w:color w:val="000000"/>
                <w:sz w:val="19"/>
                <w:szCs w:val="19"/>
              </w:rPr>
              <w:t>773</w:t>
            </w:r>
          </w:p>
        </w:tc>
        <w:tc>
          <w:tcPr>
            <w:tcW w:w="971" w:type="dxa"/>
            <w:tcBorders>
              <w:top w:val="nil"/>
              <w:left w:val="nil"/>
              <w:bottom w:val="single" w:sz="8" w:space="0" w:color="auto"/>
              <w:right w:val="single" w:sz="8" w:space="0" w:color="auto"/>
            </w:tcBorders>
            <w:shd w:val="clear" w:color="auto" w:fill="auto"/>
            <w:noWrap/>
            <w:vAlign w:val="center"/>
          </w:tcPr>
          <w:p w14:paraId="73776A93" w14:textId="77777777" w:rsidR="00335619" w:rsidRPr="0023367D" w:rsidRDefault="00335619" w:rsidP="00335619">
            <w:pPr>
              <w:jc w:val="center"/>
              <w:rPr>
                <w:color w:val="000000"/>
                <w:sz w:val="19"/>
                <w:szCs w:val="19"/>
              </w:rPr>
            </w:pPr>
            <w:r w:rsidRPr="0023367D">
              <w:rPr>
                <w:color w:val="000000"/>
                <w:sz w:val="19"/>
                <w:szCs w:val="19"/>
              </w:rPr>
              <w:t>38.3%</w:t>
            </w:r>
          </w:p>
        </w:tc>
        <w:tc>
          <w:tcPr>
            <w:tcW w:w="1067" w:type="dxa"/>
            <w:tcBorders>
              <w:top w:val="nil"/>
              <w:left w:val="nil"/>
              <w:bottom w:val="single" w:sz="8" w:space="0" w:color="auto"/>
              <w:right w:val="single" w:sz="8" w:space="0" w:color="auto"/>
            </w:tcBorders>
            <w:shd w:val="clear" w:color="auto" w:fill="auto"/>
            <w:vAlign w:val="center"/>
          </w:tcPr>
          <w:p w14:paraId="47407201" w14:textId="77777777" w:rsidR="00335619" w:rsidRPr="0023367D" w:rsidRDefault="00335619" w:rsidP="00335619">
            <w:pPr>
              <w:jc w:val="center"/>
              <w:rPr>
                <w:color w:val="000000"/>
                <w:sz w:val="19"/>
                <w:szCs w:val="19"/>
              </w:rPr>
            </w:pPr>
            <w:r w:rsidRPr="0023367D">
              <w:rPr>
                <w:color w:val="000000"/>
                <w:sz w:val="19"/>
                <w:szCs w:val="19"/>
              </w:rPr>
              <w:t>28.6%</w:t>
            </w:r>
          </w:p>
        </w:tc>
        <w:tc>
          <w:tcPr>
            <w:tcW w:w="1292" w:type="dxa"/>
            <w:tcBorders>
              <w:top w:val="nil"/>
              <w:left w:val="nil"/>
              <w:bottom w:val="single" w:sz="8" w:space="0" w:color="auto"/>
              <w:right w:val="single" w:sz="12" w:space="0" w:color="auto"/>
            </w:tcBorders>
            <w:vAlign w:val="center"/>
          </w:tcPr>
          <w:p w14:paraId="0E6259B9" w14:textId="77777777" w:rsidR="00335619" w:rsidRPr="0023367D" w:rsidRDefault="00335619" w:rsidP="00335619">
            <w:pPr>
              <w:jc w:val="center"/>
              <w:rPr>
                <w:color w:val="000000"/>
                <w:sz w:val="19"/>
                <w:szCs w:val="19"/>
              </w:rPr>
            </w:pPr>
            <w:r w:rsidRPr="0023367D">
              <w:rPr>
                <w:color w:val="000000"/>
                <w:sz w:val="19"/>
                <w:szCs w:val="19"/>
              </w:rPr>
              <w:t>45.7%</w:t>
            </w:r>
          </w:p>
        </w:tc>
        <w:tc>
          <w:tcPr>
            <w:tcW w:w="720" w:type="dxa"/>
            <w:tcBorders>
              <w:top w:val="nil"/>
              <w:left w:val="single" w:sz="12" w:space="0" w:color="auto"/>
              <w:bottom w:val="single" w:sz="8" w:space="0" w:color="auto"/>
              <w:right w:val="single" w:sz="8" w:space="0" w:color="auto"/>
            </w:tcBorders>
            <w:shd w:val="clear" w:color="auto" w:fill="auto"/>
            <w:vAlign w:val="center"/>
          </w:tcPr>
          <w:p w14:paraId="6E18BB03" w14:textId="77777777" w:rsidR="00335619" w:rsidRPr="0023367D" w:rsidRDefault="00335619" w:rsidP="00335619">
            <w:pPr>
              <w:jc w:val="center"/>
              <w:rPr>
                <w:color w:val="000000"/>
                <w:sz w:val="19"/>
                <w:szCs w:val="19"/>
              </w:rPr>
            </w:pPr>
            <w:r w:rsidRPr="0023367D">
              <w:rPr>
                <w:color w:val="000000"/>
                <w:sz w:val="19"/>
                <w:szCs w:val="19"/>
              </w:rPr>
              <w:t>234</w:t>
            </w:r>
          </w:p>
        </w:tc>
        <w:tc>
          <w:tcPr>
            <w:tcW w:w="1176" w:type="dxa"/>
            <w:tcBorders>
              <w:top w:val="nil"/>
              <w:left w:val="nil"/>
              <w:bottom w:val="single" w:sz="8" w:space="0" w:color="auto"/>
              <w:right w:val="single" w:sz="8" w:space="0" w:color="auto"/>
            </w:tcBorders>
            <w:shd w:val="clear" w:color="auto" w:fill="auto"/>
            <w:vAlign w:val="center"/>
          </w:tcPr>
          <w:p w14:paraId="45CB53C2" w14:textId="77777777" w:rsidR="00335619" w:rsidRPr="0023367D" w:rsidRDefault="00335619" w:rsidP="00335619">
            <w:pPr>
              <w:jc w:val="center"/>
              <w:rPr>
                <w:color w:val="000000"/>
                <w:sz w:val="19"/>
                <w:szCs w:val="19"/>
              </w:rPr>
            </w:pPr>
            <w:r w:rsidRPr="0023367D">
              <w:rPr>
                <w:color w:val="000000"/>
                <w:sz w:val="19"/>
                <w:szCs w:val="19"/>
              </w:rPr>
              <w:t>50.9%</w:t>
            </w:r>
          </w:p>
        </w:tc>
        <w:tc>
          <w:tcPr>
            <w:tcW w:w="1074" w:type="dxa"/>
            <w:tcBorders>
              <w:top w:val="nil"/>
              <w:left w:val="nil"/>
              <w:bottom w:val="single" w:sz="8" w:space="0" w:color="auto"/>
              <w:right w:val="single" w:sz="8" w:space="0" w:color="auto"/>
            </w:tcBorders>
            <w:shd w:val="clear" w:color="auto" w:fill="auto"/>
            <w:vAlign w:val="center"/>
          </w:tcPr>
          <w:p w14:paraId="24590216" w14:textId="77777777" w:rsidR="00335619" w:rsidRPr="0023367D" w:rsidRDefault="00335619" w:rsidP="00335619">
            <w:pPr>
              <w:jc w:val="center"/>
              <w:rPr>
                <w:color w:val="000000"/>
                <w:sz w:val="19"/>
                <w:szCs w:val="19"/>
              </w:rPr>
            </w:pPr>
            <w:r w:rsidRPr="0023367D">
              <w:rPr>
                <w:color w:val="000000"/>
                <w:sz w:val="19"/>
                <w:szCs w:val="19"/>
              </w:rPr>
              <w:t>37.9%</w:t>
            </w:r>
          </w:p>
        </w:tc>
        <w:tc>
          <w:tcPr>
            <w:tcW w:w="1260" w:type="dxa"/>
            <w:tcBorders>
              <w:top w:val="nil"/>
              <w:left w:val="nil"/>
              <w:bottom w:val="single" w:sz="8" w:space="0" w:color="auto"/>
              <w:right w:val="single" w:sz="4" w:space="0" w:color="auto"/>
            </w:tcBorders>
            <w:shd w:val="clear" w:color="auto" w:fill="auto"/>
            <w:noWrap/>
            <w:vAlign w:val="center"/>
          </w:tcPr>
          <w:p w14:paraId="05B1B9D9" w14:textId="77777777" w:rsidR="00335619" w:rsidRPr="0023367D" w:rsidRDefault="00335619" w:rsidP="00335619">
            <w:pPr>
              <w:jc w:val="center"/>
              <w:rPr>
                <w:color w:val="000000"/>
                <w:sz w:val="19"/>
                <w:szCs w:val="19"/>
              </w:rPr>
            </w:pPr>
            <w:r w:rsidRPr="0023367D">
              <w:rPr>
                <w:color w:val="000000"/>
                <w:sz w:val="19"/>
                <w:szCs w:val="19"/>
              </w:rPr>
              <w:t>46.6%</w:t>
            </w:r>
          </w:p>
        </w:tc>
      </w:tr>
      <w:tr w:rsidR="00335619" w:rsidRPr="0023367D" w14:paraId="7D1DC039"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6434D58B" w14:textId="77777777" w:rsidR="00335619" w:rsidRPr="0023367D" w:rsidRDefault="00335619" w:rsidP="00335619">
            <w:pPr>
              <w:jc w:val="center"/>
              <w:rPr>
                <w:color w:val="000000"/>
                <w:sz w:val="19"/>
                <w:szCs w:val="19"/>
              </w:rPr>
            </w:pPr>
            <w:r w:rsidRPr="0023367D">
              <w:rPr>
                <w:bCs/>
                <w:color w:val="000000"/>
                <w:sz w:val="19"/>
                <w:szCs w:val="19"/>
                <w:lang w:bidi="he-IL"/>
              </w:rPr>
              <w:t>2003</w:t>
            </w:r>
          </w:p>
        </w:tc>
        <w:tc>
          <w:tcPr>
            <w:tcW w:w="900" w:type="dxa"/>
            <w:tcBorders>
              <w:top w:val="nil"/>
              <w:left w:val="nil"/>
              <w:bottom w:val="single" w:sz="8" w:space="0" w:color="auto"/>
              <w:right w:val="single" w:sz="8" w:space="0" w:color="auto"/>
            </w:tcBorders>
            <w:shd w:val="clear" w:color="auto" w:fill="auto"/>
            <w:noWrap/>
            <w:vAlign w:val="center"/>
          </w:tcPr>
          <w:p w14:paraId="59F12BF5" w14:textId="77777777" w:rsidR="00335619" w:rsidRPr="0023367D" w:rsidRDefault="00335619" w:rsidP="00335619">
            <w:pPr>
              <w:jc w:val="center"/>
              <w:rPr>
                <w:color w:val="000000"/>
                <w:sz w:val="19"/>
                <w:szCs w:val="19"/>
              </w:rPr>
            </w:pPr>
            <w:r w:rsidRPr="0023367D">
              <w:rPr>
                <w:color w:val="000000"/>
                <w:sz w:val="19"/>
                <w:szCs w:val="19"/>
              </w:rPr>
              <w:t>765</w:t>
            </w:r>
          </w:p>
        </w:tc>
        <w:tc>
          <w:tcPr>
            <w:tcW w:w="971" w:type="dxa"/>
            <w:tcBorders>
              <w:top w:val="nil"/>
              <w:left w:val="nil"/>
              <w:bottom w:val="single" w:sz="8" w:space="0" w:color="auto"/>
              <w:right w:val="single" w:sz="8" w:space="0" w:color="auto"/>
            </w:tcBorders>
            <w:shd w:val="clear" w:color="auto" w:fill="auto"/>
            <w:noWrap/>
            <w:vAlign w:val="center"/>
          </w:tcPr>
          <w:p w14:paraId="14303684" w14:textId="77777777" w:rsidR="00335619" w:rsidRPr="0023367D" w:rsidRDefault="00335619" w:rsidP="00335619">
            <w:pPr>
              <w:jc w:val="center"/>
              <w:rPr>
                <w:color w:val="000000"/>
                <w:sz w:val="19"/>
                <w:szCs w:val="19"/>
              </w:rPr>
            </w:pPr>
            <w:r w:rsidRPr="0023367D">
              <w:rPr>
                <w:color w:val="000000"/>
                <w:sz w:val="19"/>
                <w:szCs w:val="19"/>
              </w:rPr>
              <w:t>32.0%</w:t>
            </w:r>
          </w:p>
        </w:tc>
        <w:tc>
          <w:tcPr>
            <w:tcW w:w="1067" w:type="dxa"/>
            <w:tcBorders>
              <w:top w:val="nil"/>
              <w:left w:val="nil"/>
              <w:bottom w:val="single" w:sz="8" w:space="0" w:color="auto"/>
              <w:right w:val="single" w:sz="8" w:space="0" w:color="auto"/>
            </w:tcBorders>
            <w:shd w:val="clear" w:color="auto" w:fill="auto"/>
            <w:vAlign w:val="center"/>
          </w:tcPr>
          <w:p w14:paraId="18A817A2" w14:textId="77777777" w:rsidR="00335619" w:rsidRPr="0023367D" w:rsidRDefault="00335619" w:rsidP="00335619">
            <w:pPr>
              <w:jc w:val="center"/>
              <w:rPr>
                <w:color w:val="000000"/>
                <w:sz w:val="19"/>
                <w:szCs w:val="19"/>
              </w:rPr>
            </w:pPr>
            <w:r w:rsidRPr="0023367D">
              <w:rPr>
                <w:color w:val="000000"/>
                <w:sz w:val="19"/>
                <w:szCs w:val="19"/>
              </w:rPr>
              <w:t>23.8%</w:t>
            </w:r>
          </w:p>
        </w:tc>
        <w:tc>
          <w:tcPr>
            <w:tcW w:w="1292" w:type="dxa"/>
            <w:tcBorders>
              <w:top w:val="nil"/>
              <w:left w:val="nil"/>
              <w:bottom w:val="single" w:sz="8" w:space="0" w:color="auto"/>
              <w:right w:val="single" w:sz="12" w:space="0" w:color="auto"/>
            </w:tcBorders>
            <w:vAlign w:val="center"/>
          </w:tcPr>
          <w:p w14:paraId="039F65BE" w14:textId="77777777" w:rsidR="00335619" w:rsidRPr="0023367D" w:rsidRDefault="00335619" w:rsidP="00335619">
            <w:pPr>
              <w:jc w:val="center"/>
              <w:rPr>
                <w:color w:val="000000"/>
                <w:sz w:val="19"/>
                <w:szCs w:val="19"/>
              </w:rPr>
            </w:pPr>
            <w:r w:rsidRPr="0023367D">
              <w:rPr>
                <w:color w:val="000000"/>
                <w:sz w:val="19"/>
                <w:szCs w:val="19"/>
              </w:rPr>
              <w:t>51.2%</w:t>
            </w:r>
          </w:p>
        </w:tc>
        <w:tc>
          <w:tcPr>
            <w:tcW w:w="720" w:type="dxa"/>
            <w:tcBorders>
              <w:top w:val="nil"/>
              <w:left w:val="single" w:sz="12" w:space="0" w:color="auto"/>
              <w:bottom w:val="single" w:sz="8" w:space="0" w:color="auto"/>
              <w:right w:val="single" w:sz="8" w:space="0" w:color="auto"/>
            </w:tcBorders>
            <w:shd w:val="clear" w:color="auto" w:fill="auto"/>
            <w:vAlign w:val="center"/>
          </w:tcPr>
          <w:p w14:paraId="150ECCDE" w14:textId="77777777" w:rsidR="00335619" w:rsidRPr="0023367D" w:rsidRDefault="00335619" w:rsidP="00335619">
            <w:pPr>
              <w:jc w:val="center"/>
              <w:rPr>
                <w:color w:val="000000"/>
                <w:sz w:val="19"/>
                <w:szCs w:val="19"/>
              </w:rPr>
            </w:pPr>
            <w:r w:rsidRPr="0023367D">
              <w:rPr>
                <w:color w:val="000000"/>
                <w:sz w:val="19"/>
                <w:szCs w:val="19"/>
              </w:rPr>
              <w:t>270</w:t>
            </w:r>
          </w:p>
        </w:tc>
        <w:tc>
          <w:tcPr>
            <w:tcW w:w="1176" w:type="dxa"/>
            <w:tcBorders>
              <w:top w:val="nil"/>
              <w:left w:val="nil"/>
              <w:bottom w:val="single" w:sz="8" w:space="0" w:color="auto"/>
              <w:right w:val="single" w:sz="8" w:space="0" w:color="auto"/>
            </w:tcBorders>
            <w:shd w:val="clear" w:color="auto" w:fill="auto"/>
            <w:vAlign w:val="center"/>
          </w:tcPr>
          <w:p w14:paraId="73D625E1" w14:textId="77777777" w:rsidR="00335619" w:rsidRPr="0023367D" w:rsidRDefault="00335619" w:rsidP="00335619">
            <w:pPr>
              <w:jc w:val="center"/>
              <w:rPr>
                <w:color w:val="000000"/>
                <w:sz w:val="19"/>
                <w:szCs w:val="19"/>
              </w:rPr>
            </w:pPr>
            <w:r w:rsidRPr="0023367D">
              <w:rPr>
                <w:color w:val="000000"/>
                <w:sz w:val="19"/>
                <w:szCs w:val="19"/>
              </w:rPr>
              <w:t>44.1%</w:t>
            </w:r>
          </w:p>
        </w:tc>
        <w:tc>
          <w:tcPr>
            <w:tcW w:w="1074" w:type="dxa"/>
            <w:tcBorders>
              <w:top w:val="nil"/>
              <w:left w:val="nil"/>
              <w:bottom w:val="single" w:sz="8" w:space="0" w:color="auto"/>
              <w:right w:val="single" w:sz="8" w:space="0" w:color="auto"/>
            </w:tcBorders>
            <w:shd w:val="clear" w:color="auto" w:fill="auto"/>
            <w:vAlign w:val="center"/>
          </w:tcPr>
          <w:p w14:paraId="797822A5" w14:textId="77777777" w:rsidR="00335619" w:rsidRPr="0023367D" w:rsidRDefault="00335619" w:rsidP="00335619">
            <w:pPr>
              <w:jc w:val="center"/>
              <w:rPr>
                <w:color w:val="000000"/>
                <w:sz w:val="19"/>
                <w:szCs w:val="19"/>
              </w:rPr>
            </w:pPr>
            <w:r w:rsidRPr="0023367D">
              <w:rPr>
                <w:color w:val="000000"/>
                <w:sz w:val="19"/>
                <w:szCs w:val="19"/>
              </w:rPr>
              <w:t>32.8%</w:t>
            </w:r>
          </w:p>
        </w:tc>
        <w:tc>
          <w:tcPr>
            <w:tcW w:w="1260" w:type="dxa"/>
            <w:tcBorders>
              <w:top w:val="nil"/>
              <w:left w:val="nil"/>
              <w:bottom w:val="single" w:sz="8" w:space="0" w:color="auto"/>
              <w:right w:val="single" w:sz="4" w:space="0" w:color="auto"/>
            </w:tcBorders>
            <w:shd w:val="clear" w:color="auto" w:fill="auto"/>
            <w:noWrap/>
            <w:vAlign w:val="center"/>
          </w:tcPr>
          <w:p w14:paraId="10D6022A" w14:textId="77777777" w:rsidR="00335619" w:rsidRPr="0023367D" w:rsidRDefault="00335619" w:rsidP="00335619">
            <w:pPr>
              <w:jc w:val="center"/>
              <w:rPr>
                <w:color w:val="000000"/>
                <w:sz w:val="19"/>
                <w:szCs w:val="19"/>
              </w:rPr>
            </w:pPr>
            <w:r w:rsidRPr="0023367D">
              <w:rPr>
                <w:color w:val="000000"/>
                <w:sz w:val="19"/>
                <w:szCs w:val="19"/>
              </w:rPr>
              <w:t>51.7%</w:t>
            </w:r>
          </w:p>
        </w:tc>
      </w:tr>
      <w:tr w:rsidR="00335619" w:rsidRPr="0023367D" w14:paraId="31ED2B1F"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79644908" w14:textId="77777777" w:rsidR="00335619" w:rsidRPr="0023367D" w:rsidRDefault="00335619" w:rsidP="00335619">
            <w:pPr>
              <w:jc w:val="center"/>
              <w:rPr>
                <w:color w:val="000000"/>
                <w:sz w:val="19"/>
                <w:szCs w:val="19"/>
              </w:rPr>
            </w:pPr>
            <w:r w:rsidRPr="0023367D">
              <w:rPr>
                <w:bCs/>
                <w:color w:val="000000"/>
                <w:sz w:val="19"/>
                <w:szCs w:val="19"/>
                <w:lang w:bidi="he-IL"/>
              </w:rPr>
              <w:t>2004</w:t>
            </w:r>
          </w:p>
        </w:tc>
        <w:tc>
          <w:tcPr>
            <w:tcW w:w="900" w:type="dxa"/>
            <w:tcBorders>
              <w:top w:val="nil"/>
              <w:left w:val="nil"/>
              <w:bottom w:val="single" w:sz="8" w:space="0" w:color="auto"/>
              <w:right w:val="single" w:sz="8" w:space="0" w:color="auto"/>
            </w:tcBorders>
            <w:shd w:val="clear" w:color="auto" w:fill="auto"/>
            <w:noWrap/>
            <w:vAlign w:val="center"/>
          </w:tcPr>
          <w:p w14:paraId="1752C1B4" w14:textId="77777777" w:rsidR="00335619" w:rsidRPr="0023367D" w:rsidRDefault="00335619" w:rsidP="00335619">
            <w:pPr>
              <w:jc w:val="center"/>
              <w:rPr>
                <w:color w:val="000000"/>
                <w:sz w:val="19"/>
                <w:szCs w:val="19"/>
              </w:rPr>
            </w:pPr>
            <w:r w:rsidRPr="0023367D">
              <w:rPr>
                <w:color w:val="000000"/>
                <w:sz w:val="19"/>
                <w:szCs w:val="19"/>
              </w:rPr>
              <w:t>802</w:t>
            </w:r>
          </w:p>
        </w:tc>
        <w:tc>
          <w:tcPr>
            <w:tcW w:w="971" w:type="dxa"/>
            <w:tcBorders>
              <w:top w:val="nil"/>
              <w:left w:val="nil"/>
              <w:bottom w:val="single" w:sz="8" w:space="0" w:color="auto"/>
              <w:right w:val="single" w:sz="8" w:space="0" w:color="auto"/>
            </w:tcBorders>
            <w:shd w:val="clear" w:color="auto" w:fill="auto"/>
            <w:noWrap/>
            <w:vAlign w:val="center"/>
          </w:tcPr>
          <w:p w14:paraId="5CDDCB5D" w14:textId="77777777" w:rsidR="00335619" w:rsidRPr="0023367D" w:rsidRDefault="00335619" w:rsidP="00335619">
            <w:pPr>
              <w:jc w:val="center"/>
              <w:rPr>
                <w:color w:val="000000"/>
                <w:sz w:val="19"/>
                <w:szCs w:val="19"/>
              </w:rPr>
            </w:pPr>
            <w:r w:rsidRPr="0023367D">
              <w:rPr>
                <w:color w:val="000000"/>
                <w:sz w:val="19"/>
                <w:szCs w:val="19"/>
              </w:rPr>
              <w:t>27.2%</w:t>
            </w:r>
          </w:p>
        </w:tc>
        <w:tc>
          <w:tcPr>
            <w:tcW w:w="1067" w:type="dxa"/>
            <w:tcBorders>
              <w:top w:val="nil"/>
              <w:left w:val="nil"/>
              <w:bottom w:val="single" w:sz="8" w:space="0" w:color="auto"/>
              <w:right w:val="single" w:sz="8" w:space="0" w:color="auto"/>
            </w:tcBorders>
            <w:shd w:val="clear" w:color="auto" w:fill="auto"/>
            <w:vAlign w:val="center"/>
          </w:tcPr>
          <w:p w14:paraId="43CF98BC" w14:textId="77777777" w:rsidR="00335619" w:rsidRPr="0023367D" w:rsidRDefault="00335619" w:rsidP="00335619">
            <w:pPr>
              <w:jc w:val="center"/>
              <w:rPr>
                <w:color w:val="000000"/>
                <w:sz w:val="19"/>
                <w:szCs w:val="19"/>
              </w:rPr>
            </w:pPr>
            <w:r w:rsidRPr="0023367D">
              <w:rPr>
                <w:color w:val="000000"/>
                <w:sz w:val="19"/>
                <w:szCs w:val="19"/>
              </w:rPr>
              <w:t>20.8%</w:t>
            </w:r>
          </w:p>
        </w:tc>
        <w:tc>
          <w:tcPr>
            <w:tcW w:w="1292" w:type="dxa"/>
            <w:tcBorders>
              <w:top w:val="nil"/>
              <w:left w:val="nil"/>
              <w:bottom w:val="single" w:sz="8" w:space="0" w:color="auto"/>
              <w:right w:val="single" w:sz="12" w:space="0" w:color="auto"/>
            </w:tcBorders>
            <w:vAlign w:val="center"/>
          </w:tcPr>
          <w:p w14:paraId="0E2337FF" w14:textId="77777777" w:rsidR="00335619" w:rsidRPr="0023367D" w:rsidRDefault="00335619" w:rsidP="00335619">
            <w:pPr>
              <w:jc w:val="center"/>
              <w:rPr>
                <w:color w:val="000000"/>
                <w:sz w:val="19"/>
                <w:szCs w:val="19"/>
              </w:rPr>
            </w:pPr>
            <w:r w:rsidRPr="0023367D">
              <w:rPr>
                <w:color w:val="000000"/>
                <w:sz w:val="19"/>
                <w:szCs w:val="19"/>
              </w:rPr>
              <w:t>55.3%</w:t>
            </w:r>
          </w:p>
        </w:tc>
        <w:tc>
          <w:tcPr>
            <w:tcW w:w="720" w:type="dxa"/>
            <w:tcBorders>
              <w:top w:val="nil"/>
              <w:left w:val="single" w:sz="12" w:space="0" w:color="auto"/>
              <w:bottom w:val="single" w:sz="8" w:space="0" w:color="auto"/>
              <w:right w:val="single" w:sz="8" w:space="0" w:color="auto"/>
            </w:tcBorders>
            <w:shd w:val="clear" w:color="auto" w:fill="auto"/>
            <w:vAlign w:val="center"/>
          </w:tcPr>
          <w:p w14:paraId="7827E0FD" w14:textId="77777777" w:rsidR="00335619" w:rsidRPr="0023367D" w:rsidRDefault="00335619" w:rsidP="00335619">
            <w:pPr>
              <w:jc w:val="center"/>
              <w:rPr>
                <w:color w:val="000000"/>
                <w:sz w:val="19"/>
                <w:szCs w:val="19"/>
              </w:rPr>
            </w:pPr>
            <w:r w:rsidRPr="0023367D">
              <w:rPr>
                <w:color w:val="000000"/>
                <w:sz w:val="19"/>
                <w:szCs w:val="19"/>
              </w:rPr>
              <w:t>272</w:t>
            </w:r>
          </w:p>
        </w:tc>
        <w:tc>
          <w:tcPr>
            <w:tcW w:w="1176" w:type="dxa"/>
            <w:tcBorders>
              <w:top w:val="nil"/>
              <w:left w:val="nil"/>
              <w:bottom w:val="single" w:sz="8" w:space="0" w:color="auto"/>
              <w:right w:val="single" w:sz="8" w:space="0" w:color="auto"/>
            </w:tcBorders>
            <w:shd w:val="clear" w:color="auto" w:fill="auto"/>
            <w:vAlign w:val="center"/>
          </w:tcPr>
          <w:p w14:paraId="2CEF4252" w14:textId="77777777" w:rsidR="00335619" w:rsidRPr="0023367D" w:rsidRDefault="00335619" w:rsidP="00335619">
            <w:pPr>
              <w:jc w:val="center"/>
              <w:rPr>
                <w:color w:val="000000"/>
                <w:sz w:val="19"/>
                <w:szCs w:val="19"/>
              </w:rPr>
            </w:pPr>
            <w:r w:rsidRPr="0023367D">
              <w:rPr>
                <w:color w:val="000000"/>
                <w:sz w:val="19"/>
                <w:szCs w:val="19"/>
              </w:rPr>
              <w:t>37.7%</w:t>
            </w:r>
          </w:p>
        </w:tc>
        <w:tc>
          <w:tcPr>
            <w:tcW w:w="1074" w:type="dxa"/>
            <w:tcBorders>
              <w:top w:val="nil"/>
              <w:left w:val="nil"/>
              <w:bottom w:val="single" w:sz="8" w:space="0" w:color="auto"/>
              <w:right w:val="single" w:sz="8" w:space="0" w:color="auto"/>
            </w:tcBorders>
            <w:shd w:val="clear" w:color="auto" w:fill="auto"/>
            <w:vAlign w:val="center"/>
          </w:tcPr>
          <w:p w14:paraId="71D019BB" w14:textId="77777777" w:rsidR="00335619" w:rsidRPr="0023367D" w:rsidRDefault="00335619" w:rsidP="00335619">
            <w:pPr>
              <w:jc w:val="center"/>
              <w:rPr>
                <w:color w:val="000000"/>
                <w:sz w:val="19"/>
                <w:szCs w:val="19"/>
              </w:rPr>
            </w:pPr>
            <w:r w:rsidRPr="0023367D">
              <w:rPr>
                <w:color w:val="000000"/>
                <w:sz w:val="19"/>
                <w:szCs w:val="19"/>
              </w:rPr>
              <w:t>26.4%</w:t>
            </w:r>
          </w:p>
        </w:tc>
        <w:tc>
          <w:tcPr>
            <w:tcW w:w="1260" w:type="dxa"/>
            <w:tcBorders>
              <w:top w:val="nil"/>
              <w:left w:val="nil"/>
              <w:bottom w:val="single" w:sz="8" w:space="0" w:color="auto"/>
              <w:right w:val="single" w:sz="4" w:space="0" w:color="auto"/>
            </w:tcBorders>
            <w:shd w:val="clear" w:color="auto" w:fill="auto"/>
            <w:noWrap/>
            <w:vAlign w:val="center"/>
          </w:tcPr>
          <w:p w14:paraId="577801E2" w14:textId="77777777" w:rsidR="00335619" w:rsidRPr="0023367D" w:rsidRDefault="00335619" w:rsidP="00335619">
            <w:pPr>
              <w:jc w:val="center"/>
              <w:rPr>
                <w:color w:val="000000"/>
                <w:sz w:val="19"/>
                <w:szCs w:val="19"/>
              </w:rPr>
            </w:pPr>
            <w:r w:rsidRPr="0023367D">
              <w:rPr>
                <w:color w:val="000000"/>
                <w:sz w:val="19"/>
                <w:szCs w:val="19"/>
              </w:rPr>
              <w:t>55.8%</w:t>
            </w:r>
          </w:p>
        </w:tc>
      </w:tr>
      <w:tr w:rsidR="00335619" w:rsidRPr="0023367D" w14:paraId="24918530"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729C0CF0" w14:textId="77777777" w:rsidR="00335619" w:rsidRPr="0023367D" w:rsidRDefault="00335619" w:rsidP="00335619">
            <w:pPr>
              <w:jc w:val="center"/>
              <w:rPr>
                <w:color w:val="000000"/>
                <w:sz w:val="19"/>
                <w:szCs w:val="19"/>
              </w:rPr>
            </w:pPr>
            <w:r w:rsidRPr="0023367D">
              <w:rPr>
                <w:bCs/>
                <w:color w:val="000000"/>
                <w:sz w:val="19"/>
                <w:szCs w:val="19"/>
                <w:lang w:bidi="he-IL"/>
              </w:rPr>
              <w:t>2005</w:t>
            </w:r>
          </w:p>
        </w:tc>
        <w:tc>
          <w:tcPr>
            <w:tcW w:w="900" w:type="dxa"/>
            <w:tcBorders>
              <w:top w:val="nil"/>
              <w:left w:val="nil"/>
              <w:bottom w:val="single" w:sz="8" w:space="0" w:color="auto"/>
              <w:right w:val="single" w:sz="8" w:space="0" w:color="auto"/>
            </w:tcBorders>
            <w:shd w:val="clear" w:color="auto" w:fill="auto"/>
            <w:noWrap/>
            <w:vAlign w:val="center"/>
          </w:tcPr>
          <w:p w14:paraId="67A95ABB" w14:textId="77777777" w:rsidR="00335619" w:rsidRPr="0023367D" w:rsidRDefault="00335619" w:rsidP="00335619">
            <w:pPr>
              <w:jc w:val="center"/>
              <w:rPr>
                <w:color w:val="000000"/>
                <w:sz w:val="19"/>
                <w:szCs w:val="19"/>
              </w:rPr>
            </w:pPr>
            <w:r w:rsidRPr="0023367D">
              <w:rPr>
                <w:color w:val="000000"/>
                <w:sz w:val="19"/>
                <w:szCs w:val="19"/>
              </w:rPr>
              <w:t>813</w:t>
            </w:r>
          </w:p>
        </w:tc>
        <w:tc>
          <w:tcPr>
            <w:tcW w:w="971" w:type="dxa"/>
            <w:tcBorders>
              <w:top w:val="nil"/>
              <w:left w:val="nil"/>
              <w:bottom w:val="single" w:sz="8" w:space="0" w:color="auto"/>
              <w:right w:val="single" w:sz="8" w:space="0" w:color="auto"/>
            </w:tcBorders>
            <w:shd w:val="clear" w:color="auto" w:fill="auto"/>
            <w:noWrap/>
            <w:vAlign w:val="center"/>
          </w:tcPr>
          <w:p w14:paraId="670AA866" w14:textId="77777777" w:rsidR="00335619" w:rsidRPr="0023367D" w:rsidRDefault="00335619" w:rsidP="00335619">
            <w:pPr>
              <w:jc w:val="center"/>
              <w:rPr>
                <w:color w:val="000000"/>
                <w:sz w:val="19"/>
                <w:szCs w:val="19"/>
              </w:rPr>
            </w:pPr>
            <w:r w:rsidRPr="0023367D">
              <w:rPr>
                <w:color w:val="000000"/>
                <w:sz w:val="19"/>
                <w:szCs w:val="19"/>
              </w:rPr>
              <w:t>25.9%</w:t>
            </w:r>
          </w:p>
        </w:tc>
        <w:tc>
          <w:tcPr>
            <w:tcW w:w="1067" w:type="dxa"/>
            <w:tcBorders>
              <w:top w:val="nil"/>
              <w:left w:val="nil"/>
              <w:bottom w:val="single" w:sz="8" w:space="0" w:color="auto"/>
              <w:right w:val="single" w:sz="8" w:space="0" w:color="auto"/>
            </w:tcBorders>
            <w:shd w:val="clear" w:color="auto" w:fill="auto"/>
            <w:vAlign w:val="center"/>
          </w:tcPr>
          <w:p w14:paraId="1EEB438C" w14:textId="77777777" w:rsidR="00335619" w:rsidRPr="0023367D" w:rsidRDefault="00335619" w:rsidP="00335619">
            <w:pPr>
              <w:jc w:val="center"/>
              <w:rPr>
                <w:color w:val="000000"/>
                <w:sz w:val="19"/>
                <w:szCs w:val="19"/>
              </w:rPr>
            </w:pPr>
            <w:r w:rsidRPr="0023367D">
              <w:rPr>
                <w:color w:val="000000"/>
                <w:sz w:val="19"/>
                <w:szCs w:val="19"/>
              </w:rPr>
              <w:t>19.8%</w:t>
            </w:r>
          </w:p>
        </w:tc>
        <w:tc>
          <w:tcPr>
            <w:tcW w:w="1292" w:type="dxa"/>
            <w:tcBorders>
              <w:top w:val="nil"/>
              <w:left w:val="nil"/>
              <w:bottom w:val="single" w:sz="8" w:space="0" w:color="auto"/>
              <w:right w:val="single" w:sz="12" w:space="0" w:color="auto"/>
            </w:tcBorders>
            <w:vAlign w:val="center"/>
          </w:tcPr>
          <w:p w14:paraId="428B1A51" w14:textId="77777777" w:rsidR="00335619" w:rsidRPr="0023367D" w:rsidRDefault="00335619" w:rsidP="00335619">
            <w:pPr>
              <w:jc w:val="center"/>
              <w:rPr>
                <w:color w:val="000000"/>
                <w:sz w:val="19"/>
                <w:szCs w:val="19"/>
              </w:rPr>
            </w:pPr>
            <w:r w:rsidRPr="0023367D">
              <w:rPr>
                <w:color w:val="000000"/>
                <w:sz w:val="19"/>
                <w:szCs w:val="19"/>
              </w:rPr>
              <w:t>57.9%</w:t>
            </w:r>
          </w:p>
        </w:tc>
        <w:tc>
          <w:tcPr>
            <w:tcW w:w="720" w:type="dxa"/>
            <w:tcBorders>
              <w:top w:val="nil"/>
              <w:left w:val="single" w:sz="12" w:space="0" w:color="auto"/>
              <w:bottom w:val="single" w:sz="8" w:space="0" w:color="auto"/>
              <w:right w:val="single" w:sz="8" w:space="0" w:color="auto"/>
            </w:tcBorders>
            <w:shd w:val="clear" w:color="auto" w:fill="auto"/>
            <w:vAlign w:val="center"/>
          </w:tcPr>
          <w:p w14:paraId="6D7D61B3" w14:textId="77777777" w:rsidR="00335619" w:rsidRPr="0023367D" w:rsidRDefault="00335619" w:rsidP="00335619">
            <w:pPr>
              <w:jc w:val="center"/>
              <w:rPr>
                <w:color w:val="000000"/>
                <w:sz w:val="19"/>
                <w:szCs w:val="19"/>
              </w:rPr>
            </w:pPr>
            <w:r w:rsidRPr="0023367D">
              <w:rPr>
                <w:color w:val="000000"/>
                <w:sz w:val="19"/>
                <w:szCs w:val="19"/>
              </w:rPr>
              <w:t>271</w:t>
            </w:r>
          </w:p>
        </w:tc>
        <w:tc>
          <w:tcPr>
            <w:tcW w:w="1176" w:type="dxa"/>
            <w:tcBorders>
              <w:top w:val="nil"/>
              <w:left w:val="nil"/>
              <w:bottom w:val="single" w:sz="8" w:space="0" w:color="auto"/>
              <w:right w:val="single" w:sz="8" w:space="0" w:color="auto"/>
            </w:tcBorders>
            <w:shd w:val="clear" w:color="auto" w:fill="auto"/>
            <w:vAlign w:val="center"/>
          </w:tcPr>
          <w:p w14:paraId="7E1A0CC8" w14:textId="77777777" w:rsidR="00335619" w:rsidRPr="0023367D" w:rsidRDefault="00335619" w:rsidP="00335619">
            <w:pPr>
              <w:jc w:val="center"/>
              <w:rPr>
                <w:color w:val="000000"/>
                <w:sz w:val="19"/>
                <w:szCs w:val="19"/>
              </w:rPr>
            </w:pPr>
            <w:r w:rsidRPr="0023367D">
              <w:rPr>
                <w:color w:val="000000"/>
                <w:sz w:val="19"/>
                <w:szCs w:val="19"/>
              </w:rPr>
              <w:t>38.4%</w:t>
            </w:r>
          </w:p>
        </w:tc>
        <w:tc>
          <w:tcPr>
            <w:tcW w:w="1074" w:type="dxa"/>
            <w:tcBorders>
              <w:top w:val="nil"/>
              <w:left w:val="nil"/>
              <w:bottom w:val="single" w:sz="8" w:space="0" w:color="auto"/>
              <w:right w:val="single" w:sz="8" w:space="0" w:color="auto"/>
            </w:tcBorders>
            <w:shd w:val="clear" w:color="auto" w:fill="auto"/>
            <w:vAlign w:val="center"/>
          </w:tcPr>
          <w:p w14:paraId="48693F21" w14:textId="77777777" w:rsidR="00335619" w:rsidRPr="0023367D" w:rsidRDefault="00335619" w:rsidP="00335619">
            <w:pPr>
              <w:jc w:val="center"/>
              <w:rPr>
                <w:color w:val="000000"/>
                <w:sz w:val="19"/>
                <w:szCs w:val="19"/>
              </w:rPr>
            </w:pPr>
            <w:r w:rsidRPr="0023367D">
              <w:rPr>
                <w:color w:val="000000"/>
                <w:sz w:val="19"/>
                <w:szCs w:val="19"/>
              </w:rPr>
              <w:t>28.0%</w:t>
            </w:r>
          </w:p>
        </w:tc>
        <w:tc>
          <w:tcPr>
            <w:tcW w:w="1260" w:type="dxa"/>
            <w:tcBorders>
              <w:top w:val="nil"/>
              <w:left w:val="nil"/>
              <w:bottom w:val="single" w:sz="8" w:space="0" w:color="auto"/>
              <w:right w:val="single" w:sz="4" w:space="0" w:color="auto"/>
            </w:tcBorders>
            <w:shd w:val="clear" w:color="auto" w:fill="auto"/>
            <w:noWrap/>
            <w:vAlign w:val="center"/>
          </w:tcPr>
          <w:p w14:paraId="08A7B32D" w14:textId="77777777" w:rsidR="00335619" w:rsidRPr="0023367D" w:rsidRDefault="00335619" w:rsidP="00335619">
            <w:pPr>
              <w:jc w:val="center"/>
              <w:rPr>
                <w:color w:val="000000"/>
                <w:sz w:val="19"/>
                <w:szCs w:val="19"/>
              </w:rPr>
            </w:pPr>
            <w:r w:rsidRPr="0023367D">
              <w:rPr>
                <w:color w:val="000000"/>
                <w:sz w:val="19"/>
                <w:szCs w:val="19"/>
              </w:rPr>
              <w:t>59.8%</w:t>
            </w:r>
          </w:p>
        </w:tc>
      </w:tr>
      <w:tr w:rsidR="00335619" w:rsidRPr="0023367D" w14:paraId="5E7DDA50"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7DAF52FB" w14:textId="77777777" w:rsidR="00335619" w:rsidRPr="0023367D" w:rsidRDefault="00335619" w:rsidP="00335619">
            <w:pPr>
              <w:jc w:val="center"/>
              <w:rPr>
                <w:color w:val="000000"/>
                <w:sz w:val="19"/>
                <w:szCs w:val="19"/>
              </w:rPr>
            </w:pPr>
            <w:r w:rsidRPr="0023367D">
              <w:rPr>
                <w:bCs/>
                <w:color w:val="000000"/>
                <w:sz w:val="19"/>
                <w:szCs w:val="19"/>
                <w:lang w:bidi="he-IL"/>
              </w:rPr>
              <w:t>2006</w:t>
            </w:r>
          </w:p>
        </w:tc>
        <w:tc>
          <w:tcPr>
            <w:tcW w:w="900" w:type="dxa"/>
            <w:tcBorders>
              <w:top w:val="nil"/>
              <w:left w:val="nil"/>
              <w:bottom w:val="single" w:sz="8" w:space="0" w:color="auto"/>
              <w:right w:val="single" w:sz="8" w:space="0" w:color="auto"/>
            </w:tcBorders>
            <w:shd w:val="clear" w:color="auto" w:fill="auto"/>
            <w:noWrap/>
            <w:vAlign w:val="center"/>
          </w:tcPr>
          <w:p w14:paraId="4A0F7180" w14:textId="77777777" w:rsidR="00335619" w:rsidRPr="0023367D" w:rsidRDefault="00335619" w:rsidP="00335619">
            <w:pPr>
              <w:jc w:val="center"/>
              <w:rPr>
                <w:color w:val="000000"/>
                <w:sz w:val="19"/>
                <w:szCs w:val="19"/>
              </w:rPr>
            </w:pPr>
            <w:r w:rsidRPr="0023367D">
              <w:rPr>
                <w:color w:val="000000"/>
                <w:sz w:val="19"/>
                <w:szCs w:val="19"/>
              </w:rPr>
              <w:t>751</w:t>
            </w:r>
          </w:p>
        </w:tc>
        <w:tc>
          <w:tcPr>
            <w:tcW w:w="971" w:type="dxa"/>
            <w:tcBorders>
              <w:top w:val="nil"/>
              <w:left w:val="nil"/>
              <w:bottom w:val="single" w:sz="8" w:space="0" w:color="auto"/>
              <w:right w:val="single" w:sz="8" w:space="0" w:color="auto"/>
            </w:tcBorders>
            <w:shd w:val="clear" w:color="auto" w:fill="auto"/>
            <w:noWrap/>
            <w:vAlign w:val="center"/>
          </w:tcPr>
          <w:p w14:paraId="4D822154" w14:textId="77777777" w:rsidR="00335619" w:rsidRPr="0023367D" w:rsidRDefault="00335619" w:rsidP="00335619">
            <w:pPr>
              <w:jc w:val="center"/>
              <w:rPr>
                <w:color w:val="000000"/>
                <w:sz w:val="19"/>
                <w:szCs w:val="19"/>
              </w:rPr>
            </w:pPr>
            <w:r w:rsidRPr="0023367D">
              <w:rPr>
                <w:color w:val="000000"/>
                <w:sz w:val="19"/>
                <w:szCs w:val="19"/>
              </w:rPr>
              <w:t>31.3%</w:t>
            </w:r>
          </w:p>
        </w:tc>
        <w:tc>
          <w:tcPr>
            <w:tcW w:w="1067" w:type="dxa"/>
            <w:tcBorders>
              <w:top w:val="nil"/>
              <w:left w:val="nil"/>
              <w:bottom w:val="single" w:sz="8" w:space="0" w:color="auto"/>
              <w:right w:val="single" w:sz="8" w:space="0" w:color="auto"/>
            </w:tcBorders>
            <w:shd w:val="clear" w:color="auto" w:fill="auto"/>
            <w:vAlign w:val="center"/>
          </w:tcPr>
          <w:p w14:paraId="14456797" w14:textId="77777777" w:rsidR="00335619" w:rsidRPr="0023367D" w:rsidRDefault="00335619" w:rsidP="00335619">
            <w:pPr>
              <w:jc w:val="center"/>
              <w:rPr>
                <w:color w:val="000000"/>
                <w:sz w:val="19"/>
                <w:szCs w:val="19"/>
              </w:rPr>
            </w:pPr>
            <w:r w:rsidRPr="0023367D">
              <w:rPr>
                <w:color w:val="000000"/>
                <w:sz w:val="19"/>
                <w:szCs w:val="19"/>
              </w:rPr>
              <w:t>23.6%</w:t>
            </w:r>
          </w:p>
        </w:tc>
        <w:tc>
          <w:tcPr>
            <w:tcW w:w="1292" w:type="dxa"/>
            <w:tcBorders>
              <w:top w:val="nil"/>
              <w:left w:val="nil"/>
              <w:bottom w:val="single" w:sz="8" w:space="0" w:color="auto"/>
              <w:right w:val="single" w:sz="12" w:space="0" w:color="auto"/>
            </w:tcBorders>
            <w:vAlign w:val="center"/>
          </w:tcPr>
          <w:p w14:paraId="45A3B7B0" w14:textId="77777777" w:rsidR="00335619" w:rsidRPr="0023367D" w:rsidRDefault="00335619" w:rsidP="00335619">
            <w:pPr>
              <w:jc w:val="center"/>
              <w:rPr>
                <w:color w:val="000000"/>
                <w:sz w:val="19"/>
                <w:szCs w:val="19"/>
              </w:rPr>
            </w:pPr>
            <w:r w:rsidRPr="0023367D">
              <w:rPr>
                <w:color w:val="000000"/>
                <w:sz w:val="19"/>
                <w:szCs w:val="19"/>
              </w:rPr>
              <w:t>55.4%</w:t>
            </w:r>
          </w:p>
        </w:tc>
        <w:tc>
          <w:tcPr>
            <w:tcW w:w="720" w:type="dxa"/>
            <w:tcBorders>
              <w:top w:val="nil"/>
              <w:left w:val="single" w:sz="12" w:space="0" w:color="auto"/>
              <w:bottom w:val="single" w:sz="8" w:space="0" w:color="auto"/>
              <w:right w:val="single" w:sz="8" w:space="0" w:color="auto"/>
            </w:tcBorders>
            <w:shd w:val="clear" w:color="auto" w:fill="auto"/>
            <w:vAlign w:val="center"/>
          </w:tcPr>
          <w:p w14:paraId="34CABEBE" w14:textId="77777777" w:rsidR="00335619" w:rsidRPr="0023367D" w:rsidRDefault="00335619" w:rsidP="00335619">
            <w:pPr>
              <w:jc w:val="center"/>
              <w:rPr>
                <w:color w:val="000000"/>
                <w:sz w:val="19"/>
                <w:szCs w:val="19"/>
              </w:rPr>
            </w:pPr>
            <w:r w:rsidRPr="0023367D">
              <w:rPr>
                <w:color w:val="000000"/>
                <w:sz w:val="19"/>
                <w:szCs w:val="19"/>
              </w:rPr>
              <w:t>260</w:t>
            </w:r>
          </w:p>
        </w:tc>
        <w:tc>
          <w:tcPr>
            <w:tcW w:w="1176" w:type="dxa"/>
            <w:tcBorders>
              <w:top w:val="nil"/>
              <w:left w:val="nil"/>
              <w:bottom w:val="single" w:sz="8" w:space="0" w:color="auto"/>
              <w:right w:val="single" w:sz="8" w:space="0" w:color="auto"/>
            </w:tcBorders>
            <w:shd w:val="clear" w:color="auto" w:fill="auto"/>
            <w:vAlign w:val="center"/>
          </w:tcPr>
          <w:p w14:paraId="610456C3" w14:textId="77777777" w:rsidR="00335619" w:rsidRPr="0023367D" w:rsidRDefault="00335619" w:rsidP="00335619">
            <w:pPr>
              <w:jc w:val="center"/>
              <w:rPr>
                <w:color w:val="000000"/>
                <w:sz w:val="19"/>
                <w:szCs w:val="19"/>
              </w:rPr>
            </w:pPr>
            <w:r w:rsidRPr="0023367D">
              <w:rPr>
                <w:color w:val="000000"/>
                <w:sz w:val="19"/>
                <w:szCs w:val="19"/>
              </w:rPr>
              <w:t>44.6%</w:t>
            </w:r>
          </w:p>
        </w:tc>
        <w:tc>
          <w:tcPr>
            <w:tcW w:w="1074" w:type="dxa"/>
            <w:tcBorders>
              <w:top w:val="nil"/>
              <w:left w:val="nil"/>
              <w:bottom w:val="single" w:sz="8" w:space="0" w:color="auto"/>
              <w:right w:val="single" w:sz="8" w:space="0" w:color="auto"/>
            </w:tcBorders>
            <w:shd w:val="clear" w:color="auto" w:fill="auto"/>
            <w:vAlign w:val="center"/>
          </w:tcPr>
          <w:p w14:paraId="7E816B93" w14:textId="77777777" w:rsidR="00335619" w:rsidRPr="0023367D" w:rsidRDefault="00335619" w:rsidP="00335619">
            <w:pPr>
              <w:jc w:val="center"/>
              <w:rPr>
                <w:color w:val="000000"/>
                <w:sz w:val="19"/>
                <w:szCs w:val="19"/>
              </w:rPr>
            </w:pPr>
            <w:r w:rsidRPr="0023367D">
              <w:rPr>
                <w:color w:val="000000"/>
                <w:sz w:val="19"/>
                <w:szCs w:val="19"/>
              </w:rPr>
              <w:t>27.8%</w:t>
            </w:r>
          </w:p>
        </w:tc>
        <w:tc>
          <w:tcPr>
            <w:tcW w:w="1260" w:type="dxa"/>
            <w:tcBorders>
              <w:top w:val="nil"/>
              <w:left w:val="nil"/>
              <w:bottom w:val="single" w:sz="8" w:space="0" w:color="auto"/>
              <w:right w:val="single" w:sz="4" w:space="0" w:color="auto"/>
            </w:tcBorders>
            <w:shd w:val="clear" w:color="auto" w:fill="auto"/>
            <w:noWrap/>
            <w:vAlign w:val="center"/>
          </w:tcPr>
          <w:p w14:paraId="4608E674" w14:textId="77777777" w:rsidR="00335619" w:rsidRPr="0023367D" w:rsidRDefault="00335619" w:rsidP="00335619">
            <w:pPr>
              <w:jc w:val="center"/>
              <w:rPr>
                <w:color w:val="000000"/>
                <w:sz w:val="19"/>
                <w:szCs w:val="19"/>
              </w:rPr>
            </w:pPr>
            <w:r w:rsidRPr="0023367D">
              <w:rPr>
                <w:color w:val="000000"/>
                <w:sz w:val="19"/>
                <w:szCs w:val="19"/>
              </w:rPr>
              <w:t>55.2%</w:t>
            </w:r>
          </w:p>
        </w:tc>
      </w:tr>
      <w:tr w:rsidR="00335619" w:rsidRPr="0023367D" w14:paraId="36D6E695"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1D2D17AA" w14:textId="77777777" w:rsidR="00335619" w:rsidRPr="0023367D" w:rsidRDefault="00335619" w:rsidP="00335619">
            <w:pPr>
              <w:jc w:val="center"/>
              <w:rPr>
                <w:color w:val="000000"/>
                <w:sz w:val="19"/>
                <w:szCs w:val="19"/>
              </w:rPr>
            </w:pPr>
            <w:r w:rsidRPr="0023367D">
              <w:rPr>
                <w:bCs/>
                <w:color w:val="000000"/>
                <w:sz w:val="19"/>
                <w:szCs w:val="19"/>
                <w:lang w:bidi="he-IL"/>
              </w:rPr>
              <w:t>2007</w:t>
            </w:r>
          </w:p>
        </w:tc>
        <w:tc>
          <w:tcPr>
            <w:tcW w:w="900" w:type="dxa"/>
            <w:tcBorders>
              <w:top w:val="nil"/>
              <w:left w:val="nil"/>
              <w:bottom w:val="single" w:sz="8" w:space="0" w:color="auto"/>
              <w:right w:val="single" w:sz="8" w:space="0" w:color="auto"/>
            </w:tcBorders>
            <w:shd w:val="clear" w:color="auto" w:fill="auto"/>
            <w:noWrap/>
            <w:vAlign w:val="center"/>
          </w:tcPr>
          <w:p w14:paraId="65F19E1C" w14:textId="77777777" w:rsidR="00335619" w:rsidRPr="0023367D" w:rsidRDefault="00335619" w:rsidP="00335619">
            <w:pPr>
              <w:jc w:val="center"/>
              <w:rPr>
                <w:color w:val="000000"/>
                <w:sz w:val="19"/>
                <w:szCs w:val="19"/>
              </w:rPr>
            </w:pPr>
            <w:r w:rsidRPr="0023367D">
              <w:rPr>
                <w:color w:val="000000"/>
                <w:sz w:val="19"/>
                <w:szCs w:val="19"/>
              </w:rPr>
              <w:t>759</w:t>
            </w:r>
          </w:p>
        </w:tc>
        <w:tc>
          <w:tcPr>
            <w:tcW w:w="971" w:type="dxa"/>
            <w:tcBorders>
              <w:top w:val="nil"/>
              <w:left w:val="nil"/>
              <w:bottom w:val="single" w:sz="8" w:space="0" w:color="auto"/>
              <w:right w:val="single" w:sz="8" w:space="0" w:color="auto"/>
            </w:tcBorders>
            <w:shd w:val="clear" w:color="auto" w:fill="auto"/>
            <w:noWrap/>
            <w:vAlign w:val="center"/>
          </w:tcPr>
          <w:p w14:paraId="014B91B6" w14:textId="77777777" w:rsidR="00335619" w:rsidRPr="0023367D" w:rsidRDefault="00335619" w:rsidP="00335619">
            <w:pPr>
              <w:jc w:val="center"/>
              <w:rPr>
                <w:color w:val="000000"/>
                <w:sz w:val="19"/>
                <w:szCs w:val="19"/>
              </w:rPr>
            </w:pPr>
            <w:r w:rsidRPr="0023367D">
              <w:rPr>
                <w:color w:val="000000"/>
                <w:sz w:val="19"/>
                <w:szCs w:val="19"/>
              </w:rPr>
              <w:t>32.4%</w:t>
            </w:r>
          </w:p>
        </w:tc>
        <w:tc>
          <w:tcPr>
            <w:tcW w:w="1067" w:type="dxa"/>
            <w:tcBorders>
              <w:top w:val="nil"/>
              <w:left w:val="nil"/>
              <w:bottom w:val="single" w:sz="8" w:space="0" w:color="auto"/>
              <w:right w:val="single" w:sz="8" w:space="0" w:color="auto"/>
            </w:tcBorders>
            <w:shd w:val="clear" w:color="auto" w:fill="auto"/>
            <w:vAlign w:val="center"/>
          </w:tcPr>
          <w:p w14:paraId="4B21980E" w14:textId="77777777" w:rsidR="00335619" w:rsidRPr="0023367D" w:rsidRDefault="00335619" w:rsidP="00335619">
            <w:pPr>
              <w:jc w:val="center"/>
              <w:rPr>
                <w:color w:val="000000"/>
                <w:sz w:val="19"/>
                <w:szCs w:val="19"/>
              </w:rPr>
            </w:pPr>
            <w:r w:rsidRPr="0023367D">
              <w:rPr>
                <w:color w:val="000000"/>
                <w:sz w:val="19"/>
                <w:szCs w:val="19"/>
              </w:rPr>
              <w:t>25.6%</w:t>
            </w:r>
          </w:p>
        </w:tc>
        <w:tc>
          <w:tcPr>
            <w:tcW w:w="1292" w:type="dxa"/>
            <w:tcBorders>
              <w:top w:val="nil"/>
              <w:left w:val="nil"/>
              <w:bottom w:val="single" w:sz="8" w:space="0" w:color="auto"/>
              <w:right w:val="single" w:sz="12" w:space="0" w:color="auto"/>
            </w:tcBorders>
            <w:vAlign w:val="center"/>
          </w:tcPr>
          <w:p w14:paraId="62D33FFB" w14:textId="77777777" w:rsidR="00335619" w:rsidRPr="0023367D" w:rsidRDefault="00335619" w:rsidP="00335619">
            <w:pPr>
              <w:jc w:val="center"/>
              <w:rPr>
                <w:color w:val="000000"/>
                <w:sz w:val="19"/>
                <w:szCs w:val="19"/>
              </w:rPr>
            </w:pPr>
            <w:r w:rsidRPr="0023367D">
              <w:rPr>
                <w:color w:val="000000"/>
                <w:sz w:val="19"/>
                <w:szCs w:val="19"/>
              </w:rPr>
              <w:t>55.4%</w:t>
            </w:r>
          </w:p>
        </w:tc>
        <w:tc>
          <w:tcPr>
            <w:tcW w:w="720" w:type="dxa"/>
            <w:tcBorders>
              <w:top w:val="nil"/>
              <w:left w:val="single" w:sz="12" w:space="0" w:color="auto"/>
              <w:bottom w:val="single" w:sz="8" w:space="0" w:color="auto"/>
              <w:right w:val="single" w:sz="8" w:space="0" w:color="auto"/>
            </w:tcBorders>
            <w:shd w:val="clear" w:color="auto" w:fill="auto"/>
            <w:vAlign w:val="center"/>
          </w:tcPr>
          <w:p w14:paraId="5D4A5EE4" w14:textId="77777777" w:rsidR="00335619" w:rsidRPr="0023367D" w:rsidRDefault="00335619" w:rsidP="00335619">
            <w:pPr>
              <w:jc w:val="center"/>
              <w:rPr>
                <w:color w:val="000000"/>
                <w:sz w:val="19"/>
                <w:szCs w:val="19"/>
              </w:rPr>
            </w:pPr>
            <w:r w:rsidRPr="0023367D">
              <w:rPr>
                <w:color w:val="000000"/>
                <w:sz w:val="19"/>
                <w:szCs w:val="19"/>
              </w:rPr>
              <w:t>272</w:t>
            </w:r>
          </w:p>
        </w:tc>
        <w:tc>
          <w:tcPr>
            <w:tcW w:w="1176" w:type="dxa"/>
            <w:tcBorders>
              <w:top w:val="nil"/>
              <w:left w:val="nil"/>
              <w:bottom w:val="single" w:sz="8" w:space="0" w:color="auto"/>
              <w:right w:val="single" w:sz="8" w:space="0" w:color="auto"/>
            </w:tcBorders>
            <w:shd w:val="clear" w:color="auto" w:fill="auto"/>
            <w:vAlign w:val="center"/>
          </w:tcPr>
          <w:p w14:paraId="09274173" w14:textId="77777777" w:rsidR="00335619" w:rsidRPr="0023367D" w:rsidRDefault="00335619" w:rsidP="00335619">
            <w:pPr>
              <w:jc w:val="center"/>
              <w:rPr>
                <w:color w:val="000000"/>
                <w:sz w:val="19"/>
                <w:szCs w:val="19"/>
              </w:rPr>
            </w:pPr>
            <w:r w:rsidRPr="0023367D">
              <w:rPr>
                <w:color w:val="000000"/>
                <w:sz w:val="19"/>
                <w:szCs w:val="19"/>
              </w:rPr>
              <w:t>40.6%</w:t>
            </w:r>
          </w:p>
        </w:tc>
        <w:tc>
          <w:tcPr>
            <w:tcW w:w="1074" w:type="dxa"/>
            <w:tcBorders>
              <w:top w:val="nil"/>
              <w:left w:val="nil"/>
              <w:bottom w:val="single" w:sz="8" w:space="0" w:color="auto"/>
              <w:right w:val="single" w:sz="8" w:space="0" w:color="auto"/>
            </w:tcBorders>
            <w:shd w:val="clear" w:color="auto" w:fill="auto"/>
            <w:vAlign w:val="center"/>
          </w:tcPr>
          <w:p w14:paraId="42068C7A" w14:textId="77777777" w:rsidR="00335619" w:rsidRPr="0023367D" w:rsidRDefault="00335619" w:rsidP="00335619">
            <w:pPr>
              <w:jc w:val="center"/>
              <w:rPr>
                <w:color w:val="000000"/>
                <w:sz w:val="19"/>
                <w:szCs w:val="19"/>
              </w:rPr>
            </w:pPr>
            <w:r w:rsidRPr="0023367D">
              <w:rPr>
                <w:color w:val="000000"/>
                <w:sz w:val="19"/>
                <w:szCs w:val="19"/>
              </w:rPr>
              <w:t>26.3%</w:t>
            </w:r>
          </w:p>
        </w:tc>
        <w:tc>
          <w:tcPr>
            <w:tcW w:w="1260" w:type="dxa"/>
            <w:tcBorders>
              <w:top w:val="nil"/>
              <w:left w:val="nil"/>
              <w:bottom w:val="single" w:sz="8" w:space="0" w:color="auto"/>
              <w:right w:val="single" w:sz="4" w:space="0" w:color="auto"/>
            </w:tcBorders>
            <w:shd w:val="clear" w:color="auto" w:fill="auto"/>
            <w:noWrap/>
            <w:vAlign w:val="center"/>
          </w:tcPr>
          <w:p w14:paraId="10480AE6" w14:textId="77777777" w:rsidR="00335619" w:rsidRPr="0023367D" w:rsidRDefault="00335619" w:rsidP="00335619">
            <w:pPr>
              <w:jc w:val="center"/>
              <w:rPr>
                <w:color w:val="000000"/>
                <w:sz w:val="19"/>
                <w:szCs w:val="19"/>
              </w:rPr>
            </w:pPr>
            <w:r w:rsidRPr="0023367D">
              <w:rPr>
                <w:color w:val="000000"/>
                <w:sz w:val="19"/>
                <w:szCs w:val="19"/>
              </w:rPr>
              <w:t>53.5%</w:t>
            </w:r>
          </w:p>
        </w:tc>
      </w:tr>
      <w:tr w:rsidR="00335619" w:rsidRPr="0023367D" w14:paraId="451BE732"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6D58B17A" w14:textId="77777777" w:rsidR="00335619" w:rsidRPr="0023367D" w:rsidRDefault="00335619" w:rsidP="00335619">
            <w:pPr>
              <w:jc w:val="center"/>
              <w:rPr>
                <w:color w:val="000000"/>
                <w:sz w:val="19"/>
                <w:szCs w:val="19"/>
              </w:rPr>
            </w:pPr>
            <w:r w:rsidRPr="0023367D">
              <w:rPr>
                <w:bCs/>
                <w:color w:val="000000"/>
                <w:sz w:val="19"/>
                <w:szCs w:val="19"/>
                <w:lang w:bidi="he-IL"/>
              </w:rPr>
              <w:t>2008</w:t>
            </w:r>
          </w:p>
        </w:tc>
        <w:tc>
          <w:tcPr>
            <w:tcW w:w="900" w:type="dxa"/>
            <w:tcBorders>
              <w:top w:val="nil"/>
              <w:left w:val="nil"/>
              <w:bottom w:val="single" w:sz="8" w:space="0" w:color="auto"/>
              <w:right w:val="single" w:sz="8" w:space="0" w:color="auto"/>
            </w:tcBorders>
            <w:shd w:val="clear" w:color="auto" w:fill="auto"/>
            <w:noWrap/>
            <w:vAlign w:val="center"/>
          </w:tcPr>
          <w:p w14:paraId="7E9D7CDE" w14:textId="77777777" w:rsidR="00335619" w:rsidRPr="0023367D" w:rsidRDefault="00335619" w:rsidP="00335619">
            <w:pPr>
              <w:jc w:val="center"/>
              <w:rPr>
                <w:color w:val="000000"/>
                <w:sz w:val="19"/>
                <w:szCs w:val="19"/>
              </w:rPr>
            </w:pPr>
            <w:r w:rsidRPr="0023367D">
              <w:rPr>
                <w:color w:val="000000"/>
                <w:sz w:val="19"/>
                <w:szCs w:val="19"/>
              </w:rPr>
              <w:t>379</w:t>
            </w:r>
          </w:p>
        </w:tc>
        <w:tc>
          <w:tcPr>
            <w:tcW w:w="971" w:type="dxa"/>
            <w:tcBorders>
              <w:top w:val="nil"/>
              <w:left w:val="nil"/>
              <w:bottom w:val="single" w:sz="8" w:space="0" w:color="auto"/>
              <w:right w:val="single" w:sz="8" w:space="0" w:color="auto"/>
            </w:tcBorders>
            <w:shd w:val="clear" w:color="auto" w:fill="auto"/>
            <w:noWrap/>
            <w:vAlign w:val="center"/>
          </w:tcPr>
          <w:p w14:paraId="7ACC520C" w14:textId="77777777" w:rsidR="00335619" w:rsidRPr="0023367D" w:rsidRDefault="00335619" w:rsidP="00335619">
            <w:pPr>
              <w:jc w:val="center"/>
              <w:rPr>
                <w:color w:val="000000"/>
                <w:sz w:val="19"/>
                <w:szCs w:val="19"/>
              </w:rPr>
            </w:pPr>
            <w:r w:rsidRPr="0023367D">
              <w:rPr>
                <w:color w:val="000000"/>
                <w:sz w:val="19"/>
                <w:szCs w:val="19"/>
              </w:rPr>
              <w:t>32.4%</w:t>
            </w:r>
          </w:p>
        </w:tc>
        <w:tc>
          <w:tcPr>
            <w:tcW w:w="1067" w:type="dxa"/>
            <w:tcBorders>
              <w:top w:val="nil"/>
              <w:left w:val="nil"/>
              <w:bottom w:val="single" w:sz="8" w:space="0" w:color="auto"/>
              <w:right w:val="single" w:sz="8" w:space="0" w:color="auto"/>
            </w:tcBorders>
            <w:shd w:val="clear" w:color="auto" w:fill="auto"/>
            <w:vAlign w:val="center"/>
          </w:tcPr>
          <w:p w14:paraId="0B748AE0" w14:textId="77777777" w:rsidR="00335619" w:rsidRPr="0023367D" w:rsidRDefault="00335619" w:rsidP="00335619">
            <w:pPr>
              <w:jc w:val="center"/>
              <w:rPr>
                <w:color w:val="000000"/>
                <w:sz w:val="19"/>
                <w:szCs w:val="19"/>
              </w:rPr>
            </w:pPr>
            <w:r w:rsidRPr="0023367D">
              <w:rPr>
                <w:color w:val="000000"/>
                <w:sz w:val="19"/>
                <w:szCs w:val="19"/>
              </w:rPr>
              <w:t>27.0%</w:t>
            </w:r>
          </w:p>
        </w:tc>
        <w:tc>
          <w:tcPr>
            <w:tcW w:w="1292" w:type="dxa"/>
            <w:tcBorders>
              <w:top w:val="nil"/>
              <w:left w:val="nil"/>
              <w:bottom w:val="single" w:sz="8" w:space="0" w:color="auto"/>
              <w:right w:val="single" w:sz="12" w:space="0" w:color="auto"/>
            </w:tcBorders>
            <w:vAlign w:val="center"/>
          </w:tcPr>
          <w:p w14:paraId="1100783D" w14:textId="77777777" w:rsidR="00335619" w:rsidRPr="0023367D" w:rsidRDefault="00335619" w:rsidP="00335619">
            <w:pPr>
              <w:jc w:val="center"/>
              <w:rPr>
                <w:color w:val="000000"/>
                <w:sz w:val="19"/>
                <w:szCs w:val="19"/>
              </w:rPr>
            </w:pPr>
            <w:r w:rsidRPr="0023367D">
              <w:rPr>
                <w:color w:val="000000"/>
                <w:sz w:val="19"/>
                <w:szCs w:val="19"/>
              </w:rPr>
              <w:t>56.6%</w:t>
            </w:r>
          </w:p>
        </w:tc>
        <w:tc>
          <w:tcPr>
            <w:tcW w:w="720" w:type="dxa"/>
            <w:tcBorders>
              <w:top w:val="nil"/>
              <w:left w:val="single" w:sz="12" w:space="0" w:color="auto"/>
              <w:bottom w:val="single" w:sz="8" w:space="0" w:color="auto"/>
              <w:right w:val="single" w:sz="8" w:space="0" w:color="auto"/>
            </w:tcBorders>
            <w:shd w:val="clear" w:color="auto" w:fill="auto"/>
            <w:vAlign w:val="center"/>
          </w:tcPr>
          <w:p w14:paraId="5A116CDD" w14:textId="77777777" w:rsidR="00335619" w:rsidRPr="0023367D" w:rsidRDefault="00335619" w:rsidP="00335619">
            <w:pPr>
              <w:jc w:val="center"/>
              <w:rPr>
                <w:color w:val="000000"/>
                <w:sz w:val="19"/>
                <w:szCs w:val="19"/>
              </w:rPr>
            </w:pPr>
            <w:r w:rsidRPr="0023367D">
              <w:rPr>
                <w:color w:val="000000"/>
                <w:sz w:val="19"/>
                <w:szCs w:val="19"/>
              </w:rPr>
              <w:t>144</w:t>
            </w:r>
          </w:p>
        </w:tc>
        <w:tc>
          <w:tcPr>
            <w:tcW w:w="1176" w:type="dxa"/>
            <w:tcBorders>
              <w:top w:val="nil"/>
              <w:left w:val="nil"/>
              <w:bottom w:val="single" w:sz="8" w:space="0" w:color="auto"/>
              <w:right w:val="single" w:sz="8" w:space="0" w:color="auto"/>
            </w:tcBorders>
            <w:shd w:val="clear" w:color="auto" w:fill="auto"/>
            <w:vAlign w:val="center"/>
          </w:tcPr>
          <w:p w14:paraId="698A36AB" w14:textId="77777777" w:rsidR="00335619" w:rsidRPr="0023367D" w:rsidRDefault="00335619" w:rsidP="00335619">
            <w:pPr>
              <w:jc w:val="center"/>
              <w:rPr>
                <w:color w:val="000000"/>
                <w:sz w:val="19"/>
                <w:szCs w:val="19"/>
              </w:rPr>
            </w:pPr>
            <w:r w:rsidRPr="0023367D">
              <w:rPr>
                <w:color w:val="000000"/>
                <w:sz w:val="19"/>
                <w:szCs w:val="19"/>
              </w:rPr>
              <w:t>40.1%</w:t>
            </w:r>
          </w:p>
        </w:tc>
        <w:tc>
          <w:tcPr>
            <w:tcW w:w="1074" w:type="dxa"/>
            <w:tcBorders>
              <w:top w:val="nil"/>
              <w:left w:val="nil"/>
              <w:bottom w:val="single" w:sz="8" w:space="0" w:color="auto"/>
              <w:right w:val="single" w:sz="8" w:space="0" w:color="auto"/>
            </w:tcBorders>
            <w:shd w:val="clear" w:color="auto" w:fill="auto"/>
            <w:vAlign w:val="center"/>
          </w:tcPr>
          <w:p w14:paraId="76603CE6" w14:textId="77777777" w:rsidR="00335619" w:rsidRPr="0023367D" w:rsidRDefault="00335619" w:rsidP="00335619">
            <w:pPr>
              <w:jc w:val="center"/>
              <w:rPr>
                <w:color w:val="000000"/>
                <w:sz w:val="19"/>
                <w:szCs w:val="19"/>
              </w:rPr>
            </w:pPr>
            <w:r w:rsidRPr="0023367D">
              <w:rPr>
                <w:color w:val="000000"/>
                <w:sz w:val="19"/>
                <w:szCs w:val="19"/>
              </w:rPr>
              <w:t>28.4%</w:t>
            </w:r>
          </w:p>
        </w:tc>
        <w:tc>
          <w:tcPr>
            <w:tcW w:w="1260" w:type="dxa"/>
            <w:tcBorders>
              <w:top w:val="nil"/>
              <w:left w:val="nil"/>
              <w:bottom w:val="single" w:sz="8" w:space="0" w:color="auto"/>
              <w:right w:val="single" w:sz="4" w:space="0" w:color="auto"/>
            </w:tcBorders>
            <w:shd w:val="clear" w:color="auto" w:fill="auto"/>
            <w:noWrap/>
            <w:vAlign w:val="center"/>
          </w:tcPr>
          <w:p w14:paraId="650D2A48" w14:textId="77777777" w:rsidR="00335619" w:rsidRPr="0023367D" w:rsidRDefault="00335619" w:rsidP="00335619">
            <w:pPr>
              <w:jc w:val="center"/>
              <w:rPr>
                <w:color w:val="000000"/>
                <w:sz w:val="19"/>
                <w:szCs w:val="19"/>
              </w:rPr>
            </w:pPr>
            <w:r w:rsidRPr="0023367D">
              <w:rPr>
                <w:color w:val="000000"/>
                <w:sz w:val="19"/>
                <w:szCs w:val="19"/>
              </w:rPr>
              <w:t>54.5%</w:t>
            </w:r>
          </w:p>
        </w:tc>
      </w:tr>
      <w:tr w:rsidR="00335619" w:rsidRPr="0023367D" w14:paraId="6D95F79E"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5A81373D" w14:textId="77777777" w:rsidR="00335619" w:rsidRPr="0023367D" w:rsidRDefault="00335619" w:rsidP="00335619">
            <w:pPr>
              <w:jc w:val="center"/>
              <w:rPr>
                <w:color w:val="000000"/>
                <w:sz w:val="19"/>
                <w:szCs w:val="19"/>
              </w:rPr>
            </w:pPr>
            <w:r w:rsidRPr="0023367D">
              <w:rPr>
                <w:bCs/>
                <w:color w:val="000000"/>
                <w:sz w:val="19"/>
                <w:szCs w:val="19"/>
                <w:lang w:bidi="he-IL"/>
              </w:rPr>
              <w:t>2009</w:t>
            </w:r>
          </w:p>
        </w:tc>
        <w:tc>
          <w:tcPr>
            <w:tcW w:w="900" w:type="dxa"/>
            <w:tcBorders>
              <w:top w:val="nil"/>
              <w:left w:val="nil"/>
              <w:bottom w:val="single" w:sz="8" w:space="0" w:color="auto"/>
              <w:right w:val="single" w:sz="8" w:space="0" w:color="auto"/>
            </w:tcBorders>
            <w:shd w:val="clear" w:color="auto" w:fill="auto"/>
            <w:noWrap/>
            <w:vAlign w:val="center"/>
          </w:tcPr>
          <w:p w14:paraId="2A310357" w14:textId="77777777" w:rsidR="00335619" w:rsidRPr="0023367D" w:rsidRDefault="00335619" w:rsidP="00335619">
            <w:pPr>
              <w:jc w:val="center"/>
              <w:rPr>
                <w:color w:val="000000"/>
                <w:sz w:val="19"/>
                <w:szCs w:val="19"/>
              </w:rPr>
            </w:pPr>
            <w:r w:rsidRPr="0023367D">
              <w:rPr>
                <w:color w:val="000000"/>
                <w:sz w:val="19"/>
                <w:szCs w:val="19"/>
              </w:rPr>
              <w:t>368</w:t>
            </w:r>
          </w:p>
        </w:tc>
        <w:tc>
          <w:tcPr>
            <w:tcW w:w="971" w:type="dxa"/>
            <w:tcBorders>
              <w:top w:val="nil"/>
              <w:left w:val="nil"/>
              <w:bottom w:val="single" w:sz="8" w:space="0" w:color="auto"/>
              <w:right w:val="single" w:sz="8" w:space="0" w:color="auto"/>
            </w:tcBorders>
            <w:shd w:val="clear" w:color="auto" w:fill="auto"/>
            <w:noWrap/>
            <w:vAlign w:val="center"/>
          </w:tcPr>
          <w:p w14:paraId="3559F4D3" w14:textId="77777777" w:rsidR="00335619" w:rsidRPr="0023367D" w:rsidRDefault="00335619" w:rsidP="00335619">
            <w:pPr>
              <w:jc w:val="center"/>
              <w:rPr>
                <w:color w:val="000000"/>
                <w:sz w:val="19"/>
                <w:szCs w:val="19"/>
              </w:rPr>
            </w:pPr>
            <w:r w:rsidRPr="0023367D">
              <w:rPr>
                <w:color w:val="000000"/>
                <w:sz w:val="19"/>
                <w:szCs w:val="19"/>
              </w:rPr>
              <w:t>34.6%</w:t>
            </w:r>
          </w:p>
        </w:tc>
        <w:tc>
          <w:tcPr>
            <w:tcW w:w="1067" w:type="dxa"/>
            <w:tcBorders>
              <w:top w:val="nil"/>
              <w:left w:val="nil"/>
              <w:bottom w:val="single" w:sz="8" w:space="0" w:color="auto"/>
              <w:right w:val="single" w:sz="8" w:space="0" w:color="auto"/>
            </w:tcBorders>
            <w:shd w:val="clear" w:color="auto" w:fill="auto"/>
            <w:vAlign w:val="center"/>
          </w:tcPr>
          <w:p w14:paraId="571222C9" w14:textId="77777777" w:rsidR="00335619" w:rsidRPr="0023367D" w:rsidRDefault="00335619" w:rsidP="00335619">
            <w:pPr>
              <w:jc w:val="center"/>
              <w:rPr>
                <w:color w:val="000000"/>
                <w:sz w:val="19"/>
                <w:szCs w:val="19"/>
              </w:rPr>
            </w:pPr>
            <w:r w:rsidRPr="0023367D">
              <w:rPr>
                <w:color w:val="000000"/>
                <w:sz w:val="19"/>
                <w:szCs w:val="19"/>
              </w:rPr>
              <w:t>29.1%</w:t>
            </w:r>
          </w:p>
        </w:tc>
        <w:tc>
          <w:tcPr>
            <w:tcW w:w="1292" w:type="dxa"/>
            <w:tcBorders>
              <w:top w:val="nil"/>
              <w:left w:val="nil"/>
              <w:bottom w:val="single" w:sz="8" w:space="0" w:color="auto"/>
              <w:right w:val="single" w:sz="12" w:space="0" w:color="auto"/>
            </w:tcBorders>
            <w:vAlign w:val="center"/>
          </w:tcPr>
          <w:p w14:paraId="6DCD5494" w14:textId="77777777" w:rsidR="00335619" w:rsidRPr="0023367D" w:rsidRDefault="00335619" w:rsidP="00335619">
            <w:pPr>
              <w:jc w:val="center"/>
              <w:rPr>
                <w:color w:val="000000"/>
                <w:sz w:val="19"/>
                <w:szCs w:val="19"/>
              </w:rPr>
            </w:pPr>
            <w:r w:rsidRPr="0023367D">
              <w:rPr>
                <w:color w:val="000000"/>
                <w:sz w:val="19"/>
                <w:szCs w:val="19"/>
              </w:rPr>
              <w:t>56.0%</w:t>
            </w:r>
          </w:p>
        </w:tc>
        <w:tc>
          <w:tcPr>
            <w:tcW w:w="720" w:type="dxa"/>
            <w:tcBorders>
              <w:top w:val="nil"/>
              <w:left w:val="single" w:sz="12" w:space="0" w:color="auto"/>
              <w:bottom w:val="single" w:sz="8" w:space="0" w:color="auto"/>
              <w:right w:val="single" w:sz="8" w:space="0" w:color="auto"/>
            </w:tcBorders>
            <w:shd w:val="clear" w:color="auto" w:fill="auto"/>
            <w:vAlign w:val="center"/>
          </w:tcPr>
          <w:p w14:paraId="7932B09E" w14:textId="77777777" w:rsidR="00335619" w:rsidRPr="0023367D" w:rsidRDefault="00335619" w:rsidP="00335619">
            <w:pPr>
              <w:jc w:val="center"/>
              <w:rPr>
                <w:color w:val="000000"/>
                <w:sz w:val="19"/>
                <w:szCs w:val="19"/>
              </w:rPr>
            </w:pPr>
            <w:r w:rsidRPr="0023367D">
              <w:rPr>
                <w:color w:val="000000"/>
                <w:sz w:val="19"/>
                <w:szCs w:val="19"/>
              </w:rPr>
              <w:t>135</w:t>
            </w:r>
          </w:p>
        </w:tc>
        <w:tc>
          <w:tcPr>
            <w:tcW w:w="1176" w:type="dxa"/>
            <w:tcBorders>
              <w:top w:val="nil"/>
              <w:left w:val="nil"/>
              <w:bottom w:val="single" w:sz="8" w:space="0" w:color="auto"/>
              <w:right w:val="single" w:sz="8" w:space="0" w:color="auto"/>
            </w:tcBorders>
            <w:shd w:val="clear" w:color="auto" w:fill="auto"/>
            <w:vAlign w:val="center"/>
          </w:tcPr>
          <w:p w14:paraId="28AE8B2C" w14:textId="77777777" w:rsidR="00335619" w:rsidRPr="0023367D" w:rsidRDefault="00335619" w:rsidP="00335619">
            <w:pPr>
              <w:jc w:val="center"/>
              <w:rPr>
                <w:color w:val="000000"/>
                <w:sz w:val="19"/>
                <w:szCs w:val="19"/>
              </w:rPr>
            </w:pPr>
            <w:r w:rsidRPr="0023367D">
              <w:rPr>
                <w:color w:val="000000"/>
                <w:sz w:val="19"/>
                <w:szCs w:val="19"/>
              </w:rPr>
              <w:t>43.7%</w:t>
            </w:r>
          </w:p>
        </w:tc>
        <w:tc>
          <w:tcPr>
            <w:tcW w:w="1074" w:type="dxa"/>
            <w:tcBorders>
              <w:top w:val="nil"/>
              <w:left w:val="nil"/>
              <w:bottom w:val="single" w:sz="8" w:space="0" w:color="auto"/>
              <w:right w:val="single" w:sz="8" w:space="0" w:color="auto"/>
            </w:tcBorders>
            <w:shd w:val="clear" w:color="auto" w:fill="auto"/>
            <w:vAlign w:val="center"/>
          </w:tcPr>
          <w:p w14:paraId="4B1DCE82" w14:textId="77777777" w:rsidR="00335619" w:rsidRPr="0023367D" w:rsidRDefault="00335619" w:rsidP="00335619">
            <w:pPr>
              <w:jc w:val="center"/>
              <w:rPr>
                <w:color w:val="000000"/>
                <w:sz w:val="19"/>
                <w:szCs w:val="19"/>
              </w:rPr>
            </w:pPr>
            <w:r w:rsidRPr="0023367D">
              <w:rPr>
                <w:color w:val="000000"/>
                <w:sz w:val="19"/>
                <w:szCs w:val="19"/>
              </w:rPr>
              <w:t>31.2%</w:t>
            </w:r>
          </w:p>
        </w:tc>
        <w:tc>
          <w:tcPr>
            <w:tcW w:w="1260" w:type="dxa"/>
            <w:tcBorders>
              <w:top w:val="nil"/>
              <w:left w:val="nil"/>
              <w:bottom w:val="single" w:sz="8" w:space="0" w:color="auto"/>
              <w:right w:val="single" w:sz="4" w:space="0" w:color="auto"/>
            </w:tcBorders>
            <w:shd w:val="clear" w:color="auto" w:fill="auto"/>
            <w:noWrap/>
            <w:vAlign w:val="center"/>
          </w:tcPr>
          <w:p w14:paraId="51881B8E" w14:textId="77777777" w:rsidR="00335619" w:rsidRPr="0023367D" w:rsidRDefault="00335619" w:rsidP="00335619">
            <w:pPr>
              <w:jc w:val="center"/>
              <w:rPr>
                <w:color w:val="000000"/>
                <w:sz w:val="19"/>
                <w:szCs w:val="19"/>
              </w:rPr>
            </w:pPr>
            <w:r w:rsidRPr="0023367D">
              <w:rPr>
                <w:color w:val="000000"/>
                <w:sz w:val="19"/>
                <w:szCs w:val="19"/>
              </w:rPr>
              <w:t>53.5%</w:t>
            </w:r>
          </w:p>
        </w:tc>
      </w:tr>
      <w:tr w:rsidR="00335619" w:rsidRPr="0023367D" w14:paraId="28370B0A"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2D494ADB" w14:textId="77777777" w:rsidR="00335619" w:rsidRPr="0023367D" w:rsidRDefault="00335619" w:rsidP="00335619">
            <w:pPr>
              <w:jc w:val="center"/>
              <w:rPr>
                <w:color w:val="000000"/>
                <w:sz w:val="19"/>
                <w:szCs w:val="19"/>
              </w:rPr>
            </w:pPr>
            <w:r w:rsidRPr="0023367D">
              <w:rPr>
                <w:bCs/>
                <w:color w:val="000000"/>
                <w:sz w:val="19"/>
                <w:szCs w:val="19"/>
                <w:lang w:bidi="he-IL"/>
              </w:rPr>
              <w:t>2010</w:t>
            </w:r>
          </w:p>
        </w:tc>
        <w:tc>
          <w:tcPr>
            <w:tcW w:w="900" w:type="dxa"/>
            <w:tcBorders>
              <w:top w:val="nil"/>
              <w:left w:val="nil"/>
              <w:bottom w:val="single" w:sz="8" w:space="0" w:color="auto"/>
              <w:right w:val="single" w:sz="8" w:space="0" w:color="auto"/>
            </w:tcBorders>
            <w:shd w:val="clear" w:color="auto" w:fill="auto"/>
            <w:noWrap/>
            <w:vAlign w:val="center"/>
          </w:tcPr>
          <w:p w14:paraId="6FC9811B" w14:textId="77777777" w:rsidR="00335619" w:rsidRPr="0023367D" w:rsidRDefault="00335619" w:rsidP="00335619">
            <w:pPr>
              <w:jc w:val="center"/>
              <w:rPr>
                <w:color w:val="000000"/>
                <w:sz w:val="19"/>
                <w:szCs w:val="19"/>
              </w:rPr>
            </w:pPr>
            <w:r w:rsidRPr="0023367D">
              <w:rPr>
                <w:color w:val="000000"/>
                <w:sz w:val="19"/>
                <w:szCs w:val="19"/>
              </w:rPr>
              <w:t>390</w:t>
            </w:r>
          </w:p>
        </w:tc>
        <w:tc>
          <w:tcPr>
            <w:tcW w:w="971" w:type="dxa"/>
            <w:tcBorders>
              <w:top w:val="nil"/>
              <w:left w:val="nil"/>
              <w:bottom w:val="single" w:sz="8" w:space="0" w:color="auto"/>
              <w:right w:val="single" w:sz="8" w:space="0" w:color="auto"/>
            </w:tcBorders>
            <w:shd w:val="clear" w:color="auto" w:fill="auto"/>
            <w:noWrap/>
            <w:vAlign w:val="center"/>
          </w:tcPr>
          <w:p w14:paraId="206AE8F0" w14:textId="77777777" w:rsidR="00335619" w:rsidRPr="0023367D" w:rsidRDefault="00335619" w:rsidP="00335619">
            <w:pPr>
              <w:jc w:val="center"/>
              <w:rPr>
                <w:color w:val="000000"/>
                <w:sz w:val="19"/>
                <w:szCs w:val="19"/>
              </w:rPr>
            </w:pPr>
            <w:r w:rsidRPr="0023367D">
              <w:rPr>
                <w:color w:val="000000"/>
                <w:sz w:val="19"/>
                <w:szCs w:val="19"/>
              </w:rPr>
              <w:t>35.3%</w:t>
            </w:r>
          </w:p>
        </w:tc>
        <w:tc>
          <w:tcPr>
            <w:tcW w:w="1067" w:type="dxa"/>
            <w:tcBorders>
              <w:top w:val="nil"/>
              <w:left w:val="nil"/>
              <w:bottom w:val="single" w:sz="8" w:space="0" w:color="auto"/>
              <w:right w:val="single" w:sz="8" w:space="0" w:color="auto"/>
            </w:tcBorders>
            <w:shd w:val="clear" w:color="auto" w:fill="auto"/>
            <w:vAlign w:val="center"/>
          </w:tcPr>
          <w:p w14:paraId="40770A0B" w14:textId="77777777" w:rsidR="00335619" w:rsidRPr="0023367D" w:rsidRDefault="00335619" w:rsidP="00335619">
            <w:pPr>
              <w:jc w:val="center"/>
              <w:rPr>
                <w:color w:val="000000"/>
                <w:sz w:val="19"/>
                <w:szCs w:val="19"/>
              </w:rPr>
            </w:pPr>
            <w:r w:rsidRPr="0023367D">
              <w:rPr>
                <w:color w:val="000000"/>
                <w:sz w:val="19"/>
                <w:szCs w:val="19"/>
              </w:rPr>
              <w:t>30.3%</w:t>
            </w:r>
          </w:p>
        </w:tc>
        <w:tc>
          <w:tcPr>
            <w:tcW w:w="1292" w:type="dxa"/>
            <w:tcBorders>
              <w:top w:val="nil"/>
              <w:left w:val="nil"/>
              <w:bottom w:val="single" w:sz="8" w:space="0" w:color="auto"/>
              <w:right w:val="single" w:sz="12" w:space="0" w:color="auto"/>
            </w:tcBorders>
            <w:vAlign w:val="center"/>
          </w:tcPr>
          <w:p w14:paraId="31C90D15" w14:textId="77777777" w:rsidR="00335619" w:rsidRPr="0023367D" w:rsidRDefault="00335619" w:rsidP="00335619">
            <w:pPr>
              <w:jc w:val="center"/>
              <w:rPr>
                <w:color w:val="000000"/>
                <w:sz w:val="19"/>
                <w:szCs w:val="19"/>
              </w:rPr>
            </w:pPr>
            <w:r w:rsidRPr="0023367D">
              <w:rPr>
                <w:color w:val="000000"/>
                <w:sz w:val="19"/>
                <w:szCs w:val="19"/>
              </w:rPr>
              <w:t>55.5%</w:t>
            </w:r>
          </w:p>
        </w:tc>
        <w:tc>
          <w:tcPr>
            <w:tcW w:w="720" w:type="dxa"/>
            <w:tcBorders>
              <w:top w:val="nil"/>
              <w:left w:val="single" w:sz="12" w:space="0" w:color="auto"/>
              <w:bottom w:val="single" w:sz="8" w:space="0" w:color="auto"/>
              <w:right w:val="single" w:sz="8" w:space="0" w:color="auto"/>
            </w:tcBorders>
            <w:shd w:val="clear" w:color="auto" w:fill="auto"/>
            <w:vAlign w:val="center"/>
          </w:tcPr>
          <w:p w14:paraId="0907A43E" w14:textId="77777777" w:rsidR="00335619" w:rsidRPr="0023367D" w:rsidRDefault="00335619" w:rsidP="00335619">
            <w:pPr>
              <w:jc w:val="center"/>
              <w:rPr>
                <w:color w:val="000000"/>
                <w:sz w:val="19"/>
                <w:szCs w:val="19"/>
              </w:rPr>
            </w:pPr>
            <w:r w:rsidRPr="0023367D">
              <w:rPr>
                <w:color w:val="000000"/>
                <w:sz w:val="19"/>
                <w:szCs w:val="19"/>
              </w:rPr>
              <w:t>155</w:t>
            </w:r>
          </w:p>
        </w:tc>
        <w:tc>
          <w:tcPr>
            <w:tcW w:w="1176" w:type="dxa"/>
            <w:tcBorders>
              <w:top w:val="nil"/>
              <w:left w:val="nil"/>
              <w:bottom w:val="single" w:sz="8" w:space="0" w:color="auto"/>
              <w:right w:val="single" w:sz="8" w:space="0" w:color="auto"/>
            </w:tcBorders>
            <w:shd w:val="clear" w:color="auto" w:fill="auto"/>
            <w:vAlign w:val="center"/>
          </w:tcPr>
          <w:p w14:paraId="05348830" w14:textId="77777777" w:rsidR="00335619" w:rsidRPr="0023367D" w:rsidRDefault="00335619" w:rsidP="00335619">
            <w:pPr>
              <w:jc w:val="center"/>
              <w:rPr>
                <w:color w:val="000000"/>
                <w:sz w:val="19"/>
                <w:szCs w:val="19"/>
              </w:rPr>
            </w:pPr>
            <w:r w:rsidRPr="0023367D">
              <w:rPr>
                <w:color w:val="000000"/>
                <w:sz w:val="19"/>
                <w:szCs w:val="19"/>
              </w:rPr>
              <w:t>46.7%</w:t>
            </w:r>
          </w:p>
        </w:tc>
        <w:tc>
          <w:tcPr>
            <w:tcW w:w="1074" w:type="dxa"/>
            <w:tcBorders>
              <w:top w:val="nil"/>
              <w:left w:val="nil"/>
              <w:bottom w:val="single" w:sz="8" w:space="0" w:color="auto"/>
              <w:right w:val="single" w:sz="8" w:space="0" w:color="auto"/>
            </w:tcBorders>
            <w:shd w:val="clear" w:color="auto" w:fill="auto"/>
            <w:vAlign w:val="center"/>
          </w:tcPr>
          <w:p w14:paraId="4B594C9D" w14:textId="77777777" w:rsidR="00335619" w:rsidRPr="0023367D" w:rsidRDefault="00335619" w:rsidP="00335619">
            <w:pPr>
              <w:jc w:val="center"/>
              <w:rPr>
                <w:color w:val="000000"/>
                <w:sz w:val="19"/>
                <w:szCs w:val="19"/>
              </w:rPr>
            </w:pPr>
            <w:r w:rsidRPr="0023367D">
              <w:rPr>
                <w:color w:val="000000"/>
                <w:sz w:val="19"/>
                <w:szCs w:val="19"/>
              </w:rPr>
              <w:t>31.5%</w:t>
            </w:r>
          </w:p>
        </w:tc>
        <w:tc>
          <w:tcPr>
            <w:tcW w:w="1260" w:type="dxa"/>
            <w:tcBorders>
              <w:top w:val="nil"/>
              <w:left w:val="nil"/>
              <w:bottom w:val="single" w:sz="8" w:space="0" w:color="auto"/>
              <w:right w:val="single" w:sz="4" w:space="0" w:color="auto"/>
            </w:tcBorders>
            <w:shd w:val="clear" w:color="auto" w:fill="auto"/>
            <w:noWrap/>
            <w:vAlign w:val="center"/>
          </w:tcPr>
          <w:p w14:paraId="3BDCFF33" w14:textId="77777777" w:rsidR="00335619" w:rsidRPr="0023367D" w:rsidRDefault="00335619" w:rsidP="00335619">
            <w:pPr>
              <w:jc w:val="center"/>
              <w:rPr>
                <w:color w:val="000000"/>
                <w:sz w:val="19"/>
                <w:szCs w:val="19"/>
              </w:rPr>
            </w:pPr>
            <w:r w:rsidRPr="0023367D">
              <w:rPr>
                <w:color w:val="000000"/>
                <w:sz w:val="19"/>
                <w:szCs w:val="19"/>
              </w:rPr>
              <w:t>53.1%</w:t>
            </w:r>
          </w:p>
        </w:tc>
      </w:tr>
      <w:tr w:rsidR="00335619" w:rsidRPr="0023367D" w14:paraId="062018E0"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62AF4B5C" w14:textId="77777777" w:rsidR="00335619" w:rsidRPr="0023367D" w:rsidRDefault="00335619" w:rsidP="00335619">
            <w:pPr>
              <w:jc w:val="center"/>
              <w:rPr>
                <w:color w:val="000000"/>
                <w:sz w:val="19"/>
                <w:szCs w:val="19"/>
              </w:rPr>
            </w:pPr>
            <w:r w:rsidRPr="0023367D">
              <w:rPr>
                <w:bCs/>
                <w:color w:val="000000"/>
                <w:sz w:val="19"/>
                <w:szCs w:val="19"/>
                <w:lang w:bidi="he-IL"/>
              </w:rPr>
              <w:t>2011</w:t>
            </w:r>
          </w:p>
        </w:tc>
        <w:tc>
          <w:tcPr>
            <w:tcW w:w="900" w:type="dxa"/>
            <w:tcBorders>
              <w:top w:val="nil"/>
              <w:left w:val="nil"/>
              <w:bottom w:val="single" w:sz="8" w:space="0" w:color="auto"/>
              <w:right w:val="single" w:sz="8" w:space="0" w:color="auto"/>
            </w:tcBorders>
            <w:shd w:val="clear" w:color="auto" w:fill="auto"/>
            <w:noWrap/>
            <w:vAlign w:val="center"/>
          </w:tcPr>
          <w:p w14:paraId="79EAE242" w14:textId="77777777" w:rsidR="00335619" w:rsidRPr="0023367D" w:rsidRDefault="00335619" w:rsidP="00335619">
            <w:pPr>
              <w:jc w:val="center"/>
              <w:rPr>
                <w:color w:val="000000"/>
                <w:sz w:val="19"/>
                <w:szCs w:val="19"/>
              </w:rPr>
            </w:pPr>
            <w:r w:rsidRPr="0023367D">
              <w:rPr>
                <w:color w:val="000000"/>
                <w:sz w:val="19"/>
                <w:szCs w:val="19"/>
              </w:rPr>
              <w:t>433</w:t>
            </w:r>
          </w:p>
        </w:tc>
        <w:tc>
          <w:tcPr>
            <w:tcW w:w="971" w:type="dxa"/>
            <w:tcBorders>
              <w:top w:val="nil"/>
              <w:left w:val="nil"/>
              <w:bottom w:val="single" w:sz="8" w:space="0" w:color="auto"/>
              <w:right w:val="single" w:sz="8" w:space="0" w:color="auto"/>
            </w:tcBorders>
            <w:shd w:val="clear" w:color="auto" w:fill="auto"/>
            <w:noWrap/>
            <w:vAlign w:val="center"/>
          </w:tcPr>
          <w:p w14:paraId="42F6F603" w14:textId="77777777" w:rsidR="00335619" w:rsidRPr="0023367D" w:rsidRDefault="00335619" w:rsidP="00335619">
            <w:pPr>
              <w:jc w:val="center"/>
              <w:rPr>
                <w:color w:val="000000"/>
                <w:sz w:val="19"/>
                <w:szCs w:val="19"/>
              </w:rPr>
            </w:pPr>
            <w:r w:rsidRPr="0023367D">
              <w:rPr>
                <w:color w:val="000000"/>
                <w:sz w:val="19"/>
                <w:szCs w:val="19"/>
              </w:rPr>
              <w:t>30.5%</w:t>
            </w:r>
          </w:p>
        </w:tc>
        <w:tc>
          <w:tcPr>
            <w:tcW w:w="1067" w:type="dxa"/>
            <w:tcBorders>
              <w:top w:val="nil"/>
              <w:left w:val="nil"/>
              <w:bottom w:val="single" w:sz="8" w:space="0" w:color="auto"/>
              <w:right w:val="single" w:sz="8" w:space="0" w:color="auto"/>
            </w:tcBorders>
            <w:shd w:val="clear" w:color="auto" w:fill="auto"/>
            <w:vAlign w:val="center"/>
          </w:tcPr>
          <w:p w14:paraId="1748AAA2" w14:textId="77777777" w:rsidR="00335619" w:rsidRPr="0023367D" w:rsidRDefault="00335619" w:rsidP="00335619">
            <w:pPr>
              <w:jc w:val="center"/>
              <w:rPr>
                <w:color w:val="000000"/>
                <w:sz w:val="19"/>
                <w:szCs w:val="19"/>
              </w:rPr>
            </w:pPr>
            <w:r w:rsidRPr="0023367D">
              <w:rPr>
                <w:color w:val="000000"/>
                <w:sz w:val="19"/>
                <w:szCs w:val="19"/>
              </w:rPr>
              <w:t>27.8%</w:t>
            </w:r>
          </w:p>
        </w:tc>
        <w:tc>
          <w:tcPr>
            <w:tcW w:w="1292" w:type="dxa"/>
            <w:tcBorders>
              <w:top w:val="nil"/>
              <w:left w:val="nil"/>
              <w:bottom w:val="single" w:sz="8" w:space="0" w:color="auto"/>
              <w:right w:val="single" w:sz="12" w:space="0" w:color="auto"/>
            </w:tcBorders>
            <w:vAlign w:val="center"/>
          </w:tcPr>
          <w:p w14:paraId="59C6BEA6" w14:textId="77777777" w:rsidR="00335619" w:rsidRPr="0023367D" w:rsidRDefault="00335619" w:rsidP="00335619">
            <w:pPr>
              <w:jc w:val="center"/>
              <w:rPr>
                <w:color w:val="000000"/>
                <w:sz w:val="19"/>
                <w:szCs w:val="19"/>
              </w:rPr>
            </w:pPr>
            <w:r w:rsidRPr="0023367D">
              <w:rPr>
                <w:color w:val="000000"/>
                <w:sz w:val="19"/>
                <w:szCs w:val="19"/>
              </w:rPr>
              <w:t>59.5%</w:t>
            </w:r>
          </w:p>
        </w:tc>
        <w:tc>
          <w:tcPr>
            <w:tcW w:w="720" w:type="dxa"/>
            <w:tcBorders>
              <w:top w:val="nil"/>
              <w:left w:val="single" w:sz="12" w:space="0" w:color="auto"/>
              <w:bottom w:val="single" w:sz="8" w:space="0" w:color="auto"/>
              <w:right w:val="single" w:sz="8" w:space="0" w:color="auto"/>
            </w:tcBorders>
            <w:shd w:val="clear" w:color="auto" w:fill="auto"/>
            <w:vAlign w:val="center"/>
          </w:tcPr>
          <w:p w14:paraId="388CD02E" w14:textId="77777777" w:rsidR="00335619" w:rsidRPr="0023367D" w:rsidRDefault="00335619" w:rsidP="00335619">
            <w:pPr>
              <w:jc w:val="center"/>
              <w:rPr>
                <w:color w:val="000000"/>
                <w:sz w:val="19"/>
                <w:szCs w:val="19"/>
              </w:rPr>
            </w:pPr>
            <w:r w:rsidRPr="0023367D">
              <w:rPr>
                <w:color w:val="000000"/>
                <w:sz w:val="19"/>
                <w:szCs w:val="19"/>
              </w:rPr>
              <w:t>179</w:t>
            </w:r>
          </w:p>
        </w:tc>
        <w:tc>
          <w:tcPr>
            <w:tcW w:w="1176" w:type="dxa"/>
            <w:tcBorders>
              <w:top w:val="nil"/>
              <w:left w:val="nil"/>
              <w:bottom w:val="single" w:sz="8" w:space="0" w:color="auto"/>
              <w:right w:val="single" w:sz="8" w:space="0" w:color="auto"/>
            </w:tcBorders>
            <w:shd w:val="clear" w:color="auto" w:fill="auto"/>
            <w:vAlign w:val="center"/>
          </w:tcPr>
          <w:p w14:paraId="0D1B4171" w14:textId="77777777" w:rsidR="00335619" w:rsidRPr="0023367D" w:rsidRDefault="00335619" w:rsidP="00335619">
            <w:pPr>
              <w:jc w:val="center"/>
              <w:rPr>
                <w:color w:val="000000"/>
                <w:sz w:val="19"/>
                <w:szCs w:val="19"/>
              </w:rPr>
            </w:pPr>
            <w:r w:rsidRPr="0023367D">
              <w:rPr>
                <w:color w:val="000000"/>
                <w:sz w:val="19"/>
                <w:szCs w:val="19"/>
              </w:rPr>
              <w:t>40.3%</w:t>
            </w:r>
          </w:p>
        </w:tc>
        <w:tc>
          <w:tcPr>
            <w:tcW w:w="1074" w:type="dxa"/>
            <w:tcBorders>
              <w:top w:val="nil"/>
              <w:left w:val="nil"/>
              <w:bottom w:val="single" w:sz="8" w:space="0" w:color="auto"/>
              <w:right w:val="single" w:sz="8" w:space="0" w:color="auto"/>
            </w:tcBorders>
            <w:shd w:val="clear" w:color="auto" w:fill="auto"/>
            <w:vAlign w:val="center"/>
          </w:tcPr>
          <w:p w14:paraId="69AA3F86" w14:textId="77777777" w:rsidR="00335619" w:rsidRPr="0023367D" w:rsidRDefault="00335619" w:rsidP="00335619">
            <w:pPr>
              <w:jc w:val="center"/>
              <w:rPr>
                <w:color w:val="000000"/>
                <w:sz w:val="19"/>
                <w:szCs w:val="19"/>
              </w:rPr>
            </w:pPr>
            <w:r w:rsidRPr="0023367D">
              <w:rPr>
                <w:color w:val="000000"/>
                <w:sz w:val="19"/>
                <w:szCs w:val="19"/>
              </w:rPr>
              <w:t>31.2%</w:t>
            </w:r>
          </w:p>
        </w:tc>
        <w:tc>
          <w:tcPr>
            <w:tcW w:w="1260" w:type="dxa"/>
            <w:tcBorders>
              <w:top w:val="nil"/>
              <w:left w:val="nil"/>
              <w:bottom w:val="single" w:sz="8" w:space="0" w:color="auto"/>
              <w:right w:val="single" w:sz="4" w:space="0" w:color="auto"/>
            </w:tcBorders>
            <w:shd w:val="clear" w:color="auto" w:fill="auto"/>
            <w:noWrap/>
            <w:vAlign w:val="center"/>
          </w:tcPr>
          <w:p w14:paraId="4353EFB7" w14:textId="77777777" w:rsidR="00335619" w:rsidRPr="0023367D" w:rsidRDefault="00335619" w:rsidP="00335619">
            <w:pPr>
              <w:jc w:val="center"/>
              <w:rPr>
                <w:color w:val="000000"/>
                <w:sz w:val="19"/>
                <w:szCs w:val="19"/>
              </w:rPr>
            </w:pPr>
            <w:r w:rsidRPr="0023367D">
              <w:rPr>
                <w:color w:val="000000"/>
                <w:sz w:val="19"/>
                <w:szCs w:val="19"/>
              </w:rPr>
              <w:t>56.5%</w:t>
            </w:r>
          </w:p>
        </w:tc>
      </w:tr>
      <w:tr w:rsidR="00335619" w:rsidRPr="0023367D" w14:paraId="04E52788" w14:textId="77777777" w:rsidTr="00D240E6">
        <w:trPr>
          <w:trHeight w:val="158"/>
        </w:trPr>
        <w:tc>
          <w:tcPr>
            <w:tcW w:w="1548" w:type="dxa"/>
            <w:tcBorders>
              <w:top w:val="nil"/>
              <w:left w:val="single" w:sz="8" w:space="0" w:color="auto"/>
              <w:bottom w:val="single" w:sz="8" w:space="0" w:color="auto"/>
              <w:right w:val="single" w:sz="8" w:space="0" w:color="auto"/>
            </w:tcBorders>
            <w:shd w:val="clear" w:color="auto" w:fill="auto"/>
            <w:noWrap/>
            <w:vAlign w:val="center"/>
          </w:tcPr>
          <w:p w14:paraId="1866F13D" w14:textId="77777777" w:rsidR="00335619" w:rsidRPr="0023367D" w:rsidRDefault="00335619" w:rsidP="00335619">
            <w:pPr>
              <w:jc w:val="center"/>
              <w:rPr>
                <w:color w:val="000000"/>
                <w:sz w:val="19"/>
                <w:szCs w:val="19"/>
              </w:rPr>
            </w:pPr>
            <w:r w:rsidRPr="0023367D">
              <w:rPr>
                <w:bCs/>
                <w:color w:val="000000"/>
                <w:sz w:val="19"/>
                <w:szCs w:val="19"/>
                <w:lang w:bidi="he-IL"/>
              </w:rPr>
              <w:t>2012</w:t>
            </w:r>
          </w:p>
        </w:tc>
        <w:tc>
          <w:tcPr>
            <w:tcW w:w="900" w:type="dxa"/>
            <w:tcBorders>
              <w:top w:val="nil"/>
              <w:left w:val="nil"/>
              <w:bottom w:val="single" w:sz="8" w:space="0" w:color="auto"/>
              <w:right w:val="single" w:sz="8" w:space="0" w:color="auto"/>
            </w:tcBorders>
            <w:shd w:val="clear" w:color="auto" w:fill="auto"/>
            <w:noWrap/>
            <w:vAlign w:val="center"/>
          </w:tcPr>
          <w:p w14:paraId="40417CEA" w14:textId="77777777" w:rsidR="00335619" w:rsidRPr="0023367D" w:rsidRDefault="00335619" w:rsidP="00335619">
            <w:pPr>
              <w:jc w:val="center"/>
              <w:rPr>
                <w:color w:val="000000"/>
                <w:sz w:val="19"/>
                <w:szCs w:val="19"/>
              </w:rPr>
            </w:pPr>
            <w:r w:rsidRPr="0023367D">
              <w:rPr>
                <w:color w:val="000000"/>
                <w:sz w:val="19"/>
                <w:szCs w:val="19"/>
              </w:rPr>
              <w:t>471</w:t>
            </w:r>
          </w:p>
        </w:tc>
        <w:tc>
          <w:tcPr>
            <w:tcW w:w="971" w:type="dxa"/>
            <w:tcBorders>
              <w:top w:val="nil"/>
              <w:left w:val="nil"/>
              <w:bottom w:val="single" w:sz="8" w:space="0" w:color="auto"/>
              <w:right w:val="single" w:sz="8" w:space="0" w:color="auto"/>
            </w:tcBorders>
            <w:shd w:val="clear" w:color="auto" w:fill="auto"/>
            <w:noWrap/>
            <w:vAlign w:val="center"/>
          </w:tcPr>
          <w:p w14:paraId="2B61E8FD" w14:textId="77777777" w:rsidR="00335619" w:rsidRPr="0023367D" w:rsidRDefault="00335619" w:rsidP="00335619">
            <w:pPr>
              <w:jc w:val="center"/>
              <w:rPr>
                <w:color w:val="000000"/>
                <w:sz w:val="19"/>
                <w:szCs w:val="19"/>
              </w:rPr>
            </w:pPr>
            <w:r w:rsidRPr="0023367D">
              <w:rPr>
                <w:color w:val="000000"/>
                <w:sz w:val="19"/>
                <w:szCs w:val="19"/>
              </w:rPr>
              <w:t>28.9%</w:t>
            </w:r>
          </w:p>
        </w:tc>
        <w:tc>
          <w:tcPr>
            <w:tcW w:w="1067" w:type="dxa"/>
            <w:tcBorders>
              <w:top w:val="nil"/>
              <w:left w:val="nil"/>
              <w:bottom w:val="single" w:sz="8" w:space="0" w:color="auto"/>
              <w:right w:val="single" w:sz="8" w:space="0" w:color="auto"/>
            </w:tcBorders>
            <w:shd w:val="clear" w:color="auto" w:fill="auto"/>
            <w:vAlign w:val="center"/>
          </w:tcPr>
          <w:p w14:paraId="6633EC6D" w14:textId="77777777" w:rsidR="00335619" w:rsidRPr="0023367D" w:rsidRDefault="00335619" w:rsidP="00335619">
            <w:pPr>
              <w:jc w:val="center"/>
              <w:rPr>
                <w:color w:val="000000"/>
                <w:sz w:val="19"/>
                <w:szCs w:val="19"/>
              </w:rPr>
            </w:pPr>
            <w:r w:rsidRPr="0023367D">
              <w:rPr>
                <w:color w:val="000000"/>
                <w:sz w:val="19"/>
                <w:szCs w:val="19"/>
              </w:rPr>
              <w:t>26.6%</w:t>
            </w:r>
          </w:p>
        </w:tc>
        <w:tc>
          <w:tcPr>
            <w:tcW w:w="1292" w:type="dxa"/>
            <w:tcBorders>
              <w:top w:val="nil"/>
              <w:left w:val="nil"/>
              <w:bottom w:val="single" w:sz="8" w:space="0" w:color="auto"/>
              <w:right w:val="single" w:sz="12" w:space="0" w:color="auto"/>
            </w:tcBorders>
            <w:vAlign w:val="center"/>
          </w:tcPr>
          <w:p w14:paraId="71020C7A" w14:textId="77777777" w:rsidR="00335619" w:rsidRPr="0023367D" w:rsidRDefault="00335619" w:rsidP="00335619">
            <w:pPr>
              <w:jc w:val="center"/>
              <w:rPr>
                <w:color w:val="000000"/>
                <w:sz w:val="19"/>
                <w:szCs w:val="19"/>
              </w:rPr>
            </w:pPr>
            <w:r w:rsidRPr="0023367D">
              <w:rPr>
                <w:color w:val="000000"/>
                <w:sz w:val="19"/>
                <w:szCs w:val="19"/>
              </w:rPr>
              <w:t>60.3%</w:t>
            </w:r>
          </w:p>
        </w:tc>
        <w:tc>
          <w:tcPr>
            <w:tcW w:w="720" w:type="dxa"/>
            <w:tcBorders>
              <w:top w:val="nil"/>
              <w:left w:val="single" w:sz="12" w:space="0" w:color="auto"/>
              <w:bottom w:val="single" w:sz="8" w:space="0" w:color="auto"/>
              <w:right w:val="single" w:sz="8" w:space="0" w:color="auto"/>
            </w:tcBorders>
            <w:shd w:val="clear" w:color="auto" w:fill="auto"/>
            <w:vAlign w:val="center"/>
          </w:tcPr>
          <w:p w14:paraId="76A5A053" w14:textId="77777777" w:rsidR="00335619" w:rsidRPr="0023367D" w:rsidRDefault="00335619" w:rsidP="00335619">
            <w:pPr>
              <w:jc w:val="center"/>
              <w:rPr>
                <w:color w:val="000000"/>
                <w:sz w:val="19"/>
                <w:szCs w:val="19"/>
              </w:rPr>
            </w:pPr>
            <w:r w:rsidRPr="0023367D">
              <w:rPr>
                <w:color w:val="000000"/>
                <w:sz w:val="19"/>
                <w:szCs w:val="19"/>
              </w:rPr>
              <w:t>206</w:t>
            </w:r>
          </w:p>
        </w:tc>
        <w:tc>
          <w:tcPr>
            <w:tcW w:w="1176" w:type="dxa"/>
            <w:tcBorders>
              <w:top w:val="nil"/>
              <w:left w:val="nil"/>
              <w:bottom w:val="single" w:sz="8" w:space="0" w:color="auto"/>
              <w:right w:val="single" w:sz="8" w:space="0" w:color="auto"/>
            </w:tcBorders>
            <w:shd w:val="clear" w:color="auto" w:fill="auto"/>
            <w:vAlign w:val="center"/>
          </w:tcPr>
          <w:p w14:paraId="4B0481AB" w14:textId="77777777" w:rsidR="00335619" w:rsidRPr="0023367D" w:rsidRDefault="00335619" w:rsidP="00335619">
            <w:pPr>
              <w:jc w:val="center"/>
              <w:rPr>
                <w:color w:val="000000"/>
                <w:sz w:val="19"/>
                <w:szCs w:val="19"/>
              </w:rPr>
            </w:pPr>
            <w:r w:rsidRPr="0023367D">
              <w:rPr>
                <w:color w:val="000000"/>
                <w:sz w:val="19"/>
                <w:szCs w:val="19"/>
              </w:rPr>
              <w:t>41.2%</w:t>
            </w:r>
          </w:p>
        </w:tc>
        <w:tc>
          <w:tcPr>
            <w:tcW w:w="1074" w:type="dxa"/>
            <w:tcBorders>
              <w:top w:val="nil"/>
              <w:left w:val="nil"/>
              <w:bottom w:val="single" w:sz="8" w:space="0" w:color="auto"/>
              <w:right w:val="single" w:sz="8" w:space="0" w:color="auto"/>
            </w:tcBorders>
            <w:shd w:val="clear" w:color="auto" w:fill="auto"/>
            <w:vAlign w:val="center"/>
          </w:tcPr>
          <w:p w14:paraId="06EF5E28" w14:textId="77777777" w:rsidR="00335619" w:rsidRPr="0023367D" w:rsidRDefault="00335619" w:rsidP="00335619">
            <w:pPr>
              <w:jc w:val="center"/>
              <w:rPr>
                <w:color w:val="000000"/>
                <w:sz w:val="19"/>
                <w:szCs w:val="19"/>
              </w:rPr>
            </w:pPr>
            <w:r w:rsidRPr="0023367D">
              <w:rPr>
                <w:color w:val="000000"/>
                <w:sz w:val="19"/>
                <w:szCs w:val="19"/>
              </w:rPr>
              <w:t>31.7%</w:t>
            </w:r>
          </w:p>
        </w:tc>
        <w:tc>
          <w:tcPr>
            <w:tcW w:w="1260" w:type="dxa"/>
            <w:tcBorders>
              <w:top w:val="nil"/>
              <w:left w:val="nil"/>
              <w:bottom w:val="single" w:sz="8" w:space="0" w:color="auto"/>
              <w:right w:val="single" w:sz="4" w:space="0" w:color="auto"/>
            </w:tcBorders>
            <w:shd w:val="clear" w:color="auto" w:fill="auto"/>
            <w:noWrap/>
            <w:vAlign w:val="center"/>
          </w:tcPr>
          <w:p w14:paraId="27FBE0A0" w14:textId="77777777" w:rsidR="00335619" w:rsidRPr="0023367D" w:rsidRDefault="00335619" w:rsidP="00335619">
            <w:pPr>
              <w:jc w:val="center"/>
              <w:rPr>
                <w:color w:val="000000"/>
                <w:sz w:val="19"/>
                <w:szCs w:val="19"/>
              </w:rPr>
            </w:pPr>
            <w:r w:rsidRPr="0023367D">
              <w:rPr>
                <w:color w:val="000000"/>
                <w:sz w:val="19"/>
                <w:szCs w:val="19"/>
              </w:rPr>
              <w:t>57.3%</w:t>
            </w:r>
          </w:p>
        </w:tc>
      </w:tr>
      <w:tr w:rsidR="00335619" w:rsidRPr="0023367D" w14:paraId="657ED96F" w14:textId="77777777" w:rsidTr="00D240E6">
        <w:trPr>
          <w:trHeight w:val="158"/>
        </w:trPr>
        <w:tc>
          <w:tcPr>
            <w:tcW w:w="1548" w:type="dxa"/>
            <w:tcBorders>
              <w:top w:val="nil"/>
              <w:left w:val="single" w:sz="8" w:space="0" w:color="auto"/>
              <w:bottom w:val="single" w:sz="12" w:space="0" w:color="auto"/>
              <w:right w:val="single" w:sz="8" w:space="0" w:color="auto"/>
            </w:tcBorders>
            <w:shd w:val="clear" w:color="auto" w:fill="auto"/>
            <w:noWrap/>
            <w:vAlign w:val="center"/>
          </w:tcPr>
          <w:p w14:paraId="662A31DE" w14:textId="77777777" w:rsidR="00335619" w:rsidRPr="0023367D" w:rsidRDefault="00335619" w:rsidP="00335619">
            <w:pPr>
              <w:jc w:val="center"/>
              <w:rPr>
                <w:color w:val="000000"/>
                <w:sz w:val="19"/>
                <w:szCs w:val="19"/>
              </w:rPr>
            </w:pPr>
            <w:r w:rsidRPr="0023367D">
              <w:rPr>
                <w:bCs/>
                <w:color w:val="000000"/>
                <w:sz w:val="19"/>
                <w:szCs w:val="19"/>
                <w:lang w:bidi="he-IL"/>
              </w:rPr>
              <w:t>2013</w:t>
            </w:r>
          </w:p>
        </w:tc>
        <w:tc>
          <w:tcPr>
            <w:tcW w:w="900" w:type="dxa"/>
            <w:tcBorders>
              <w:top w:val="nil"/>
              <w:left w:val="nil"/>
              <w:bottom w:val="single" w:sz="12" w:space="0" w:color="auto"/>
              <w:right w:val="single" w:sz="8" w:space="0" w:color="auto"/>
            </w:tcBorders>
            <w:shd w:val="clear" w:color="auto" w:fill="auto"/>
            <w:noWrap/>
            <w:vAlign w:val="center"/>
          </w:tcPr>
          <w:p w14:paraId="7BC80AF4" w14:textId="77777777" w:rsidR="00335619" w:rsidRPr="0023367D" w:rsidRDefault="00335619" w:rsidP="00335619">
            <w:pPr>
              <w:jc w:val="center"/>
              <w:rPr>
                <w:color w:val="000000"/>
                <w:sz w:val="19"/>
                <w:szCs w:val="19"/>
              </w:rPr>
            </w:pPr>
            <w:r w:rsidRPr="0023367D">
              <w:rPr>
                <w:color w:val="000000"/>
                <w:sz w:val="19"/>
                <w:szCs w:val="19"/>
              </w:rPr>
              <w:t>475</w:t>
            </w:r>
          </w:p>
        </w:tc>
        <w:tc>
          <w:tcPr>
            <w:tcW w:w="971" w:type="dxa"/>
            <w:tcBorders>
              <w:top w:val="nil"/>
              <w:left w:val="nil"/>
              <w:bottom w:val="single" w:sz="12" w:space="0" w:color="auto"/>
              <w:right w:val="single" w:sz="8" w:space="0" w:color="auto"/>
            </w:tcBorders>
            <w:shd w:val="clear" w:color="auto" w:fill="auto"/>
            <w:noWrap/>
            <w:vAlign w:val="center"/>
          </w:tcPr>
          <w:p w14:paraId="445935C4" w14:textId="77777777" w:rsidR="00335619" w:rsidRPr="0023367D" w:rsidRDefault="00335619" w:rsidP="00335619">
            <w:pPr>
              <w:jc w:val="center"/>
              <w:rPr>
                <w:color w:val="000000"/>
                <w:sz w:val="19"/>
                <w:szCs w:val="19"/>
              </w:rPr>
            </w:pPr>
            <w:r w:rsidRPr="0023367D">
              <w:rPr>
                <w:color w:val="000000"/>
                <w:sz w:val="19"/>
                <w:szCs w:val="19"/>
              </w:rPr>
              <w:t>32.8%</w:t>
            </w:r>
          </w:p>
        </w:tc>
        <w:tc>
          <w:tcPr>
            <w:tcW w:w="1067" w:type="dxa"/>
            <w:tcBorders>
              <w:top w:val="nil"/>
              <w:left w:val="nil"/>
              <w:bottom w:val="single" w:sz="12" w:space="0" w:color="auto"/>
              <w:right w:val="single" w:sz="8" w:space="0" w:color="auto"/>
            </w:tcBorders>
            <w:shd w:val="clear" w:color="auto" w:fill="auto"/>
            <w:vAlign w:val="center"/>
          </w:tcPr>
          <w:p w14:paraId="2D707540" w14:textId="77777777" w:rsidR="00335619" w:rsidRPr="0023367D" w:rsidRDefault="00335619" w:rsidP="00335619">
            <w:pPr>
              <w:jc w:val="center"/>
              <w:rPr>
                <w:color w:val="000000"/>
                <w:sz w:val="19"/>
                <w:szCs w:val="19"/>
              </w:rPr>
            </w:pPr>
            <w:r w:rsidRPr="0023367D">
              <w:rPr>
                <w:color w:val="000000"/>
                <w:sz w:val="19"/>
                <w:szCs w:val="19"/>
              </w:rPr>
              <w:t>29.6%</w:t>
            </w:r>
          </w:p>
        </w:tc>
        <w:tc>
          <w:tcPr>
            <w:tcW w:w="1292" w:type="dxa"/>
            <w:tcBorders>
              <w:top w:val="nil"/>
              <w:left w:val="nil"/>
              <w:bottom w:val="single" w:sz="12" w:space="0" w:color="auto"/>
              <w:right w:val="single" w:sz="12" w:space="0" w:color="auto"/>
            </w:tcBorders>
            <w:vAlign w:val="center"/>
          </w:tcPr>
          <w:p w14:paraId="4E4ED1F2" w14:textId="77777777" w:rsidR="00335619" w:rsidRPr="0023367D" w:rsidRDefault="00335619" w:rsidP="00335619">
            <w:pPr>
              <w:jc w:val="center"/>
              <w:rPr>
                <w:color w:val="000000"/>
                <w:sz w:val="19"/>
                <w:szCs w:val="19"/>
              </w:rPr>
            </w:pPr>
            <w:r w:rsidRPr="0023367D">
              <w:rPr>
                <w:color w:val="000000"/>
                <w:sz w:val="19"/>
                <w:szCs w:val="19"/>
              </w:rPr>
              <w:t>59.3%</w:t>
            </w:r>
          </w:p>
        </w:tc>
        <w:tc>
          <w:tcPr>
            <w:tcW w:w="720" w:type="dxa"/>
            <w:tcBorders>
              <w:top w:val="nil"/>
              <w:left w:val="single" w:sz="12" w:space="0" w:color="auto"/>
              <w:bottom w:val="single" w:sz="12" w:space="0" w:color="auto"/>
              <w:right w:val="single" w:sz="8" w:space="0" w:color="auto"/>
            </w:tcBorders>
            <w:shd w:val="clear" w:color="auto" w:fill="auto"/>
            <w:vAlign w:val="center"/>
          </w:tcPr>
          <w:p w14:paraId="40D90582" w14:textId="77777777" w:rsidR="00335619" w:rsidRPr="0023367D" w:rsidRDefault="00335619" w:rsidP="00335619">
            <w:pPr>
              <w:jc w:val="center"/>
              <w:rPr>
                <w:color w:val="000000"/>
                <w:sz w:val="19"/>
                <w:szCs w:val="19"/>
              </w:rPr>
            </w:pPr>
            <w:r w:rsidRPr="0023367D">
              <w:rPr>
                <w:color w:val="000000"/>
                <w:sz w:val="19"/>
                <w:szCs w:val="19"/>
              </w:rPr>
              <w:t>212</w:t>
            </w:r>
          </w:p>
        </w:tc>
        <w:tc>
          <w:tcPr>
            <w:tcW w:w="1176" w:type="dxa"/>
            <w:tcBorders>
              <w:top w:val="nil"/>
              <w:left w:val="nil"/>
              <w:bottom w:val="single" w:sz="12" w:space="0" w:color="auto"/>
              <w:right w:val="single" w:sz="8" w:space="0" w:color="auto"/>
            </w:tcBorders>
            <w:shd w:val="clear" w:color="auto" w:fill="auto"/>
            <w:vAlign w:val="center"/>
          </w:tcPr>
          <w:p w14:paraId="60B528D6" w14:textId="77777777" w:rsidR="00335619" w:rsidRPr="0023367D" w:rsidRDefault="00335619" w:rsidP="00335619">
            <w:pPr>
              <w:jc w:val="center"/>
              <w:rPr>
                <w:color w:val="000000"/>
                <w:sz w:val="19"/>
                <w:szCs w:val="19"/>
              </w:rPr>
            </w:pPr>
            <w:r w:rsidRPr="0023367D">
              <w:rPr>
                <w:color w:val="000000"/>
                <w:sz w:val="19"/>
                <w:szCs w:val="19"/>
              </w:rPr>
              <w:t>47.0%</w:t>
            </w:r>
          </w:p>
        </w:tc>
        <w:tc>
          <w:tcPr>
            <w:tcW w:w="1074" w:type="dxa"/>
            <w:tcBorders>
              <w:top w:val="nil"/>
              <w:left w:val="nil"/>
              <w:bottom w:val="single" w:sz="12" w:space="0" w:color="auto"/>
              <w:right w:val="single" w:sz="8" w:space="0" w:color="auto"/>
            </w:tcBorders>
            <w:shd w:val="clear" w:color="auto" w:fill="auto"/>
            <w:vAlign w:val="center"/>
          </w:tcPr>
          <w:p w14:paraId="20EC8711" w14:textId="77777777" w:rsidR="00335619" w:rsidRPr="0023367D" w:rsidRDefault="00335619" w:rsidP="00335619">
            <w:pPr>
              <w:jc w:val="center"/>
              <w:rPr>
                <w:color w:val="000000"/>
                <w:sz w:val="19"/>
                <w:szCs w:val="19"/>
              </w:rPr>
            </w:pPr>
            <w:r w:rsidRPr="0023367D">
              <w:rPr>
                <w:color w:val="000000"/>
                <w:sz w:val="19"/>
                <w:szCs w:val="19"/>
              </w:rPr>
              <w:t>35.5%</w:t>
            </w:r>
          </w:p>
        </w:tc>
        <w:tc>
          <w:tcPr>
            <w:tcW w:w="1260" w:type="dxa"/>
            <w:tcBorders>
              <w:top w:val="nil"/>
              <w:left w:val="nil"/>
              <w:bottom w:val="single" w:sz="12" w:space="0" w:color="auto"/>
              <w:right w:val="single" w:sz="8" w:space="0" w:color="auto"/>
            </w:tcBorders>
            <w:shd w:val="clear" w:color="auto" w:fill="auto"/>
            <w:noWrap/>
            <w:vAlign w:val="center"/>
          </w:tcPr>
          <w:p w14:paraId="2D064B2D" w14:textId="77777777" w:rsidR="00335619" w:rsidRPr="0023367D" w:rsidRDefault="00335619" w:rsidP="00335619">
            <w:pPr>
              <w:jc w:val="center"/>
              <w:rPr>
                <w:color w:val="000000"/>
                <w:sz w:val="19"/>
                <w:szCs w:val="19"/>
              </w:rPr>
            </w:pPr>
            <w:r w:rsidRPr="0023367D">
              <w:rPr>
                <w:color w:val="000000"/>
                <w:sz w:val="19"/>
                <w:szCs w:val="19"/>
              </w:rPr>
              <w:t>55.0%</w:t>
            </w:r>
          </w:p>
        </w:tc>
      </w:tr>
      <w:tr w:rsidR="00335619" w:rsidRPr="0023367D" w14:paraId="31110BF0" w14:textId="77777777" w:rsidTr="00D240E6">
        <w:trPr>
          <w:trHeight w:val="576"/>
        </w:trPr>
        <w:tc>
          <w:tcPr>
            <w:tcW w:w="2448" w:type="dxa"/>
            <w:gridSpan w:val="2"/>
            <w:tcBorders>
              <w:top w:val="nil"/>
              <w:left w:val="single" w:sz="8" w:space="0" w:color="auto"/>
              <w:bottom w:val="single" w:sz="4" w:space="0" w:color="auto"/>
              <w:right w:val="single" w:sz="8" w:space="0" w:color="auto"/>
            </w:tcBorders>
            <w:shd w:val="clear" w:color="auto" w:fill="auto"/>
            <w:noWrap/>
            <w:vAlign w:val="center"/>
          </w:tcPr>
          <w:p w14:paraId="4E685A3B" w14:textId="77777777" w:rsidR="00335619" w:rsidRPr="0023367D" w:rsidRDefault="00335619" w:rsidP="002F0ECE">
            <w:pPr>
              <w:spacing w:before="40"/>
              <w:jc w:val="center"/>
              <w:rPr>
                <w:color w:val="000000"/>
                <w:sz w:val="19"/>
                <w:szCs w:val="19"/>
              </w:rPr>
            </w:pPr>
            <w:r w:rsidRPr="0023367D">
              <w:rPr>
                <w:bCs/>
                <w:color w:val="000000"/>
                <w:sz w:val="19"/>
                <w:szCs w:val="19"/>
                <w:lang w:bidi="he-IL"/>
              </w:rPr>
              <w:t>Trend coefficient (t-stat) from trend-line regression of R</w:t>
            </w:r>
            <w:r w:rsidRPr="0023367D">
              <w:rPr>
                <w:bCs/>
                <w:color w:val="000000"/>
                <w:sz w:val="19"/>
                <w:szCs w:val="19"/>
                <w:vertAlign w:val="superscript"/>
                <w:lang w:bidi="he-IL"/>
              </w:rPr>
              <w:t xml:space="preserve">2 </w:t>
            </w:r>
            <w:r w:rsidRPr="0023367D">
              <w:rPr>
                <w:bCs/>
                <w:color w:val="000000"/>
                <w:sz w:val="19"/>
                <w:szCs w:val="19"/>
                <w:lang w:bidi="he-IL"/>
              </w:rPr>
              <w:t xml:space="preserve">over time </w:t>
            </w:r>
            <w:r w:rsidRPr="0023367D">
              <w:rPr>
                <w:bCs/>
                <w:color w:val="000000"/>
                <w:sz w:val="19"/>
                <w:szCs w:val="19"/>
                <w:vertAlign w:val="superscript"/>
                <w:lang w:bidi="he-IL"/>
              </w:rPr>
              <w:t>(</w:t>
            </w:r>
            <w:r w:rsidR="002F0ECE" w:rsidRPr="0023367D">
              <w:rPr>
                <w:bCs/>
                <w:color w:val="000000"/>
                <w:sz w:val="19"/>
                <w:szCs w:val="19"/>
                <w:vertAlign w:val="superscript"/>
                <w:lang w:bidi="he-IL"/>
              </w:rPr>
              <w:t>e</w:t>
            </w:r>
            <w:r w:rsidRPr="0023367D">
              <w:rPr>
                <w:bCs/>
                <w:color w:val="000000"/>
                <w:sz w:val="19"/>
                <w:szCs w:val="19"/>
                <w:vertAlign w:val="superscript"/>
                <w:lang w:bidi="he-IL"/>
              </w:rPr>
              <w:t>)</w:t>
            </w:r>
          </w:p>
        </w:tc>
        <w:tc>
          <w:tcPr>
            <w:tcW w:w="971" w:type="dxa"/>
            <w:tcBorders>
              <w:top w:val="nil"/>
              <w:left w:val="nil"/>
              <w:bottom w:val="single" w:sz="4" w:space="0" w:color="auto"/>
              <w:right w:val="single" w:sz="8" w:space="0" w:color="auto"/>
            </w:tcBorders>
            <w:shd w:val="clear" w:color="auto" w:fill="auto"/>
            <w:noWrap/>
            <w:vAlign w:val="center"/>
          </w:tcPr>
          <w:p w14:paraId="145A5A49" w14:textId="77777777" w:rsidR="00335619" w:rsidRPr="0023367D" w:rsidRDefault="00335619" w:rsidP="00335619">
            <w:pPr>
              <w:spacing w:before="120"/>
              <w:jc w:val="center"/>
              <w:rPr>
                <w:rFonts w:eastAsia="Calibri"/>
                <w:sz w:val="19"/>
                <w:szCs w:val="19"/>
              </w:rPr>
            </w:pPr>
            <w:r w:rsidRPr="0023367D">
              <w:rPr>
                <w:rFonts w:eastAsia="Calibri"/>
                <w:sz w:val="19"/>
                <w:szCs w:val="19"/>
              </w:rPr>
              <w:t>0.438%</w:t>
            </w:r>
          </w:p>
          <w:p w14:paraId="6946559E" w14:textId="77777777" w:rsidR="00335619" w:rsidRPr="0023367D" w:rsidRDefault="00335619" w:rsidP="00335619">
            <w:pPr>
              <w:spacing w:before="40"/>
              <w:jc w:val="center"/>
              <w:rPr>
                <w:color w:val="000000"/>
                <w:sz w:val="19"/>
                <w:szCs w:val="19"/>
              </w:rPr>
            </w:pPr>
            <w:r w:rsidRPr="0023367D">
              <w:rPr>
                <w:rFonts w:eastAsia="Calibri"/>
                <w:sz w:val="19"/>
                <w:szCs w:val="19"/>
              </w:rPr>
              <w:t>(2.01)</w:t>
            </w:r>
            <w:r w:rsidRPr="0023367D">
              <w:rPr>
                <w:rFonts w:eastAsia="Calibri"/>
                <w:color w:val="000000"/>
                <w:sz w:val="19"/>
                <w:szCs w:val="19"/>
                <w:vertAlign w:val="superscript"/>
              </w:rPr>
              <w:t>*</w:t>
            </w:r>
          </w:p>
        </w:tc>
        <w:tc>
          <w:tcPr>
            <w:tcW w:w="1067" w:type="dxa"/>
            <w:tcBorders>
              <w:top w:val="nil"/>
              <w:left w:val="nil"/>
              <w:bottom w:val="single" w:sz="4" w:space="0" w:color="auto"/>
              <w:right w:val="single" w:sz="8" w:space="0" w:color="auto"/>
            </w:tcBorders>
            <w:shd w:val="clear" w:color="auto" w:fill="auto"/>
            <w:vAlign w:val="center"/>
          </w:tcPr>
          <w:p w14:paraId="4A4F89F4" w14:textId="77777777" w:rsidR="00335619" w:rsidRPr="0023367D" w:rsidRDefault="00335619" w:rsidP="00335619">
            <w:pPr>
              <w:spacing w:before="120"/>
              <w:jc w:val="center"/>
              <w:rPr>
                <w:rFonts w:eastAsia="Calibri"/>
                <w:sz w:val="19"/>
                <w:szCs w:val="19"/>
              </w:rPr>
            </w:pPr>
            <w:r w:rsidRPr="0023367D">
              <w:rPr>
                <w:rFonts w:eastAsia="Calibri"/>
                <w:sz w:val="19"/>
                <w:szCs w:val="19"/>
              </w:rPr>
              <w:t>0.313%</w:t>
            </w:r>
          </w:p>
          <w:p w14:paraId="686C43A2" w14:textId="77777777" w:rsidR="00335619" w:rsidRPr="0023367D" w:rsidRDefault="00335619" w:rsidP="00335619">
            <w:pPr>
              <w:spacing w:before="40"/>
              <w:jc w:val="center"/>
              <w:rPr>
                <w:color w:val="000000"/>
                <w:sz w:val="19"/>
                <w:szCs w:val="19"/>
              </w:rPr>
            </w:pPr>
            <w:r w:rsidRPr="0023367D">
              <w:rPr>
                <w:rFonts w:eastAsia="Calibri"/>
                <w:sz w:val="19"/>
                <w:szCs w:val="19"/>
              </w:rPr>
              <w:t>(2.01)</w:t>
            </w:r>
            <w:r w:rsidRPr="0023367D">
              <w:rPr>
                <w:rFonts w:eastAsia="Calibri"/>
                <w:color w:val="000000"/>
                <w:sz w:val="19"/>
                <w:szCs w:val="19"/>
                <w:vertAlign w:val="superscript"/>
              </w:rPr>
              <w:t>*</w:t>
            </w:r>
          </w:p>
        </w:tc>
        <w:tc>
          <w:tcPr>
            <w:tcW w:w="1292" w:type="dxa"/>
            <w:tcBorders>
              <w:top w:val="nil"/>
              <w:left w:val="nil"/>
              <w:bottom w:val="single" w:sz="4" w:space="0" w:color="auto"/>
              <w:right w:val="single" w:sz="12" w:space="0" w:color="auto"/>
            </w:tcBorders>
            <w:vAlign w:val="center"/>
          </w:tcPr>
          <w:p w14:paraId="1C6B9092" w14:textId="77777777" w:rsidR="00335619" w:rsidRPr="0023367D" w:rsidRDefault="00335619" w:rsidP="00335619">
            <w:pPr>
              <w:spacing w:before="120"/>
              <w:jc w:val="center"/>
              <w:rPr>
                <w:rFonts w:eastAsia="Calibri"/>
                <w:sz w:val="19"/>
                <w:szCs w:val="19"/>
              </w:rPr>
            </w:pPr>
            <w:r w:rsidRPr="0023367D">
              <w:rPr>
                <w:rFonts w:eastAsia="Calibri"/>
                <w:sz w:val="19"/>
                <w:szCs w:val="19"/>
              </w:rPr>
              <w:t>-0.518%</w:t>
            </w:r>
          </w:p>
          <w:p w14:paraId="6595E809" w14:textId="77777777" w:rsidR="00335619" w:rsidRPr="0023367D" w:rsidRDefault="00335619" w:rsidP="00335619">
            <w:pPr>
              <w:spacing w:before="40"/>
              <w:jc w:val="center"/>
              <w:rPr>
                <w:rFonts w:eastAsia="Calibri"/>
                <w:sz w:val="19"/>
                <w:szCs w:val="19"/>
              </w:rPr>
            </w:pPr>
            <w:r w:rsidRPr="0023367D">
              <w:rPr>
                <w:rFonts w:eastAsia="Calibri"/>
                <w:sz w:val="19"/>
                <w:szCs w:val="19"/>
              </w:rPr>
              <w:t>(-3.32)</w:t>
            </w:r>
            <w:r w:rsidRPr="0023367D">
              <w:rPr>
                <w:rFonts w:eastAsia="Calibri"/>
                <w:color w:val="000000"/>
                <w:sz w:val="19"/>
                <w:szCs w:val="19"/>
                <w:vertAlign w:val="superscript"/>
              </w:rPr>
              <w:t>***</w:t>
            </w:r>
          </w:p>
        </w:tc>
        <w:tc>
          <w:tcPr>
            <w:tcW w:w="720" w:type="dxa"/>
            <w:tcBorders>
              <w:top w:val="nil"/>
              <w:left w:val="single" w:sz="12" w:space="0" w:color="auto"/>
              <w:bottom w:val="single" w:sz="4" w:space="0" w:color="auto"/>
              <w:right w:val="single" w:sz="8" w:space="0" w:color="auto"/>
            </w:tcBorders>
            <w:shd w:val="clear" w:color="auto" w:fill="auto"/>
            <w:vAlign w:val="center"/>
          </w:tcPr>
          <w:p w14:paraId="42F3878C" w14:textId="77777777" w:rsidR="00335619" w:rsidRPr="0023367D" w:rsidRDefault="00335619" w:rsidP="00335619">
            <w:pPr>
              <w:jc w:val="center"/>
              <w:rPr>
                <w:color w:val="000000"/>
                <w:sz w:val="19"/>
                <w:szCs w:val="19"/>
              </w:rPr>
            </w:pPr>
          </w:p>
        </w:tc>
        <w:tc>
          <w:tcPr>
            <w:tcW w:w="1176" w:type="dxa"/>
            <w:tcBorders>
              <w:top w:val="nil"/>
              <w:left w:val="nil"/>
              <w:bottom w:val="single" w:sz="4" w:space="0" w:color="auto"/>
              <w:right w:val="single" w:sz="8" w:space="0" w:color="auto"/>
            </w:tcBorders>
            <w:shd w:val="clear" w:color="auto" w:fill="auto"/>
            <w:vAlign w:val="center"/>
          </w:tcPr>
          <w:p w14:paraId="13A3DD61" w14:textId="77777777" w:rsidR="00335619" w:rsidRPr="0023367D" w:rsidRDefault="00335619" w:rsidP="00335619">
            <w:pPr>
              <w:spacing w:before="120"/>
              <w:jc w:val="center"/>
              <w:rPr>
                <w:rFonts w:eastAsia="Calibri"/>
                <w:sz w:val="19"/>
                <w:szCs w:val="19"/>
              </w:rPr>
            </w:pPr>
            <w:r w:rsidRPr="0023367D">
              <w:rPr>
                <w:rFonts w:eastAsia="Calibri"/>
                <w:sz w:val="19"/>
                <w:szCs w:val="19"/>
              </w:rPr>
              <w:t>0.915%</w:t>
            </w:r>
          </w:p>
          <w:p w14:paraId="10708BB6" w14:textId="77777777" w:rsidR="00335619" w:rsidRPr="0023367D" w:rsidRDefault="00335619" w:rsidP="00335619">
            <w:pPr>
              <w:spacing w:before="40"/>
              <w:jc w:val="center"/>
              <w:rPr>
                <w:color w:val="000000"/>
                <w:sz w:val="19"/>
                <w:szCs w:val="19"/>
              </w:rPr>
            </w:pPr>
            <w:r w:rsidRPr="0023367D">
              <w:rPr>
                <w:rFonts w:eastAsia="Calibri"/>
                <w:sz w:val="19"/>
                <w:szCs w:val="19"/>
              </w:rPr>
              <w:t>(4.45)</w:t>
            </w:r>
            <w:r w:rsidRPr="0023367D">
              <w:rPr>
                <w:rFonts w:eastAsia="Calibri"/>
                <w:color w:val="000000"/>
                <w:sz w:val="19"/>
                <w:szCs w:val="19"/>
                <w:vertAlign w:val="superscript"/>
              </w:rPr>
              <w:t>***</w:t>
            </w:r>
          </w:p>
        </w:tc>
        <w:tc>
          <w:tcPr>
            <w:tcW w:w="1074" w:type="dxa"/>
            <w:tcBorders>
              <w:top w:val="nil"/>
              <w:left w:val="nil"/>
              <w:bottom w:val="single" w:sz="4" w:space="0" w:color="auto"/>
              <w:right w:val="single" w:sz="8" w:space="0" w:color="auto"/>
            </w:tcBorders>
            <w:shd w:val="clear" w:color="auto" w:fill="auto"/>
            <w:vAlign w:val="center"/>
          </w:tcPr>
          <w:p w14:paraId="48AC84CE" w14:textId="77777777" w:rsidR="00335619" w:rsidRPr="0023367D" w:rsidRDefault="00335619" w:rsidP="00335619">
            <w:pPr>
              <w:spacing w:before="120"/>
              <w:jc w:val="center"/>
              <w:rPr>
                <w:rFonts w:eastAsia="Calibri"/>
                <w:sz w:val="19"/>
                <w:szCs w:val="19"/>
              </w:rPr>
            </w:pPr>
            <w:r w:rsidRPr="0023367D">
              <w:rPr>
                <w:rFonts w:eastAsia="Calibri"/>
                <w:sz w:val="19"/>
                <w:szCs w:val="19"/>
              </w:rPr>
              <w:t>0.596%</w:t>
            </w:r>
          </w:p>
          <w:p w14:paraId="1D6FBBD0" w14:textId="77777777" w:rsidR="00335619" w:rsidRPr="0023367D" w:rsidRDefault="00335619" w:rsidP="00335619">
            <w:pPr>
              <w:spacing w:before="40"/>
              <w:jc w:val="center"/>
              <w:rPr>
                <w:color w:val="000000"/>
                <w:sz w:val="19"/>
                <w:szCs w:val="19"/>
              </w:rPr>
            </w:pPr>
            <w:r w:rsidRPr="0023367D">
              <w:rPr>
                <w:rFonts w:eastAsia="Calibri"/>
                <w:sz w:val="19"/>
                <w:szCs w:val="19"/>
              </w:rPr>
              <w:t>(3.96)</w:t>
            </w:r>
            <w:r w:rsidRPr="0023367D">
              <w:rPr>
                <w:rFonts w:eastAsia="Calibri"/>
                <w:color w:val="000000"/>
                <w:sz w:val="19"/>
                <w:szCs w:val="19"/>
                <w:vertAlign w:val="superscript"/>
              </w:rPr>
              <w:t>***</w:t>
            </w:r>
          </w:p>
        </w:tc>
        <w:tc>
          <w:tcPr>
            <w:tcW w:w="1260" w:type="dxa"/>
            <w:tcBorders>
              <w:top w:val="nil"/>
              <w:left w:val="nil"/>
              <w:bottom w:val="single" w:sz="4" w:space="0" w:color="auto"/>
              <w:right w:val="single" w:sz="8" w:space="0" w:color="auto"/>
            </w:tcBorders>
            <w:shd w:val="clear" w:color="auto" w:fill="auto"/>
            <w:noWrap/>
            <w:vAlign w:val="center"/>
          </w:tcPr>
          <w:p w14:paraId="6284E065" w14:textId="77777777" w:rsidR="00335619" w:rsidRPr="0023367D" w:rsidRDefault="00335619" w:rsidP="00335619">
            <w:pPr>
              <w:spacing w:before="120"/>
              <w:jc w:val="center"/>
              <w:rPr>
                <w:rFonts w:eastAsia="Calibri"/>
                <w:sz w:val="19"/>
                <w:szCs w:val="19"/>
              </w:rPr>
            </w:pPr>
            <w:r w:rsidRPr="0023367D">
              <w:rPr>
                <w:rFonts w:eastAsia="Calibri"/>
                <w:sz w:val="19"/>
                <w:szCs w:val="19"/>
              </w:rPr>
              <w:t>-0.334%</w:t>
            </w:r>
          </w:p>
          <w:p w14:paraId="1EA1679F" w14:textId="77777777" w:rsidR="00335619" w:rsidRPr="0023367D" w:rsidRDefault="00335619" w:rsidP="00335619">
            <w:pPr>
              <w:spacing w:before="40"/>
              <w:jc w:val="center"/>
              <w:rPr>
                <w:color w:val="000000"/>
                <w:sz w:val="19"/>
                <w:szCs w:val="19"/>
              </w:rPr>
            </w:pPr>
            <w:r w:rsidRPr="0023367D">
              <w:rPr>
                <w:rFonts w:eastAsia="Calibri"/>
                <w:sz w:val="19"/>
                <w:szCs w:val="19"/>
              </w:rPr>
              <w:t>(-1.65)</w:t>
            </w:r>
          </w:p>
        </w:tc>
      </w:tr>
    </w:tbl>
    <w:p w14:paraId="7603D378" w14:textId="77777777" w:rsidR="0043463F" w:rsidRDefault="00335619" w:rsidP="003D36EE">
      <w:pPr>
        <w:tabs>
          <w:tab w:val="left" w:pos="10260"/>
        </w:tabs>
        <w:spacing w:before="40" w:line="259" w:lineRule="auto"/>
        <w:ind w:left="-450" w:right="-486"/>
        <w:rPr>
          <w:rFonts w:eastAsia="Calibri"/>
          <w:sz w:val="18"/>
          <w:szCs w:val="20"/>
        </w:rPr>
      </w:pPr>
      <w:r w:rsidRPr="0023367D">
        <w:rPr>
          <w:rFonts w:eastAsia="Calibri"/>
          <w:sz w:val="18"/>
          <w:szCs w:val="20"/>
          <w:vertAlign w:val="superscript"/>
        </w:rPr>
        <w:t xml:space="preserve">(a) </w:t>
      </w:r>
      <w:r w:rsidRPr="0023367D">
        <w:rPr>
          <w:rFonts w:eastAsia="Calibri"/>
          <w:sz w:val="18"/>
          <w:szCs w:val="20"/>
        </w:rPr>
        <w:t xml:space="preserve">Homogenous-liquid bonds </w:t>
      </w:r>
      <w:r w:rsidR="00784357" w:rsidRPr="0023367D">
        <w:rPr>
          <w:rFonts w:eastAsia="Calibri"/>
          <w:sz w:val="18"/>
          <w:szCs w:val="20"/>
        </w:rPr>
        <w:t xml:space="preserve">are </w:t>
      </w:r>
      <w:r w:rsidRPr="0023367D">
        <w:rPr>
          <w:rFonts w:eastAsia="Calibri"/>
          <w:sz w:val="18"/>
          <w:szCs w:val="20"/>
        </w:rPr>
        <w:t xml:space="preserve">defined in section </w:t>
      </w:r>
      <w:r w:rsidR="00AC1350" w:rsidRPr="0023367D">
        <w:rPr>
          <w:rFonts w:eastAsia="Calibri"/>
          <w:sz w:val="18"/>
          <w:szCs w:val="20"/>
        </w:rPr>
        <w:t>5.</w:t>
      </w:r>
      <w:r w:rsidRPr="0023367D">
        <w:rPr>
          <w:rFonts w:eastAsia="Calibri"/>
          <w:sz w:val="18"/>
          <w:szCs w:val="20"/>
        </w:rPr>
        <w:t xml:space="preserve"> </w:t>
      </w:r>
      <w:r w:rsidR="002F0ECE" w:rsidRPr="0023367D">
        <w:rPr>
          <w:rFonts w:eastAsia="Calibri"/>
          <w:sz w:val="18"/>
          <w:szCs w:val="20"/>
          <w:vertAlign w:val="superscript"/>
        </w:rPr>
        <w:t xml:space="preserve">(b) </w:t>
      </w:r>
      <w:r w:rsidR="002F0ECE" w:rsidRPr="0023367D">
        <w:rPr>
          <w:rFonts w:eastAsia="Calibri"/>
          <w:sz w:val="18"/>
          <w:szCs w:val="20"/>
        </w:rPr>
        <w:t xml:space="preserve">Estimated using bond valuation model (3). </w:t>
      </w:r>
      <w:r w:rsidR="002F0ECE" w:rsidRPr="0023367D">
        <w:rPr>
          <w:rFonts w:eastAsia="Calibri"/>
          <w:sz w:val="18"/>
          <w:szCs w:val="20"/>
          <w:vertAlign w:val="superscript"/>
        </w:rPr>
        <w:t xml:space="preserve">(c) </w:t>
      </w:r>
      <w:r w:rsidR="002F0ECE" w:rsidRPr="0023367D">
        <w:rPr>
          <w:rFonts w:eastAsia="Calibri"/>
          <w:sz w:val="18"/>
          <w:szCs w:val="20"/>
        </w:rPr>
        <w:t xml:space="preserve">Estimated using stock valuation model (2). </w:t>
      </w:r>
      <w:r w:rsidRPr="0023367D">
        <w:rPr>
          <w:rFonts w:eastAsia="Calibri"/>
          <w:sz w:val="18"/>
          <w:szCs w:val="20"/>
          <w:vertAlign w:val="superscript"/>
        </w:rPr>
        <w:t>(</w:t>
      </w:r>
      <w:r w:rsidR="002F0ECE" w:rsidRPr="0023367D">
        <w:rPr>
          <w:rFonts w:eastAsia="Calibri"/>
          <w:sz w:val="18"/>
          <w:szCs w:val="20"/>
          <w:vertAlign w:val="superscript"/>
        </w:rPr>
        <w:t>d</w:t>
      </w:r>
      <w:r w:rsidRPr="0023367D">
        <w:rPr>
          <w:rFonts w:eastAsia="Calibri"/>
          <w:sz w:val="18"/>
          <w:szCs w:val="20"/>
          <w:vertAlign w:val="superscript"/>
        </w:rPr>
        <w:t xml:space="preserve">) </w:t>
      </w:r>
      <w:r w:rsidRPr="0023367D">
        <w:rPr>
          <w:rFonts w:eastAsia="Calibri"/>
          <w:sz w:val="18"/>
          <w:szCs w:val="20"/>
        </w:rPr>
        <w:t>Adj. R</w:t>
      </w:r>
      <w:r w:rsidRPr="0023367D">
        <w:rPr>
          <w:rFonts w:eastAsia="Calibri"/>
          <w:sz w:val="18"/>
          <w:szCs w:val="20"/>
          <w:vertAlign w:val="superscript"/>
        </w:rPr>
        <w:t xml:space="preserve">2 </w:t>
      </w:r>
      <w:r w:rsidRPr="0023367D">
        <w:rPr>
          <w:rFonts w:eastAsia="Calibri"/>
          <w:sz w:val="18"/>
          <w:szCs w:val="20"/>
        </w:rPr>
        <w:t>value</w:t>
      </w:r>
      <w:r w:rsidR="002F0ECE" w:rsidRPr="0023367D">
        <w:rPr>
          <w:rFonts w:eastAsia="Calibri"/>
          <w:sz w:val="18"/>
          <w:szCs w:val="20"/>
        </w:rPr>
        <w:t>s</w:t>
      </w:r>
      <w:r w:rsidRPr="0023367D">
        <w:rPr>
          <w:rFonts w:eastAsia="Calibri"/>
          <w:sz w:val="18"/>
          <w:szCs w:val="20"/>
        </w:rPr>
        <w:t xml:space="preserve"> each year </w:t>
      </w:r>
      <w:r w:rsidR="002F0ECE" w:rsidRPr="0023367D">
        <w:rPr>
          <w:rFonts w:eastAsia="Calibri"/>
          <w:sz w:val="18"/>
          <w:szCs w:val="20"/>
        </w:rPr>
        <w:t>are</w:t>
      </w:r>
      <w:r w:rsidRPr="0023367D">
        <w:rPr>
          <w:rFonts w:eastAsia="Calibri"/>
          <w:sz w:val="18"/>
          <w:szCs w:val="20"/>
        </w:rPr>
        <w:t xml:space="preserve"> the moving average of the annual adjusted R</w:t>
      </w:r>
      <w:r w:rsidRPr="0023367D">
        <w:rPr>
          <w:rFonts w:eastAsia="Calibri"/>
          <w:sz w:val="18"/>
          <w:szCs w:val="20"/>
          <w:vertAlign w:val="superscript"/>
        </w:rPr>
        <w:t xml:space="preserve">2 </w:t>
      </w:r>
      <w:r w:rsidRPr="0023367D">
        <w:rPr>
          <w:rFonts w:eastAsia="Calibri"/>
          <w:sz w:val="18"/>
          <w:szCs w:val="20"/>
        </w:rPr>
        <w:t xml:space="preserve">over </w:t>
      </w:r>
      <w:r w:rsidR="002F0ECE" w:rsidRPr="0023367D">
        <w:rPr>
          <w:rFonts w:eastAsia="Calibri"/>
          <w:sz w:val="18"/>
          <w:szCs w:val="20"/>
        </w:rPr>
        <w:t>five</w:t>
      </w:r>
      <w:r w:rsidRPr="0023367D">
        <w:rPr>
          <w:rFonts w:eastAsia="Calibri"/>
          <w:sz w:val="18"/>
          <w:szCs w:val="20"/>
        </w:rPr>
        <w:t xml:space="preserve"> years centered on that year (except for the two years at each edge of the time-series). R</w:t>
      </w:r>
      <w:r w:rsidRPr="0023367D">
        <w:rPr>
          <w:rFonts w:eastAsia="Calibri"/>
          <w:sz w:val="18"/>
          <w:szCs w:val="20"/>
          <w:vertAlign w:val="superscript"/>
        </w:rPr>
        <w:t>2</w:t>
      </w:r>
      <w:r w:rsidRPr="0023367D">
        <w:rPr>
          <w:rFonts w:eastAsia="Calibri"/>
          <w:sz w:val="18"/>
          <w:szCs w:val="20"/>
        </w:rPr>
        <w:t>A</w:t>
      </w:r>
      <w:r w:rsidRPr="0023367D">
        <w:rPr>
          <w:rFonts w:eastAsia="Calibri"/>
          <w:sz w:val="18"/>
          <w:szCs w:val="20"/>
          <w:vertAlign w:val="subscript"/>
        </w:rPr>
        <w:t>CCT</w:t>
      </w:r>
      <w:r w:rsidRPr="0023367D">
        <w:rPr>
          <w:rFonts w:eastAsia="Calibri"/>
          <w:sz w:val="18"/>
          <w:szCs w:val="20"/>
        </w:rPr>
        <w:t xml:space="preserve"> is the adjusted R</w:t>
      </w:r>
      <w:r w:rsidRPr="0023367D">
        <w:rPr>
          <w:rFonts w:eastAsia="Calibri"/>
          <w:sz w:val="18"/>
          <w:szCs w:val="20"/>
          <w:vertAlign w:val="superscript"/>
        </w:rPr>
        <w:t>2</w:t>
      </w:r>
      <w:r w:rsidRPr="0023367D">
        <w:rPr>
          <w:rFonts w:eastAsia="Calibri"/>
          <w:sz w:val="18"/>
          <w:szCs w:val="20"/>
        </w:rPr>
        <w:t xml:space="preserve"> from the return regression estimated from accounting variables only. </w:t>
      </w:r>
      <w:r w:rsidRPr="0023367D">
        <w:rPr>
          <w:rFonts w:eastAsia="Calibri"/>
          <w:sz w:val="18"/>
          <w:szCs w:val="20"/>
          <w:vertAlign w:val="superscript"/>
        </w:rPr>
        <w:t>(</w:t>
      </w:r>
      <w:r w:rsidR="002F0ECE" w:rsidRPr="0023367D">
        <w:rPr>
          <w:rFonts w:eastAsia="Calibri"/>
          <w:sz w:val="18"/>
          <w:szCs w:val="20"/>
          <w:vertAlign w:val="superscript"/>
        </w:rPr>
        <w:t>e</w:t>
      </w:r>
      <w:r w:rsidRPr="0023367D">
        <w:rPr>
          <w:rFonts w:eastAsia="Calibri"/>
          <w:sz w:val="18"/>
          <w:szCs w:val="20"/>
          <w:vertAlign w:val="superscript"/>
        </w:rPr>
        <w:t>)</w:t>
      </w:r>
      <w:r w:rsidRPr="0023367D">
        <w:rPr>
          <w:rFonts w:eastAsia="Calibri"/>
          <w:sz w:val="18"/>
          <w:szCs w:val="20"/>
        </w:rPr>
        <w:t xml:space="preserve"> Results are from estimation of a trend-line regression Adj.R</w:t>
      </w:r>
      <w:r w:rsidRPr="0023367D">
        <w:rPr>
          <w:rFonts w:eastAsia="Calibri"/>
          <w:sz w:val="18"/>
          <w:szCs w:val="20"/>
          <w:vertAlign w:val="superscript"/>
        </w:rPr>
        <w:t>2</w:t>
      </w:r>
      <w:r w:rsidRPr="0023367D">
        <w:rPr>
          <w:rFonts w:eastAsia="Calibri"/>
          <w:sz w:val="18"/>
          <w:szCs w:val="20"/>
        </w:rPr>
        <w:t xml:space="preserve"> (%) = a + </w:t>
      </w:r>
      <w:proofErr w:type="spellStart"/>
      <w:r w:rsidRPr="0023367D">
        <w:rPr>
          <w:rFonts w:eastAsia="Calibri"/>
          <w:sz w:val="18"/>
          <w:szCs w:val="20"/>
        </w:rPr>
        <w:t>bT</w:t>
      </w:r>
      <w:proofErr w:type="spellEnd"/>
      <w:r w:rsidRPr="0023367D">
        <w:rPr>
          <w:rFonts w:eastAsia="Calibri"/>
          <w:sz w:val="18"/>
          <w:szCs w:val="20"/>
        </w:rPr>
        <w:t>+ e, estimated from the 39 annual observations where T is a year index, T=1</w:t>
      </w:r>
      <w:proofErr w:type="gramStart"/>
      <w:r w:rsidRPr="0023367D">
        <w:rPr>
          <w:rFonts w:eastAsia="Calibri"/>
          <w:sz w:val="18"/>
          <w:szCs w:val="20"/>
        </w:rPr>
        <w:t>, ,</w:t>
      </w:r>
      <w:proofErr w:type="gramEnd"/>
      <w:r w:rsidRPr="0023367D">
        <w:rPr>
          <w:rFonts w:eastAsia="Calibri"/>
          <w:sz w:val="18"/>
          <w:szCs w:val="20"/>
        </w:rPr>
        <w:t xml:space="preserve"> 39. Asterisks indicate significance at the 10% (</w:t>
      </w:r>
      <w:r w:rsidRPr="0023367D">
        <w:rPr>
          <w:rFonts w:eastAsia="Calibri"/>
          <w:sz w:val="14"/>
          <w:szCs w:val="20"/>
        </w:rPr>
        <w:t>*</w:t>
      </w:r>
      <w:r w:rsidRPr="0023367D">
        <w:rPr>
          <w:rFonts w:eastAsia="Calibri"/>
          <w:sz w:val="18"/>
          <w:szCs w:val="20"/>
        </w:rPr>
        <w:t>), 5% (</w:t>
      </w:r>
      <w:r w:rsidRPr="0023367D">
        <w:rPr>
          <w:rFonts w:eastAsia="Calibri"/>
          <w:sz w:val="14"/>
          <w:szCs w:val="20"/>
        </w:rPr>
        <w:t>**</w:t>
      </w:r>
      <w:r w:rsidRPr="0023367D">
        <w:rPr>
          <w:rFonts w:eastAsia="Calibri"/>
          <w:sz w:val="18"/>
          <w:szCs w:val="20"/>
        </w:rPr>
        <w:t>) and 1% (</w:t>
      </w:r>
      <w:r w:rsidRPr="0023367D">
        <w:rPr>
          <w:rFonts w:eastAsia="Calibri"/>
          <w:sz w:val="14"/>
          <w:szCs w:val="20"/>
        </w:rPr>
        <w:t>***</w:t>
      </w:r>
      <w:r w:rsidRPr="0023367D">
        <w:rPr>
          <w:rFonts w:eastAsia="Calibri"/>
          <w:sz w:val="18"/>
          <w:szCs w:val="20"/>
        </w:rPr>
        <w:t>) levels, respectively, using a two-tailed test.</w:t>
      </w:r>
      <w:r w:rsidR="003D36EE" w:rsidRPr="003D36EE">
        <w:rPr>
          <w:rFonts w:eastAsia="Calibri"/>
          <w:sz w:val="17"/>
          <w:szCs w:val="17"/>
        </w:rPr>
        <w:t xml:space="preserve"> </w:t>
      </w:r>
      <w:r w:rsidR="003D36EE" w:rsidRPr="00A725AC">
        <w:rPr>
          <w:rFonts w:eastAsia="Calibri"/>
          <w:sz w:val="17"/>
          <w:szCs w:val="17"/>
        </w:rPr>
        <w:t>.</w:t>
      </w:r>
      <w:r w:rsidR="003D36EE">
        <w:rPr>
          <w:rFonts w:eastAsia="Calibri"/>
          <w:sz w:val="17"/>
          <w:szCs w:val="17"/>
        </w:rPr>
        <w:t xml:space="preserve"> </w:t>
      </w:r>
      <w:r w:rsidR="003D36EE" w:rsidRPr="0023367D">
        <w:rPr>
          <w:sz w:val="17"/>
          <w:szCs w:val="17"/>
          <w:vertAlign w:val="superscript"/>
        </w:rPr>
        <w:t>(f)</w:t>
      </w:r>
      <w:r w:rsidR="003D36EE" w:rsidRPr="0023367D">
        <w:rPr>
          <w:sz w:val="17"/>
          <w:szCs w:val="17"/>
        </w:rPr>
        <w:t xml:space="preserve"> </w:t>
      </w:r>
      <w:r w:rsidR="003D36EE" w:rsidRPr="0023367D">
        <w:rPr>
          <w:bCs/>
          <w:iCs/>
          <w:sz w:val="17"/>
          <w:szCs w:val="17"/>
        </w:rPr>
        <w:t xml:space="preserve">The number of observations is smaller than the full sample (20,700) </w:t>
      </w:r>
      <w:r w:rsidR="003D36EE">
        <w:rPr>
          <w:bCs/>
          <w:iCs/>
          <w:sz w:val="17"/>
          <w:szCs w:val="17"/>
        </w:rPr>
        <w:t xml:space="preserve">and homogenous-liquid sample (6,536) </w:t>
      </w:r>
      <w:r w:rsidR="003D36EE" w:rsidRPr="0023367D">
        <w:rPr>
          <w:bCs/>
          <w:iCs/>
          <w:sz w:val="17"/>
          <w:szCs w:val="17"/>
        </w:rPr>
        <w:t>due to missing data</w:t>
      </w:r>
      <w:r w:rsidR="003D36EE">
        <w:rPr>
          <w:bCs/>
          <w:iCs/>
          <w:sz w:val="17"/>
          <w:szCs w:val="17"/>
        </w:rPr>
        <w:t xml:space="preserve"> on independent variables.</w:t>
      </w:r>
    </w:p>
    <w:p w14:paraId="0BD4A845" w14:textId="77777777" w:rsidR="00335619" w:rsidRPr="0023367D" w:rsidRDefault="0043463F" w:rsidP="0043463F">
      <w:pPr>
        <w:tabs>
          <w:tab w:val="left" w:pos="10260"/>
        </w:tabs>
        <w:spacing w:before="40" w:line="259" w:lineRule="auto"/>
        <w:ind w:left="-90" w:right="-360"/>
        <w:jc w:val="center"/>
        <w:rPr>
          <w:rFonts w:eastAsia="Calibri"/>
          <w:b/>
          <w:bCs/>
          <w:szCs w:val="22"/>
        </w:rPr>
      </w:pPr>
      <w:r>
        <w:rPr>
          <w:rFonts w:eastAsia="Calibri"/>
          <w:sz w:val="18"/>
          <w:szCs w:val="20"/>
        </w:rPr>
        <w:br w:type="page"/>
      </w:r>
      <w:r w:rsidR="00335619" w:rsidRPr="0023367D">
        <w:rPr>
          <w:rFonts w:eastAsia="Calibri"/>
          <w:b/>
          <w:bCs/>
          <w:szCs w:val="22"/>
        </w:rPr>
        <w:t>Table 4 (Continued)</w:t>
      </w:r>
    </w:p>
    <w:p w14:paraId="78481456" w14:textId="77777777" w:rsidR="00335619" w:rsidRPr="0023367D" w:rsidRDefault="0043463F" w:rsidP="0043463F">
      <w:pPr>
        <w:spacing w:line="259" w:lineRule="auto"/>
        <w:ind w:left="-450"/>
        <w:contextualSpacing/>
        <w:rPr>
          <w:rFonts w:eastAsia="Calibri"/>
          <w:sz w:val="20"/>
          <w:szCs w:val="20"/>
        </w:rPr>
      </w:pPr>
      <w:r>
        <w:rPr>
          <w:rFonts w:eastAsia="Calibri"/>
          <w:b/>
          <w:bCs/>
          <w:szCs w:val="22"/>
        </w:rPr>
        <w:t xml:space="preserve">B. </w:t>
      </w:r>
      <w:r w:rsidR="00335619" w:rsidRPr="0023367D">
        <w:rPr>
          <w:rFonts w:eastAsia="Calibri"/>
          <w:b/>
          <w:bCs/>
          <w:szCs w:val="22"/>
        </w:rPr>
        <w:t xml:space="preserve">Association between Security </w:t>
      </w:r>
      <w:r w:rsidR="00335619" w:rsidRPr="0023367D">
        <w:rPr>
          <w:rFonts w:eastAsia="Calibri"/>
          <w:b/>
          <w:bCs/>
          <w:i/>
          <w:iCs/>
          <w:szCs w:val="22"/>
        </w:rPr>
        <w:t>Returns</w:t>
      </w:r>
      <w:r w:rsidR="00335619" w:rsidRPr="0023367D">
        <w:rPr>
          <w:rFonts w:eastAsia="Calibri"/>
          <w:b/>
          <w:bCs/>
          <w:szCs w:val="22"/>
        </w:rPr>
        <w:t xml:space="preserve"> and Accounting Information  </w:t>
      </w:r>
    </w:p>
    <w:tbl>
      <w:tblPr>
        <w:tblW w:w="10318" w:type="dxa"/>
        <w:jc w:val="center"/>
        <w:tblLayout w:type="fixed"/>
        <w:tblLook w:val="04A0" w:firstRow="1" w:lastRow="0" w:firstColumn="1" w:lastColumn="0" w:noHBand="0" w:noVBand="1"/>
      </w:tblPr>
      <w:tblGrid>
        <w:gridCol w:w="1498"/>
        <w:gridCol w:w="1012"/>
        <w:gridCol w:w="909"/>
        <w:gridCol w:w="1067"/>
        <w:gridCol w:w="1591"/>
        <w:gridCol w:w="720"/>
        <w:gridCol w:w="990"/>
        <w:gridCol w:w="1006"/>
        <w:gridCol w:w="1514"/>
        <w:gridCol w:w="11"/>
      </w:tblGrid>
      <w:tr w:rsidR="00335619" w:rsidRPr="0023367D" w14:paraId="6D227233" w14:textId="77777777" w:rsidTr="0043463F">
        <w:trPr>
          <w:trHeight w:hRule="exact" w:val="288"/>
          <w:jc w:val="center"/>
        </w:trPr>
        <w:tc>
          <w:tcPr>
            <w:tcW w:w="1498" w:type="dxa"/>
            <w:vMerge w:val="restart"/>
            <w:tcBorders>
              <w:top w:val="single" w:sz="8" w:space="0" w:color="auto"/>
              <w:left w:val="single" w:sz="8" w:space="0" w:color="auto"/>
              <w:right w:val="single" w:sz="8" w:space="0" w:color="auto"/>
            </w:tcBorders>
            <w:shd w:val="clear" w:color="auto" w:fill="auto"/>
            <w:noWrap/>
            <w:vAlign w:val="center"/>
          </w:tcPr>
          <w:p w14:paraId="00412D11" w14:textId="77777777" w:rsidR="00335619" w:rsidRPr="0023367D" w:rsidRDefault="00335619" w:rsidP="00335619">
            <w:pPr>
              <w:spacing w:after="160" w:line="259" w:lineRule="auto"/>
              <w:jc w:val="center"/>
              <w:rPr>
                <w:rFonts w:eastAsia="Calibri"/>
                <w:bCs/>
                <w:color w:val="000000"/>
                <w:sz w:val="19"/>
                <w:szCs w:val="19"/>
              </w:rPr>
            </w:pPr>
            <w:r w:rsidRPr="0023367D">
              <w:rPr>
                <w:rFonts w:eastAsia="Calibri"/>
                <w:bCs/>
                <w:color w:val="000000"/>
                <w:sz w:val="19"/>
                <w:szCs w:val="19"/>
              </w:rPr>
              <w:t>Years Examined</w:t>
            </w:r>
          </w:p>
        </w:tc>
        <w:tc>
          <w:tcPr>
            <w:tcW w:w="4579" w:type="dxa"/>
            <w:gridSpan w:val="4"/>
            <w:tcBorders>
              <w:top w:val="single" w:sz="8" w:space="0" w:color="auto"/>
              <w:left w:val="nil"/>
              <w:bottom w:val="single" w:sz="4" w:space="0" w:color="auto"/>
              <w:right w:val="single" w:sz="12" w:space="0" w:color="auto"/>
            </w:tcBorders>
            <w:shd w:val="clear" w:color="auto" w:fill="auto"/>
            <w:noWrap/>
            <w:vAlign w:val="center"/>
          </w:tcPr>
          <w:p w14:paraId="5F6AA889" w14:textId="77777777" w:rsidR="00335619" w:rsidRPr="0023367D" w:rsidRDefault="00335619" w:rsidP="00335619">
            <w:pPr>
              <w:spacing w:after="160" w:line="259" w:lineRule="auto"/>
              <w:contextualSpacing/>
              <w:jc w:val="center"/>
              <w:rPr>
                <w:rFonts w:eastAsia="Calibri"/>
                <w:b/>
                <w:bCs/>
                <w:color w:val="000000"/>
                <w:sz w:val="19"/>
                <w:szCs w:val="19"/>
                <w:lang w:bidi="he-IL"/>
              </w:rPr>
            </w:pPr>
            <w:r w:rsidRPr="0023367D">
              <w:rPr>
                <w:rFonts w:eastAsia="Calibri"/>
                <w:b/>
                <w:bCs/>
                <w:color w:val="000000"/>
                <w:sz w:val="19"/>
                <w:szCs w:val="19"/>
                <w:lang w:bidi="he-IL"/>
              </w:rPr>
              <w:t>Full Sample</w:t>
            </w:r>
          </w:p>
        </w:tc>
        <w:tc>
          <w:tcPr>
            <w:tcW w:w="4241" w:type="dxa"/>
            <w:gridSpan w:val="5"/>
            <w:tcBorders>
              <w:top w:val="single" w:sz="8" w:space="0" w:color="auto"/>
              <w:left w:val="single" w:sz="12" w:space="0" w:color="auto"/>
              <w:bottom w:val="single" w:sz="8" w:space="0" w:color="auto"/>
              <w:right w:val="single" w:sz="8" w:space="0" w:color="auto"/>
            </w:tcBorders>
            <w:shd w:val="clear" w:color="auto" w:fill="auto"/>
            <w:vAlign w:val="center"/>
          </w:tcPr>
          <w:p w14:paraId="19D074ED" w14:textId="77777777" w:rsidR="00335619" w:rsidRPr="0023367D" w:rsidRDefault="00335619" w:rsidP="00335619">
            <w:pPr>
              <w:spacing w:after="160" w:line="259" w:lineRule="auto"/>
              <w:contextualSpacing/>
              <w:jc w:val="center"/>
              <w:rPr>
                <w:b/>
                <w:color w:val="000000"/>
                <w:sz w:val="19"/>
                <w:szCs w:val="19"/>
              </w:rPr>
            </w:pPr>
            <w:r w:rsidRPr="0023367D">
              <w:rPr>
                <w:rFonts w:eastAsia="Calibri"/>
                <w:b/>
                <w:bCs/>
                <w:color w:val="000000"/>
                <w:sz w:val="19"/>
                <w:szCs w:val="19"/>
                <w:lang w:bidi="he-IL"/>
              </w:rPr>
              <w:t>Subsample of Homogeneous-Liquid Bonds</w:t>
            </w:r>
            <w:r w:rsidRPr="0023367D">
              <w:rPr>
                <w:rFonts w:eastAsia="Calibri"/>
                <w:b/>
                <w:bCs/>
                <w:color w:val="000000"/>
                <w:sz w:val="19"/>
                <w:szCs w:val="19"/>
                <w:vertAlign w:val="superscript"/>
                <w:lang w:bidi="he-IL"/>
              </w:rPr>
              <w:t>(a)</w:t>
            </w:r>
          </w:p>
        </w:tc>
      </w:tr>
      <w:tr w:rsidR="00335619" w:rsidRPr="0023367D" w14:paraId="6E9C7AD1" w14:textId="77777777" w:rsidTr="008D56F1">
        <w:trPr>
          <w:gridAfter w:val="1"/>
          <w:wAfter w:w="11" w:type="dxa"/>
          <w:trHeight w:hRule="exact" w:val="308"/>
          <w:jc w:val="center"/>
        </w:trPr>
        <w:tc>
          <w:tcPr>
            <w:tcW w:w="1498" w:type="dxa"/>
            <w:vMerge/>
            <w:tcBorders>
              <w:left w:val="single" w:sz="8" w:space="0" w:color="auto"/>
              <w:right w:val="single" w:sz="8" w:space="0" w:color="auto"/>
            </w:tcBorders>
            <w:shd w:val="clear" w:color="auto" w:fill="auto"/>
            <w:noWrap/>
            <w:vAlign w:val="center"/>
          </w:tcPr>
          <w:p w14:paraId="5D840104" w14:textId="77777777" w:rsidR="00335619" w:rsidRPr="0023367D" w:rsidRDefault="00335619" w:rsidP="00335619">
            <w:pPr>
              <w:spacing w:after="160" w:line="259" w:lineRule="auto"/>
              <w:jc w:val="center"/>
              <w:rPr>
                <w:rFonts w:eastAsia="Calibri"/>
                <w:bCs/>
                <w:color w:val="000000"/>
                <w:sz w:val="19"/>
                <w:szCs w:val="19"/>
              </w:rPr>
            </w:pPr>
          </w:p>
        </w:tc>
        <w:tc>
          <w:tcPr>
            <w:tcW w:w="1012" w:type="dxa"/>
            <w:vMerge w:val="restart"/>
            <w:tcBorders>
              <w:top w:val="single" w:sz="4" w:space="0" w:color="auto"/>
              <w:left w:val="nil"/>
              <w:right w:val="single" w:sz="8" w:space="0" w:color="auto"/>
            </w:tcBorders>
            <w:shd w:val="clear" w:color="auto" w:fill="auto"/>
            <w:noWrap/>
            <w:vAlign w:val="center"/>
          </w:tcPr>
          <w:p w14:paraId="2C27E546" w14:textId="77777777" w:rsidR="00335619" w:rsidRPr="0023367D" w:rsidRDefault="00335619" w:rsidP="00335619">
            <w:pPr>
              <w:spacing w:after="160" w:line="259" w:lineRule="auto"/>
              <w:jc w:val="center"/>
              <w:rPr>
                <w:rFonts w:eastAsia="Calibri"/>
                <w:bCs/>
                <w:color w:val="000000"/>
                <w:sz w:val="19"/>
                <w:szCs w:val="19"/>
                <w:lang w:bidi="he-IL"/>
              </w:rPr>
            </w:pPr>
            <w:r w:rsidRPr="0023367D">
              <w:rPr>
                <w:rFonts w:eastAsia="Calibri"/>
                <w:color w:val="000000"/>
                <w:sz w:val="19"/>
                <w:szCs w:val="19"/>
                <w:lang w:bidi="he-IL"/>
              </w:rPr>
              <w:t>N</w:t>
            </w:r>
          </w:p>
        </w:tc>
        <w:tc>
          <w:tcPr>
            <w:tcW w:w="1976" w:type="dxa"/>
            <w:gridSpan w:val="2"/>
            <w:tcBorders>
              <w:top w:val="single" w:sz="4" w:space="0" w:color="auto"/>
              <w:left w:val="nil"/>
              <w:bottom w:val="single" w:sz="8" w:space="0" w:color="auto"/>
              <w:right w:val="single" w:sz="8" w:space="0" w:color="auto"/>
            </w:tcBorders>
            <w:shd w:val="clear" w:color="auto" w:fill="auto"/>
            <w:vAlign w:val="center"/>
          </w:tcPr>
          <w:p w14:paraId="11937AB6" w14:textId="77777777" w:rsidR="00335619" w:rsidRPr="0023367D" w:rsidRDefault="00335619" w:rsidP="00B01D4C">
            <w:pPr>
              <w:spacing w:line="259" w:lineRule="auto"/>
              <w:contextualSpacing/>
              <w:jc w:val="center"/>
              <w:rPr>
                <w:rFonts w:eastAsia="Calibri"/>
                <w:bCs/>
                <w:color w:val="000000"/>
                <w:sz w:val="19"/>
                <w:szCs w:val="19"/>
                <w:lang w:bidi="he-IL"/>
              </w:rPr>
            </w:pPr>
            <w:r w:rsidRPr="0023367D">
              <w:rPr>
                <w:rFonts w:eastAsia="Calibri"/>
                <w:bCs/>
                <w:color w:val="000000"/>
                <w:sz w:val="19"/>
                <w:szCs w:val="19"/>
                <w:lang w:bidi="he-IL"/>
              </w:rPr>
              <w:t>Bond</w:t>
            </w:r>
            <w:r w:rsidR="00B01D4C" w:rsidRPr="0023367D">
              <w:rPr>
                <w:rFonts w:eastAsia="Calibri"/>
                <w:bCs/>
                <w:color w:val="000000"/>
                <w:sz w:val="19"/>
                <w:szCs w:val="19"/>
                <w:lang w:bidi="he-IL"/>
              </w:rPr>
              <w:t xml:space="preserve"> </w:t>
            </w:r>
            <w:r w:rsidR="00190831" w:rsidRPr="0023367D">
              <w:rPr>
                <w:rFonts w:eastAsia="Calibri"/>
                <w:bCs/>
                <w:color w:val="000000"/>
                <w:sz w:val="19"/>
                <w:szCs w:val="19"/>
                <w:lang w:bidi="he-IL"/>
              </w:rPr>
              <w:t>Return</w:t>
            </w:r>
            <w:r w:rsidR="00B01D4C" w:rsidRPr="0023367D">
              <w:rPr>
                <w:rFonts w:eastAsia="Calibri"/>
                <w:bCs/>
                <w:color w:val="000000"/>
                <w:sz w:val="19"/>
                <w:szCs w:val="19"/>
                <w:lang w:bidi="he-IL"/>
              </w:rPr>
              <w:t>s</w:t>
            </w:r>
            <w:r w:rsidR="00190831" w:rsidRPr="0023367D">
              <w:rPr>
                <w:rFonts w:eastAsia="Calibri"/>
                <w:bCs/>
                <w:color w:val="000000"/>
                <w:sz w:val="19"/>
                <w:szCs w:val="19"/>
                <w:lang w:bidi="he-IL"/>
              </w:rPr>
              <w:t xml:space="preserve"> </w:t>
            </w:r>
            <w:r w:rsidR="00B01D4C" w:rsidRPr="0023367D">
              <w:rPr>
                <w:rFonts w:eastAsia="Calibri"/>
                <w:bCs/>
                <w:color w:val="000000"/>
                <w:sz w:val="19"/>
                <w:szCs w:val="19"/>
                <w:vertAlign w:val="superscript"/>
                <w:lang w:bidi="he-IL"/>
              </w:rPr>
              <w:t xml:space="preserve">(b) </w:t>
            </w:r>
          </w:p>
        </w:tc>
        <w:tc>
          <w:tcPr>
            <w:tcW w:w="1591" w:type="dxa"/>
            <w:tcBorders>
              <w:top w:val="single" w:sz="4" w:space="0" w:color="auto"/>
              <w:left w:val="nil"/>
              <w:bottom w:val="single" w:sz="8" w:space="0" w:color="auto"/>
              <w:right w:val="single" w:sz="12" w:space="0" w:color="auto"/>
            </w:tcBorders>
            <w:vAlign w:val="center"/>
          </w:tcPr>
          <w:p w14:paraId="61D74825" w14:textId="77777777" w:rsidR="00335619" w:rsidRPr="0023367D" w:rsidRDefault="00335619" w:rsidP="00B01D4C">
            <w:pPr>
              <w:spacing w:after="160" w:line="259" w:lineRule="auto"/>
              <w:contextualSpacing/>
              <w:jc w:val="center"/>
              <w:rPr>
                <w:rFonts w:eastAsia="Calibri"/>
                <w:bCs/>
                <w:color w:val="000000"/>
                <w:sz w:val="19"/>
                <w:szCs w:val="19"/>
                <w:vertAlign w:val="superscript"/>
                <w:lang w:bidi="he-IL"/>
              </w:rPr>
            </w:pPr>
            <w:r w:rsidRPr="0023367D">
              <w:rPr>
                <w:rFonts w:eastAsia="Calibri"/>
                <w:bCs/>
                <w:color w:val="000000"/>
                <w:sz w:val="19"/>
                <w:szCs w:val="19"/>
                <w:lang w:bidi="he-IL"/>
              </w:rPr>
              <w:t xml:space="preserve">Stock </w:t>
            </w:r>
            <w:r w:rsidR="00B01D4C" w:rsidRPr="0023367D">
              <w:rPr>
                <w:rFonts w:eastAsia="Calibri"/>
                <w:bCs/>
                <w:color w:val="000000"/>
                <w:sz w:val="19"/>
                <w:szCs w:val="19"/>
                <w:lang w:bidi="he-IL"/>
              </w:rPr>
              <w:t xml:space="preserve">Returns </w:t>
            </w:r>
            <w:r w:rsidR="00B01D4C" w:rsidRPr="0023367D">
              <w:rPr>
                <w:rFonts w:eastAsia="Calibri"/>
                <w:bCs/>
                <w:color w:val="000000"/>
                <w:sz w:val="19"/>
                <w:szCs w:val="19"/>
                <w:vertAlign w:val="superscript"/>
                <w:lang w:bidi="he-IL"/>
              </w:rPr>
              <w:t>(c)</w:t>
            </w:r>
          </w:p>
        </w:tc>
        <w:tc>
          <w:tcPr>
            <w:tcW w:w="720" w:type="dxa"/>
            <w:vMerge w:val="restart"/>
            <w:tcBorders>
              <w:top w:val="single" w:sz="8" w:space="0" w:color="auto"/>
              <w:left w:val="single" w:sz="12" w:space="0" w:color="auto"/>
              <w:right w:val="single" w:sz="4" w:space="0" w:color="auto"/>
            </w:tcBorders>
            <w:shd w:val="clear" w:color="auto" w:fill="auto"/>
            <w:vAlign w:val="center"/>
          </w:tcPr>
          <w:p w14:paraId="1AF79DD8" w14:textId="77777777" w:rsidR="00335619" w:rsidRPr="0023367D" w:rsidRDefault="00335619" w:rsidP="00335619">
            <w:pPr>
              <w:spacing w:after="160" w:line="259" w:lineRule="auto"/>
              <w:jc w:val="center"/>
              <w:rPr>
                <w:rFonts w:eastAsia="Calibri"/>
                <w:bCs/>
                <w:color w:val="000000"/>
                <w:sz w:val="19"/>
                <w:szCs w:val="19"/>
                <w:lang w:bidi="he-IL"/>
              </w:rPr>
            </w:pPr>
            <w:r w:rsidRPr="0023367D">
              <w:rPr>
                <w:rFonts w:eastAsia="Calibri"/>
                <w:color w:val="000000"/>
                <w:sz w:val="19"/>
                <w:szCs w:val="19"/>
                <w:lang w:bidi="he-IL"/>
              </w:rPr>
              <w:t>N</w:t>
            </w:r>
          </w:p>
        </w:tc>
        <w:tc>
          <w:tcPr>
            <w:tcW w:w="1996" w:type="dxa"/>
            <w:gridSpan w:val="2"/>
            <w:tcBorders>
              <w:top w:val="single" w:sz="8" w:space="0" w:color="auto"/>
              <w:left w:val="single" w:sz="4" w:space="0" w:color="auto"/>
              <w:bottom w:val="single" w:sz="8" w:space="0" w:color="auto"/>
              <w:right w:val="single" w:sz="8" w:space="0" w:color="auto"/>
            </w:tcBorders>
            <w:shd w:val="clear" w:color="auto" w:fill="auto"/>
            <w:vAlign w:val="center"/>
          </w:tcPr>
          <w:p w14:paraId="286F1840" w14:textId="77777777" w:rsidR="00335619" w:rsidRPr="0023367D" w:rsidRDefault="00335619" w:rsidP="003D4735">
            <w:pPr>
              <w:spacing w:line="259" w:lineRule="auto"/>
              <w:contextualSpacing/>
              <w:jc w:val="center"/>
              <w:rPr>
                <w:rFonts w:eastAsia="Calibri"/>
                <w:bCs/>
                <w:color w:val="000000"/>
                <w:sz w:val="19"/>
                <w:szCs w:val="19"/>
                <w:vertAlign w:val="superscript"/>
                <w:lang w:bidi="he-IL"/>
              </w:rPr>
            </w:pPr>
            <w:r w:rsidRPr="0023367D">
              <w:rPr>
                <w:rFonts w:eastAsia="Calibri"/>
                <w:bCs/>
                <w:color w:val="000000"/>
                <w:sz w:val="19"/>
                <w:szCs w:val="19"/>
                <w:lang w:bidi="he-IL"/>
              </w:rPr>
              <w:t xml:space="preserve">Bonds </w:t>
            </w:r>
            <w:r w:rsidR="00190831" w:rsidRPr="0023367D">
              <w:rPr>
                <w:rFonts w:eastAsia="Calibri"/>
                <w:bCs/>
                <w:color w:val="000000"/>
                <w:sz w:val="19"/>
                <w:szCs w:val="19"/>
                <w:lang w:bidi="he-IL"/>
              </w:rPr>
              <w:t>Return</w:t>
            </w:r>
            <w:r w:rsidR="00B01D4C" w:rsidRPr="0023367D">
              <w:rPr>
                <w:rFonts w:eastAsia="Calibri"/>
                <w:bCs/>
                <w:color w:val="000000"/>
                <w:sz w:val="19"/>
                <w:szCs w:val="19"/>
                <w:lang w:bidi="he-IL"/>
              </w:rPr>
              <w:t>s</w:t>
            </w:r>
            <w:r w:rsidR="003D4735" w:rsidRPr="0023367D">
              <w:rPr>
                <w:rFonts w:eastAsia="Calibri"/>
                <w:bCs/>
                <w:color w:val="000000"/>
                <w:sz w:val="19"/>
                <w:szCs w:val="19"/>
                <w:vertAlign w:val="superscript"/>
                <w:lang w:bidi="he-IL"/>
              </w:rPr>
              <w:t>(b)</w:t>
            </w:r>
          </w:p>
        </w:tc>
        <w:tc>
          <w:tcPr>
            <w:tcW w:w="1514" w:type="dxa"/>
            <w:tcBorders>
              <w:top w:val="single" w:sz="4" w:space="0" w:color="auto"/>
              <w:left w:val="nil"/>
              <w:bottom w:val="single" w:sz="8" w:space="0" w:color="auto"/>
              <w:right w:val="single" w:sz="8" w:space="0" w:color="auto"/>
            </w:tcBorders>
            <w:shd w:val="clear" w:color="auto" w:fill="auto"/>
            <w:noWrap/>
            <w:vAlign w:val="center"/>
          </w:tcPr>
          <w:p w14:paraId="49020C3E" w14:textId="77777777" w:rsidR="00335619" w:rsidRPr="0023367D" w:rsidRDefault="00335619" w:rsidP="003D4735">
            <w:pPr>
              <w:jc w:val="center"/>
              <w:rPr>
                <w:color w:val="000000"/>
                <w:sz w:val="19"/>
                <w:szCs w:val="19"/>
                <w:vertAlign w:val="superscript"/>
              </w:rPr>
            </w:pPr>
            <w:r w:rsidRPr="0023367D">
              <w:rPr>
                <w:color w:val="000000"/>
                <w:sz w:val="19"/>
                <w:szCs w:val="19"/>
              </w:rPr>
              <w:t xml:space="preserve">Stock </w:t>
            </w:r>
            <w:r w:rsidR="003D4735" w:rsidRPr="0023367D">
              <w:rPr>
                <w:color w:val="000000"/>
                <w:sz w:val="19"/>
                <w:szCs w:val="19"/>
              </w:rPr>
              <w:t xml:space="preserve">Returns </w:t>
            </w:r>
            <w:r w:rsidR="003D4735" w:rsidRPr="0023367D">
              <w:rPr>
                <w:color w:val="000000"/>
                <w:sz w:val="19"/>
                <w:szCs w:val="19"/>
                <w:vertAlign w:val="superscript"/>
              </w:rPr>
              <w:t>(c)</w:t>
            </w:r>
          </w:p>
        </w:tc>
      </w:tr>
      <w:tr w:rsidR="00335619" w:rsidRPr="0023367D" w14:paraId="6B3D181C" w14:textId="77777777" w:rsidTr="008D56F1">
        <w:trPr>
          <w:gridAfter w:val="1"/>
          <w:wAfter w:w="11" w:type="dxa"/>
          <w:trHeight w:hRule="exact" w:val="288"/>
          <w:jc w:val="center"/>
        </w:trPr>
        <w:tc>
          <w:tcPr>
            <w:tcW w:w="1498" w:type="dxa"/>
            <w:vMerge/>
            <w:tcBorders>
              <w:left w:val="single" w:sz="8" w:space="0" w:color="auto"/>
              <w:bottom w:val="single" w:sz="8" w:space="0" w:color="auto"/>
              <w:right w:val="single" w:sz="8" w:space="0" w:color="auto"/>
            </w:tcBorders>
            <w:shd w:val="clear" w:color="auto" w:fill="auto"/>
            <w:noWrap/>
            <w:vAlign w:val="center"/>
          </w:tcPr>
          <w:p w14:paraId="04208B08" w14:textId="77777777" w:rsidR="00335619" w:rsidRPr="0023367D" w:rsidRDefault="00335619" w:rsidP="00335619">
            <w:pPr>
              <w:jc w:val="center"/>
              <w:rPr>
                <w:bCs/>
                <w:color w:val="000000"/>
                <w:sz w:val="19"/>
                <w:szCs w:val="19"/>
                <w:lang w:bidi="he-IL"/>
              </w:rPr>
            </w:pPr>
          </w:p>
        </w:tc>
        <w:tc>
          <w:tcPr>
            <w:tcW w:w="1012" w:type="dxa"/>
            <w:vMerge/>
            <w:tcBorders>
              <w:left w:val="nil"/>
              <w:bottom w:val="single" w:sz="8" w:space="0" w:color="auto"/>
              <w:right w:val="single" w:sz="8" w:space="0" w:color="auto"/>
            </w:tcBorders>
            <w:shd w:val="clear" w:color="auto" w:fill="auto"/>
            <w:noWrap/>
            <w:vAlign w:val="center"/>
          </w:tcPr>
          <w:p w14:paraId="6F8262FB" w14:textId="77777777" w:rsidR="00335619" w:rsidRPr="0023367D" w:rsidRDefault="00335619" w:rsidP="00335619">
            <w:pPr>
              <w:spacing w:after="160" w:line="259" w:lineRule="auto"/>
              <w:jc w:val="center"/>
              <w:rPr>
                <w:rFonts w:eastAsia="Calibri"/>
                <w:color w:val="000000"/>
                <w:sz w:val="19"/>
                <w:szCs w:val="19"/>
                <w:lang w:bidi="he-IL"/>
              </w:rPr>
            </w:pPr>
          </w:p>
        </w:tc>
        <w:tc>
          <w:tcPr>
            <w:tcW w:w="909" w:type="dxa"/>
            <w:tcBorders>
              <w:top w:val="single" w:sz="8" w:space="0" w:color="auto"/>
              <w:left w:val="nil"/>
              <w:bottom w:val="single" w:sz="8" w:space="0" w:color="auto"/>
              <w:right w:val="single" w:sz="8" w:space="0" w:color="auto"/>
            </w:tcBorders>
            <w:shd w:val="clear" w:color="auto" w:fill="auto"/>
            <w:noWrap/>
            <w:vAlign w:val="center"/>
          </w:tcPr>
          <w:p w14:paraId="781C3669" w14:textId="77777777" w:rsidR="00335619" w:rsidRPr="0023367D" w:rsidRDefault="00335619" w:rsidP="00335619">
            <w:pPr>
              <w:spacing w:after="160" w:line="259" w:lineRule="auto"/>
              <w:jc w:val="center"/>
              <w:rPr>
                <w:rFonts w:eastAsia="Calibri"/>
                <w:color w:val="000000"/>
                <w:sz w:val="19"/>
                <w:szCs w:val="19"/>
                <w:vertAlign w:val="subscript"/>
                <w:lang w:bidi="he-IL"/>
              </w:rPr>
            </w:pPr>
            <w:r w:rsidRPr="0023367D">
              <w:rPr>
                <w:rFonts w:eastAsia="Calibri"/>
                <w:color w:val="000000"/>
                <w:sz w:val="19"/>
                <w:szCs w:val="19"/>
                <w:lang w:bidi="he-IL"/>
              </w:rPr>
              <w:t>Adj. R</w:t>
            </w:r>
            <w:r w:rsidRPr="0023367D">
              <w:rPr>
                <w:rFonts w:eastAsia="Calibri"/>
                <w:color w:val="000000"/>
                <w:sz w:val="19"/>
                <w:szCs w:val="19"/>
                <w:vertAlign w:val="superscript"/>
                <w:lang w:bidi="he-IL"/>
              </w:rPr>
              <w:t>2</w:t>
            </w:r>
          </w:p>
        </w:tc>
        <w:tc>
          <w:tcPr>
            <w:tcW w:w="1067" w:type="dxa"/>
            <w:tcBorders>
              <w:top w:val="single" w:sz="8" w:space="0" w:color="auto"/>
              <w:left w:val="nil"/>
              <w:bottom w:val="single" w:sz="8" w:space="0" w:color="auto"/>
              <w:right w:val="single" w:sz="8" w:space="0" w:color="auto"/>
            </w:tcBorders>
            <w:shd w:val="clear" w:color="auto" w:fill="auto"/>
            <w:vAlign w:val="center"/>
          </w:tcPr>
          <w:p w14:paraId="6D604477" w14:textId="77777777" w:rsidR="00335619" w:rsidRPr="0023367D" w:rsidRDefault="00335619" w:rsidP="00335619">
            <w:pPr>
              <w:spacing w:after="160" w:line="259" w:lineRule="auto"/>
              <w:jc w:val="center"/>
              <w:rPr>
                <w:rFonts w:eastAsia="Calibri"/>
                <w:bCs/>
                <w:color w:val="000000"/>
                <w:sz w:val="19"/>
                <w:szCs w:val="19"/>
                <w:lang w:bidi="he-IL"/>
              </w:rPr>
            </w:pPr>
            <w:r w:rsidRPr="0023367D">
              <w:rPr>
                <w:rFonts w:eastAsia="Calibri"/>
                <w:color w:val="000000"/>
                <w:sz w:val="19"/>
                <w:szCs w:val="19"/>
                <w:lang w:bidi="he-IL"/>
              </w:rPr>
              <w:t>R</w:t>
            </w:r>
            <w:r w:rsidRPr="0023367D">
              <w:rPr>
                <w:rFonts w:eastAsia="Calibri"/>
                <w:color w:val="000000"/>
                <w:sz w:val="19"/>
                <w:szCs w:val="19"/>
                <w:vertAlign w:val="superscript"/>
                <w:lang w:bidi="he-IL"/>
              </w:rPr>
              <w:t>2</w:t>
            </w:r>
            <w:r w:rsidRPr="0023367D">
              <w:rPr>
                <w:rFonts w:eastAsia="Calibri"/>
                <w:color w:val="000000"/>
                <w:sz w:val="19"/>
                <w:szCs w:val="19"/>
                <w:vertAlign w:val="subscript"/>
                <w:lang w:bidi="he-IL"/>
              </w:rPr>
              <w:t xml:space="preserve">ACCT </w:t>
            </w:r>
            <w:r w:rsidRPr="0023367D">
              <w:rPr>
                <w:rFonts w:eastAsia="Calibri"/>
                <w:color w:val="000000"/>
                <w:sz w:val="19"/>
                <w:szCs w:val="19"/>
                <w:vertAlign w:val="superscript"/>
                <w:lang w:bidi="he-IL"/>
              </w:rPr>
              <w:t>(b)</w:t>
            </w:r>
          </w:p>
        </w:tc>
        <w:tc>
          <w:tcPr>
            <w:tcW w:w="1591" w:type="dxa"/>
            <w:tcBorders>
              <w:top w:val="single" w:sz="8" w:space="0" w:color="auto"/>
              <w:left w:val="nil"/>
              <w:bottom w:val="single" w:sz="8" w:space="0" w:color="auto"/>
              <w:right w:val="single" w:sz="12" w:space="0" w:color="auto"/>
            </w:tcBorders>
            <w:vAlign w:val="center"/>
          </w:tcPr>
          <w:p w14:paraId="212F7FD8" w14:textId="77777777" w:rsidR="00335619" w:rsidRPr="0023367D" w:rsidRDefault="00335619" w:rsidP="00335619">
            <w:pPr>
              <w:spacing w:after="160" w:line="259" w:lineRule="auto"/>
              <w:jc w:val="center"/>
              <w:rPr>
                <w:rFonts w:eastAsia="Calibri"/>
                <w:color w:val="000000"/>
                <w:sz w:val="19"/>
                <w:szCs w:val="19"/>
                <w:lang w:bidi="he-IL"/>
              </w:rPr>
            </w:pPr>
            <w:r w:rsidRPr="0023367D">
              <w:rPr>
                <w:rFonts w:eastAsia="Calibri"/>
                <w:color w:val="000000"/>
                <w:sz w:val="19"/>
                <w:szCs w:val="19"/>
                <w:lang w:bidi="he-IL"/>
              </w:rPr>
              <w:t>Adj. R</w:t>
            </w:r>
            <w:r w:rsidRPr="0023367D">
              <w:rPr>
                <w:rFonts w:eastAsia="Calibri"/>
                <w:color w:val="000000"/>
                <w:sz w:val="19"/>
                <w:szCs w:val="19"/>
                <w:vertAlign w:val="superscript"/>
                <w:lang w:bidi="he-IL"/>
              </w:rPr>
              <w:t>2</w:t>
            </w:r>
          </w:p>
        </w:tc>
        <w:tc>
          <w:tcPr>
            <w:tcW w:w="720" w:type="dxa"/>
            <w:vMerge/>
            <w:tcBorders>
              <w:left w:val="single" w:sz="12" w:space="0" w:color="auto"/>
              <w:bottom w:val="single" w:sz="8" w:space="0" w:color="auto"/>
              <w:right w:val="single" w:sz="4" w:space="0" w:color="auto"/>
            </w:tcBorders>
            <w:shd w:val="clear" w:color="auto" w:fill="auto"/>
            <w:vAlign w:val="center"/>
          </w:tcPr>
          <w:p w14:paraId="364849A0" w14:textId="77777777" w:rsidR="00335619" w:rsidRPr="0023367D" w:rsidRDefault="00335619" w:rsidP="00335619">
            <w:pPr>
              <w:spacing w:after="160" w:line="259" w:lineRule="auto"/>
              <w:jc w:val="center"/>
              <w:rPr>
                <w:rFonts w:eastAsia="Calibri"/>
                <w:color w:val="000000"/>
                <w:sz w:val="19"/>
                <w:szCs w:val="19"/>
                <w:lang w:bidi="he-IL"/>
              </w:rPr>
            </w:pP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0E3D55E5" w14:textId="77777777" w:rsidR="00335619" w:rsidRPr="0023367D" w:rsidRDefault="00335619" w:rsidP="00335619">
            <w:pPr>
              <w:spacing w:after="160" w:line="259" w:lineRule="auto"/>
              <w:jc w:val="center"/>
              <w:rPr>
                <w:rFonts w:eastAsia="Calibri"/>
                <w:color w:val="000000"/>
                <w:sz w:val="19"/>
                <w:szCs w:val="19"/>
                <w:vertAlign w:val="subscript"/>
                <w:lang w:bidi="he-IL"/>
              </w:rPr>
            </w:pPr>
            <w:r w:rsidRPr="0023367D">
              <w:rPr>
                <w:rFonts w:eastAsia="Calibri"/>
                <w:color w:val="000000"/>
                <w:sz w:val="19"/>
                <w:szCs w:val="19"/>
                <w:lang w:bidi="he-IL"/>
              </w:rPr>
              <w:t>Adj. R</w:t>
            </w:r>
            <w:r w:rsidRPr="0023367D">
              <w:rPr>
                <w:rFonts w:eastAsia="Calibri"/>
                <w:color w:val="000000"/>
                <w:sz w:val="19"/>
                <w:szCs w:val="19"/>
                <w:vertAlign w:val="superscript"/>
                <w:lang w:bidi="he-IL"/>
              </w:rPr>
              <w:t>2</w:t>
            </w:r>
          </w:p>
        </w:tc>
        <w:tc>
          <w:tcPr>
            <w:tcW w:w="1006" w:type="dxa"/>
            <w:tcBorders>
              <w:top w:val="single" w:sz="8" w:space="0" w:color="auto"/>
              <w:left w:val="nil"/>
              <w:bottom w:val="single" w:sz="8" w:space="0" w:color="auto"/>
              <w:right w:val="single" w:sz="8" w:space="0" w:color="auto"/>
            </w:tcBorders>
            <w:shd w:val="clear" w:color="auto" w:fill="auto"/>
            <w:vAlign w:val="center"/>
          </w:tcPr>
          <w:p w14:paraId="6214F2B4" w14:textId="77777777" w:rsidR="00335619" w:rsidRPr="0023367D" w:rsidRDefault="00335619" w:rsidP="00335619">
            <w:pPr>
              <w:spacing w:after="160" w:line="259" w:lineRule="auto"/>
              <w:jc w:val="center"/>
              <w:rPr>
                <w:rFonts w:eastAsia="Calibri"/>
                <w:bCs/>
                <w:color w:val="000000"/>
                <w:sz w:val="19"/>
                <w:szCs w:val="19"/>
                <w:lang w:bidi="he-IL"/>
              </w:rPr>
            </w:pPr>
            <w:r w:rsidRPr="0023367D">
              <w:rPr>
                <w:rFonts w:eastAsia="Calibri"/>
                <w:color w:val="000000"/>
                <w:sz w:val="19"/>
                <w:szCs w:val="19"/>
                <w:lang w:bidi="he-IL"/>
              </w:rPr>
              <w:t>R</w:t>
            </w:r>
            <w:r w:rsidRPr="0023367D">
              <w:rPr>
                <w:rFonts w:eastAsia="Calibri"/>
                <w:color w:val="000000"/>
                <w:sz w:val="19"/>
                <w:szCs w:val="19"/>
                <w:vertAlign w:val="superscript"/>
                <w:lang w:bidi="he-IL"/>
              </w:rPr>
              <w:t>2</w:t>
            </w:r>
            <w:r w:rsidRPr="0023367D">
              <w:rPr>
                <w:rFonts w:eastAsia="Calibri"/>
                <w:color w:val="000000"/>
                <w:sz w:val="19"/>
                <w:szCs w:val="19"/>
                <w:vertAlign w:val="subscript"/>
                <w:lang w:bidi="he-IL"/>
              </w:rPr>
              <w:t xml:space="preserve">ACCT </w:t>
            </w:r>
            <w:r w:rsidRPr="0023367D">
              <w:rPr>
                <w:rFonts w:eastAsia="Calibri"/>
                <w:color w:val="000000"/>
                <w:sz w:val="19"/>
                <w:szCs w:val="19"/>
                <w:vertAlign w:val="superscript"/>
                <w:lang w:bidi="he-IL"/>
              </w:rPr>
              <w:t>(b)</w:t>
            </w:r>
          </w:p>
        </w:tc>
        <w:tc>
          <w:tcPr>
            <w:tcW w:w="1514" w:type="dxa"/>
            <w:tcBorders>
              <w:top w:val="single" w:sz="8" w:space="0" w:color="auto"/>
              <w:left w:val="nil"/>
              <w:bottom w:val="single" w:sz="8" w:space="0" w:color="auto"/>
              <w:right w:val="single" w:sz="8" w:space="0" w:color="auto"/>
            </w:tcBorders>
            <w:shd w:val="clear" w:color="auto" w:fill="auto"/>
            <w:noWrap/>
            <w:vAlign w:val="center"/>
          </w:tcPr>
          <w:p w14:paraId="58AFCC4A" w14:textId="77777777" w:rsidR="00335619" w:rsidRPr="0023367D" w:rsidRDefault="00335619" w:rsidP="00335619">
            <w:pPr>
              <w:jc w:val="center"/>
              <w:rPr>
                <w:color w:val="000000"/>
                <w:sz w:val="19"/>
                <w:szCs w:val="19"/>
              </w:rPr>
            </w:pPr>
            <w:r w:rsidRPr="0023367D">
              <w:rPr>
                <w:rFonts w:eastAsia="Calibri"/>
                <w:color w:val="000000"/>
                <w:sz w:val="19"/>
                <w:szCs w:val="19"/>
                <w:lang w:bidi="he-IL"/>
              </w:rPr>
              <w:t>Adj. R</w:t>
            </w:r>
            <w:r w:rsidRPr="0023367D">
              <w:rPr>
                <w:rFonts w:eastAsia="Calibri"/>
                <w:color w:val="000000"/>
                <w:sz w:val="19"/>
                <w:szCs w:val="19"/>
                <w:vertAlign w:val="superscript"/>
                <w:lang w:bidi="he-IL"/>
              </w:rPr>
              <w:t>2</w:t>
            </w:r>
          </w:p>
        </w:tc>
      </w:tr>
      <w:tr w:rsidR="00335619" w:rsidRPr="0023367D" w14:paraId="0FCFC23F" w14:textId="77777777" w:rsidTr="008D56F1">
        <w:trPr>
          <w:trHeight w:val="160"/>
          <w:jc w:val="center"/>
        </w:trPr>
        <w:tc>
          <w:tcPr>
            <w:tcW w:w="149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D2D339" w14:textId="77777777" w:rsidR="00335619" w:rsidRPr="0023367D" w:rsidRDefault="00335619" w:rsidP="00335619">
            <w:pPr>
              <w:jc w:val="center"/>
              <w:rPr>
                <w:color w:val="000000"/>
                <w:sz w:val="19"/>
                <w:szCs w:val="19"/>
              </w:rPr>
            </w:pPr>
            <w:r w:rsidRPr="0023367D">
              <w:rPr>
                <w:bCs/>
                <w:color w:val="000000"/>
                <w:sz w:val="19"/>
                <w:szCs w:val="19"/>
                <w:lang w:bidi="he-IL"/>
              </w:rPr>
              <w:t>All firm-years</w:t>
            </w:r>
          </w:p>
        </w:tc>
        <w:tc>
          <w:tcPr>
            <w:tcW w:w="1012" w:type="dxa"/>
            <w:tcBorders>
              <w:top w:val="single" w:sz="8" w:space="0" w:color="auto"/>
              <w:left w:val="nil"/>
              <w:bottom w:val="single" w:sz="8" w:space="0" w:color="auto"/>
              <w:right w:val="single" w:sz="8" w:space="0" w:color="auto"/>
            </w:tcBorders>
            <w:shd w:val="clear" w:color="auto" w:fill="auto"/>
            <w:noWrap/>
            <w:vAlign w:val="center"/>
          </w:tcPr>
          <w:p w14:paraId="2FFDFEA9" w14:textId="77777777" w:rsidR="00335619" w:rsidRPr="0023367D" w:rsidRDefault="00335619" w:rsidP="00335619">
            <w:pPr>
              <w:jc w:val="center"/>
              <w:rPr>
                <w:color w:val="000000"/>
                <w:sz w:val="19"/>
                <w:szCs w:val="19"/>
              </w:rPr>
            </w:pPr>
            <w:r w:rsidRPr="0023367D">
              <w:rPr>
                <w:color w:val="000000"/>
                <w:sz w:val="19"/>
                <w:szCs w:val="19"/>
              </w:rPr>
              <w:t>19,658</w:t>
            </w:r>
            <w:r w:rsidR="003D36EE" w:rsidRPr="003D36EE">
              <w:rPr>
                <w:color w:val="000000"/>
                <w:sz w:val="19"/>
                <w:szCs w:val="19"/>
                <w:vertAlign w:val="superscript"/>
              </w:rPr>
              <w:t>(f)</w:t>
            </w:r>
          </w:p>
        </w:tc>
        <w:tc>
          <w:tcPr>
            <w:tcW w:w="909" w:type="dxa"/>
            <w:tcBorders>
              <w:top w:val="single" w:sz="8" w:space="0" w:color="auto"/>
              <w:left w:val="nil"/>
              <w:bottom w:val="single" w:sz="8" w:space="0" w:color="auto"/>
              <w:right w:val="single" w:sz="8" w:space="0" w:color="auto"/>
            </w:tcBorders>
            <w:shd w:val="clear" w:color="auto" w:fill="auto"/>
            <w:noWrap/>
            <w:vAlign w:val="center"/>
          </w:tcPr>
          <w:p w14:paraId="3E1F61C7" w14:textId="77777777" w:rsidR="00335619" w:rsidRPr="0023367D" w:rsidRDefault="00335619" w:rsidP="00335619">
            <w:pPr>
              <w:jc w:val="center"/>
              <w:rPr>
                <w:color w:val="000000"/>
                <w:sz w:val="19"/>
                <w:szCs w:val="19"/>
              </w:rPr>
            </w:pPr>
            <w:r w:rsidRPr="0023367D">
              <w:rPr>
                <w:color w:val="000000"/>
                <w:sz w:val="19"/>
                <w:szCs w:val="19"/>
              </w:rPr>
              <w:t>17.7%</w:t>
            </w:r>
          </w:p>
        </w:tc>
        <w:tc>
          <w:tcPr>
            <w:tcW w:w="1067" w:type="dxa"/>
            <w:tcBorders>
              <w:top w:val="single" w:sz="8" w:space="0" w:color="auto"/>
              <w:left w:val="nil"/>
              <w:bottom w:val="single" w:sz="8" w:space="0" w:color="auto"/>
              <w:right w:val="single" w:sz="8" w:space="0" w:color="auto"/>
            </w:tcBorders>
            <w:shd w:val="clear" w:color="auto" w:fill="auto"/>
            <w:vAlign w:val="center"/>
          </w:tcPr>
          <w:p w14:paraId="54F6D49A" w14:textId="77777777" w:rsidR="00335619" w:rsidRPr="0023367D" w:rsidRDefault="00335619" w:rsidP="00335619">
            <w:pPr>
              <w:jc w:val="center"/>
              <w:rPr>
                <w:color w:val="000000"/>
                <w:sz w:val="19"/>
                <w:szCs w:val="19"/>
              </w:rPr>
            </w:pPr>
            <w:r w:rsidRPr="0023367D">
              <w:rPr>
                <w:color w:val="000000"/>
                <w:sz w:val="19"/>
                <w:szCs w:val="19"/>
              </w:rPr>
              <w:t>6.1%</w:t>
            </w:r>
          </w:p>
        </w:tc>
        <w:tc>
          <w:tcPr>
            <w:tcW w:w="1591" w:type="dxa"/>
            <w:tcBorders>
              <w:top w:val="single" w:sz="8" w:space="0" w:color="auto"/>
              <w:left w:val="nil"/>
              <w:bottom w:val="single" w:sz="8" w:space="0" w:color="auto"/>
              <w:right w:val="single" w:sz="12" w:space="0" w:color="auto"/>
            </w:tcBorders>
            <w:vAlign w:val="center"/>
          </w:tcPr>
          <w:p w14:paraId="1C46F276" w14:textId="77777777" w:rsidR="00335619" w:rsidRPr="0023367D" w:rsidRDefault="00335619" w:rsidP="00335619">
            <w:pPr>
              <w:jc w:val="center"/>
              <w:rPr>
                <w:color w:val="000000"/>
                <w:sz w:val="19"/>
                <w:szCs w:val="19"/>
              </w:rPr>
            </w:pPr>
            <w:r w:rsidRPr="0023367D">
              <w:rPr>
                <w:color w:val="000000"/>
                <w:sz w:val="19"/>
                <w:szCs w:val="19"/>
              </w:rPr>
              <w:t>8.3%</w:t>
            </w:r>
          </w:p>
        </w:tc>
        <w:tc>
          <w:tcPr>
            <w:tcW w:w="720" w:type="dxa"/>
            <w:tcBorders>
              <w:top w:val="single" w:sz="8" w:space="0" w:color="auto"/>
              <w:left w:val="single" w:sz="12" w:space="0" w:color="auto"/>
              <w:bottom w:val="single" w:sz="8" w:space="0" w:color="auto"/>
              <w:right w:val="single" w:sz="8" w:space="0" w:color="auto"/>
            </w:tcBorders>
            <w:shd w:val="clear" w:color="auto" w:fill="auto"/>
            <w:vAlign w:val="center"/>
          </w:tcPr>
          <w:p w14:paraId="68D05C86" w14:textId="77777777" w:rsidR="00335619" w:rsidRPr="0023367D" w:rsidRDefault="00335619" w:rsidP="00335619">
            <w:pPr>
              <w:jc w:val="center"/>
              <w:rPr>
                <w:color w:val="000000"/>
                <w:sz w:val="19"/>
                <w:szCs w:val="19"/>
              </w:rPr>
            </w:pPr>
            <w:r w:rsidRPr="0023367D">
              <w:rPr>
                <w:color w:val="000000"/>
                <w:sz w:val="19"/>
                <w:szCs w:val="19"/>
              </w:rPr>
              <w:t>6,271</w:t>
            </w:r>
          </w:p>
        </w:tc>
        <w:tc>
          <w:tcPr>
            <w:tcW w:w="990" w:type="dxa"/>
            <w:tcBorders>
              <w:top w:val="single" w:sz="8" w:space="0" w:color="auto"/>
              <w:left w:val="nil"/>
              <w:bottom w:val="single" w:sz="8" w:space="0" w:color="auto"/>
              <w:right w:val="single" w:sz="8" w:space="0" w:color="auto"/>
            </w:tcBorders>
            <w:shd w:val="clear" w:color="auto" w:fill="auto"/>
            <w:vAlign w:val="center"/>
          </w:tcPr>
          <w:p w14:paraId="1C7A81B5" w14:textId="77777777" w:rsidR="00335619" w:rsidRPr="0023367D" w:rsidRDefault="00335619" w:rsidP="00335619">
            <w:pPr>
              <w:jc w:val="center"/>
              <w:rPr>
                <w:color w:val="000000"/>
                <w:sz w:val="19"/>
                <w:szCs w:val="19"/>
              </w:rPr>
            </w:pPr>
            <w:r w:rsidRPr="0023367D">
              <w:rPr>
                <w:color w:val="000000"/>
                <w:sz w:val="19"/>
                <w:szCs w:val="19"/>
              </w:rPr>
              <w:t>19.7%</w:t>
            </w:r>
          </w:p>
        </w:tc>
        <w:tc>
          <w:tcPr>
            <w:tcW w:w="1006" w:type="dxa"/>
            <w:tcBorders>
              <w:top w:val="single" w:sz="8" w:space="0" w:color="auto"/>
              <w:left w:val="nil"/>
              <w:bottom w:val="single" w:sz="8" w:space="0" w:color="auto"/>
              <w:right w:val="single" w:sz="8" w:space="0" w:color="auto"/>
            </w:tcBorders>
            <w:shd w:val="clear" w:color="auto" w:fill="auto"/>
            <w:vAlign w:val="center"/>
          </w:tcPr>
          <w:p w14:paraId="22CECE5A" w14:textId="77777777" w:rsidR="00335619" w:rsidRPr="0023367D" w:rsidRDefault="00335619" w:rsidP="00335619">
            <w:pPr>
              <w:jc w:val="center"/>
              <w:rPr>
                <w:color w:val="000000"/>
                <w:sz w:val="19"/>
                <w:szCs w:val="19"/>
              </w:rPr>
            </w:pPr>
            <w:r w:rsidRPr="0023367D">
              <w:rPr>
                <w:color w:val="000000"/>
                <w:sz w:val="19"/>
                <w:szCs w:val="19"/>
              </w:rPr>
              <w:t>4.4%</w:t>
            </w:r>
          </w:p>
        </w:tc>
        <w:tc>
          <w:tcPr>
            <w:tcW w:w="1525" w:type="dxa"/>
            <w:gridSpan w:val="2"/>
            <w:tcBorders>
              <w:top w:val="single" w:sz="8" w:space="0" w:color="auto"/>
              <w:left w:val="nil"/>
              <w:bottom w:val="single" w:sz="8" w:space="0" w:color="auto"/>
              <w:right w:val="single" w:sz="4" w:space="0" w:color="auto"/>
            </w:tcBorders>
            <w:shd w:val="clear" w:color="auto" w:fill="auto"/>
            <w:noWrap/>
            <w:vAlign w:val="center"/>
          </w:tcPr>
          <w:p w14:paraId="72CF251D" w14:textId="77777777" w:rsidR="00335619" w:rsidRPr="0023367D" w:rsidRDefault="00335619" w:rsidP="00335619">
            <w:pPr>
              <w:jc w:val="center"/>
              <w:rPr>
                <w:color w:val="000000"/>
                <w:sz w:val="19"/>
                <w:szCs w:val="19"/>
              </w:rPr>
            </w:pPr>
            <w:r w:rsidRPr="0023367D">
              <w:rPr>
                <w:color w:val="000000"/>
                <w:sz w:val="19"/>
                <w:szCs w:val="19"/>
              </w:rPr>
              <w:t>6.4%</w:t>
            </w:r>
          </w:p>
        </w:tc>
      </w:tr>
      <w:tr w:rsidR="00335619" w:rsidRPr="0023367D" w14:paraId="52F918B2" w14:textId="77777777" w:rsidTr="008D56F1">
        <w:trPr>
          <w:trHeight w:val="349"/>
          <w:jc w:val="center"/>
        </w:trPr>
        <w:tc>
          <w:tcPr>
            <w:tcW w:w="1498" w:type="dxa"/>
            <w:tcBorders>
              <w:top w:val="nil"/>
              <w:left w:val="single" w:sz="8" w:space="0" w:color="auto"/>
              <w:bottom w:val="single" w:sz="12" w:space="0" w:color="auto"/>
              <w:right w:val="single" w:sz="8" w:space="0" w:color="auto"/>
            </w:tcBorders>
            <w:shd w:val="clear" w:color="auto" w:fill="auto"/>
            <w:noWrap/>
            <w:vAlign w:val="center"/>
          </w:tcPr>
          <w:p w14:paraId="305BB657" w14:textId="77777777" w:rsidR="00335619" w:rsidRPr="0023367D" w:rsidRDefault="00335619" w:rsidP="00335619">
            <w:pPr>
              <w:jc w:val="center"/>
              <w:rPr>
                <w:color w:val="000000"/>
                <w:sz w:val="19"/>
                <w:szCs w:val="19"/>
              </w:rPr>
            </w:pPr>
            <w:r w:rsidRPr="0023367D">
              <w:rPr>
                <w:bCs/>
                <w:color w:val="000000"/>
                <w:sz w:val="19"/>
                <w:szCs w:val="19"/>
                <w:lang w:bidi="he-IL"/>
              </w:rPr>
              <w:t>Mean over years</w:t>
            </w:r>
          </w:p>
        </w:tc>
        <w:tc>
          <w:tcPr>
            <w:tcW w:w="1012" w:type="dxa"/>
            <w:tcBorders>
              <w:top w:val="nil"/>
              <w:left w:val="nil"/>
              <w:bottom w:val="single" w:sz="12" w:space="0" w:color="auto"/>
              <w:right w:val="single" w:sz="8" w:space="0" w:color="auto"/>
            </w:tcBorders>
            <w:shd w:val="clear" w:color="auto" w:fill="auto"/>
            <w:noWrap/>
            <w:vAlign w:val="center"/>
          </w:tcPr>
          <w:p w14:paraId="496EFE13" w14:textId="77777777" w:rsidR="00335619" w:rsidRPr="0023367D" w:rsidRDefault="00335619" w:rsidP="00335619">
            <w:pPr>
              <w:jc w:val="center"/>
              <w:rPr>
                <w:color w:val="000000"/>
                <w:sz w:val="19"/>
                <w:szCs w:val="19"/>
              </w:rPr>
            </w:pPr>
            <w:r w:rsidRPr="0023367D">
              <w:rPr>
                <w:color w:val="000000"/>
                <w:sz w:val="19"/>
                <w:szCs w:val="19"/>
              </w:rPr>
              <w:t>39</w:t>
            </w:r>
          </w:p>
        </w:tc>
        <w:tc>
          <w:tcPr>
            <w:tcW w:w="909" w:type="dxa"/>
            <w:tcBorders>
              <w:top w:val="nil"/>
              <w:left w:val="nil"/>
              <w:bottom w:val="single" w:sz="12" w:space="0" w:color="auto"/>
              <w:right w:val="single" w:sz="8" w:space="0" w:color="auto"/>
            </w:tcBorders>
            <w:shd w:val="clear" w:color="auto" w:fill="auto"/>
            <w:noWrap/>
            <w:vAlign w:val="center"/>
          </w:tcPr>
          <w:p w14:paraId="4215E9E8" w14:textId="77777777" w:rsidR="00335619" w:rsidRPr="0023367D" w:rsidRDefault="00335619" w:rsidP="00335619">
            <w:pPr>
              <w:jc w:val="center"/>
              <w:rPr>
                <w:color w:val="000000"/>
                <w:sz w:val="19"/>
                <w:szCs w:val="19"/>
              </w:rPr>
            </w:pPr>
            <w:r w:rsidRPr="0023367D">
              <w:rPr>
                <w:color w:val="000000"/>
                <w:sz w:val="19"/>
                <w:szCs w:val="19"/>
              </w:rPr>
              <w:t>17.2%</w:t>
            </w:r>
          </w:p>
        </w:tc>
        <w:tc>
          <w:tcPr>
            <w:tcW w:w="1067" w:type="dxa"/>
            <w:tcBorders>
              <w:top w:val="nil"/>
              <w:left w:val="nil"/>
              <w:bottom w:val="single" w:sz="12" w:space="0" w:color="auto"/>
              <w:right w:val="single" w:sz="8" w:space="0" w:color="auto"/>
            </w:tcBorders>
            <w:shd w:val="clear" w:color="auto" w:fill="auto"/>
            <w:vAlign w:val="center"/>
          </w:tcPr>
          <w:p w14:paraId="5DBB3C4D" w14:textId="77777777" w:rsidR="00335619" w:rsidRPr="0023367D" w:rsidRDefault="00335619" w:rsidP="00335619">
            <w:pPr>
              <w:jc w:val="center"/>
              <w:rPr>
                <w:color w:val="000000"/>
                <w:sz w:val="19"/>
                <w:szCs w:val="19"/>
              </w:rPr>
            </w:pPr>
            <w:r w:rsidRPr="0023367D">
              <w:rPr>
                <w:color w:val="000000"/>
                <w:sz w:val="19"/>
                <w:szCs w:val="19"/>
              </w:rPr>
              <w:t>10.4%</w:t>
            </w:r>
          </w:p>
        </w:tc>
        <w:tc>
          <w:tcPr>
            <w:tcW w:w="1591" w:type="dxa"/>
            <w:tcBorders>
              <w:top w:val="nil"/>
              <w:left w:val="nil"/>
              <w:bottom w:val="single" w:sz="12" w:space="0" w:color="auto"/>
              <w:right w:val="single" w:sz="12" w:space="0" w:color="auto"/>
            </w:tcBorders>
            <w:vAlign w:val="center"/>
          </w:tcPr>
          <w:p w14:paraId="730539B3" w14:textId="77777777" w:rsidR="00335619" w:rsidRPr="0023367D" w:rsidRDefault="00335619" w:rsidP="00335619">
            <w:pPr>
              <w:jc w:val="center"/>
              <w:rPr>
                <w:color w:val="000000"/>
                <w:sz w:val="19"/>
                <w:szCs w:val="19"/>
              </w:rPr>
            </w:pPr>
            <w:r w:rsidRPr="0023367D">
              <w:rPr>
                <w:color w:val="000000"/>
                <w:sz w:val="19"/>
                <w:szCs w:val="19"/>
              </w:rPr>
              <w:t>14.0%</w:t>
            </w:r>
          </w:p>
        </w:tc>
        <w:tc>
          <w:tcPr>
            <w:tcW w:w="720" w:type="dxa"/>
            <w:tcBorders>
              <w:top w:val="nil"/>
              <w:left w:val="single" w:sz="12" w:space="0" w:color="auto"/>
              <w:bottom w:val="single" w:sz="12" w:space="0" w:color="auto"/>
              <w:right w:val="single" w:sz="8" w:space="0" w:color="auto"/>
            </w:tcBorders>
            <w:shd w:val="clear" w:color="auto" w:fill="auto"/>
            <w:vAlign w:val="center"/>
          </w:tcPr>
          <w:p w14:paraId="2A837F2A" w14:textId="77777777" w:rsidR="00335619" w:rsidRPr="0023367D" w:rsidRDefault="00335619" w:rsidP="00335619">
            <w:pPr>
              <w:jc w:val="center"/>
              <w:rPr>
                <w:color w:val="000000"/>
                <w:sz w:val="19"/>
                <w:szCs w:val="19"/>
              </w:rPr>
            </w:pPr>
            <w:r w:rsidRPr="0023367D">
              <w:rPr>
                <w:color w:val="000000"/>
                <w:sz w:val="19"/>
                <w:szCs w:val="19"/>
              </w:rPr>
              <w:t>39</w:t>
            </w:r>
          </w:p>
        </w:tc>
        <w:tc>
          <w:tcPr>
            <w:tcW w:w="990" w:type="dxa"/>
            <w:tcBorders>
              <w:top w:val="nil"/>
              <w:left w:val="nil"/>
              <w:bottom w:val="single" w:sz="12" w:space="0" w:color="auto"/>
              <w:right w:val="single" w:sz="8" w:space="0" w:color="auto"/>
            </w:tcBorders>
            <w:shd w:val="clear" w:color="auto" w:fill="auto"/>
            <w:vAlign w:val="center"/>
          </w:tcPr>
          <w:p w14:paraId="11B240E8" w14:textId="77777777" w:rsidR="00335619" w:rsidRPr="0023367D" w:rsidRDefault="00335619" w:rsidP="00335619">
            <w:pPr>
              <w:jc w:val="center"/>
              <w:rPr>
                <w:color w:val="000000"/>
                <w:sz w:val="19"/>
                <w:szCs w:val="19"/>
              </w:rPr>
            </w:pPr>
            <w:r w:rsidRPr="0023367D">
              <w:rPr>
                <w:color w:val="000000"/>
                <w:sz w:val="19"/>
                <w:szCs w:val="19"/>
              </w:rPr>
              <w:t>24.2%</w:t>
            </w:r>
          </w:p>
        </w:tc>
        <w:tc>
          <w:tcPr>
            <w:tcW w:w="1006" w:type="dxa"/>
            <w:tcBorders>
              <w:top w:val="nil"/>
              <w:left w:val="nil"/>
              <w:bottom w:val="single" w:sz="12" w:space="0" w:color="auto"/>
              <w:right w:val="single" w:sz="8" w:space="0" w:color="auto"/>
            </w:tcBorders>
            <w:shd w:val="clear" w:color="auto" w:fill="auto"/>
            <w:vAlign w:val="center"/>
          </w:tcPr>
          <w:p w14:paraId="7E70C52A" w14:textId="77777777" w:rsidR="00335619" w:rsidRPr="0023367D" w:rsidRDefault="00335619" w:rsidP="00335619">
            <w:pPr>
              <w:jc w:val="center"/>
              <w:rPr>
                <w:color w:val="000000"/>
                <w:sz w:val="19"/>
                <w:szCs w:val="19"/>
              </w:rPr>
            </w:pPr>
            <w:r w:rsidRPr="0023367D">
              <w:rPr>
                <w:color w:val="000000"/>
                <w:sz w:val="19"/>
                <w:szCs w:val="19"/>
              </w:rPr>
              <w:t>14.0%</w:t>
            </w:r>
          </w:p>
        </w:tc>
        <w:tc>
          <w:tcPr>
            <w:tcW w:w="1525" w:type="dxa"/>
            <w:gridSpan w:val="2"/>
            <w:tcBorders>
              <w:top w:val="nil"/>
              <w:left w:val="nil"/>
              <w:bottom w:val="single" w:sz="12" w:space="0" w:color="auto"/>
              <w:right w:val="single" w:sz="4" w:space="0" w:color="auto"/>
            </w:tcBorders>
            <w:shd w:val="clear" w:color="auto" w:fill="auto"/>
            <w:noWrap/>
            <w:vAlign w:val="center"/>
          </w:tcPr>
          <w:p w14:paraId="4748E800" w14:textId="77777777" w:rsidR="00335619" w:rsidRPr="0023367D" w:rsidRDefault="00335619" w:rsidP="00335619">
            <w:pPr>
              <w:jc w:val="center"/>
              <w:rPr>
                <w:color w:val="000000"/>
                <w:sz w:val="19"/>
                <w:szCs w:val="19"/>
              </w:rPr>
            </w:pPr>
            <w:r w:rsidRPr="0023367D">
              <w:rPr>
                <w:color w:val="000000"/>
                <w:sz w:val="19"/>
                <w:szCs w:val="19"/>
              </w:rPr>
              <w:t>14.4%</w:t>
            </w:r>
          </w:p>
        </w:tc>
      </w:tr>
      <w:tr w:rsidR="00335619" w:rsidRPr="0023367D" w14:paraId="30CD8312" w14:textId="77777777" w:rsidTr="008D56F1">
        <w:trPr>
          <w:trHeight w:val="205"/>
          <w:jc w:val="center"/>
        </w:trPr>
        <w:tc>
          <w:tcPr>
            <w:tcW w:w="1498" w:type="dxa"/>
            <w:tcBorders>
              <w:top w:val="single" w:sz="12" w:space="0" w:color="auto"/>
              <w:left w:val="single" w:sz="8" w:space="0" w:color="auto"/>
              <w:bottom w:val="single" w:sz="8" w:space="0" w:color="auto"/>
              <w:right w:val="single" w:sz="8" w:space="0" w:color="auto"/>
            </w:tcBorders>
            <w:shd w:val="clear" w:color="auto" w:fill="auto"/>
            <w:noWrap/>
            <w:vAlign w:val="center"/>
          </w:tcPr>
          <w:p w14:paraId="3935568E" w14:textId="77777777" w:rsidR="00335619" w:rsidRPr="0023367D" w:rsidRDefault="00335619" w:rsidP="00335619">
            <w:pPr>
              <w:jc w:val="center"/>
              <w:rPr>
                <w:color w:val="000000"/>
                <w:sz w:val="19"/>
                <w:szCs w:val="19"/>
              </w:rPr>
            </w:pPr>
            <w:r w:rsidRPr="0023367D">
              <w:rPr>
                <w:bCs/>
                <w:color w:val="000000"/>
                <w:sz w:val="19"/>
                <w:szCs w:val="19"/>
                <w:lang w:bidi="he-IL"/>
              </w:rPr>
              <w:t>1975</w:t>
            </w:r>
          </w:p>
        </w:tc>
        <w:tc>
          <w:tcPr>
            <w:tcW w:w="1012" w:type="dxa"/>
            <w:tcBorders>
              <w:top w:val="single" w:sz="12" w:space="0" w:color="auto"/>
              <w:left w:val="nil"/>
              <w:bottom w:val="single" w:sz="8" w:space="0" w:color="auto"/>
              <w:right w:val="single" w:sz="8" w:space="0" w:color="auto"/>
            </w:tcBorders>
            <w:shd w:val="clear" w:color="auto" w:fill="auto"/>
            <w:noWrap/>
            <w:vAlign w:val="center"/>
          </w:tcPr>
          <w:p w14:paraId="4E466305" w14:textId="77777777" w:rsidR="00335619" w:rsidRPr="0023367D" w:rsidRDefault="00335619" w:rsidP="00335619">
            <w:pPr>
              <w:jc w:val="center"/>
              <w:rPr>
                <w:color w:val="000000"/>
                <w:sz w:val="19"/>
                <w:szCs w:val="19"/>
              </w:rPr>
            </w:pPr>
            <w:r w:rsidRPr="0023367D">
              <w:rPr>
                <w:color w:val="000000"/>
                <w:sz w:val="19"/>
                <w:szCs w:val="19"/>
              </w:rPr>
              <w:t>192</w:t>
            </w:r>
          </w:p>
        </w:tc>
        <w:tc>
          <w:tcPr>
            <w:tcW w:w="909" w:type="dxa"/>
            <w:tcBorders>
              <w:top w:val="single" w:sz="12" w:space="0" w:color="auto"/>
              <w:left w:val="nil"/>
              <w:bottom w:val="single" w:sz="8" w:space="0" w:color="auto"/>
              <w:right w:val="single" w:sz="8" w:space="0" w:color="auto"/>
            </w:tcBorders>
            <w:shd w:val="clear" w:color="auto" w:fill="auto"/>
            <w:noWrap/>
            <w:vAlign w:val="center"/>
          </w:tcPr>
          <w:p w14:paraId="7D51A40F" w14:textId="77777777" w:rsidR="00335619" w:rsidRPr="0023367D" w:rsidRDefault="00335619" w:rsidP="00335619">
            <w:pPr>
              <w:jc w:val="center"/>
              <w:rPr>
                <w:color w:val="000000"/>
                <w:sz w:val="19"/>
                <w:szCs w:val="19"/>
              </w:rPr>
            </w:pPr>
            <w:r w:rsidRPr="0023367D">
              <w:rPr>
                <w:color w:val="000000"/>
                <w:sz w:val="19"/>
                <w:szCs w:val="19"/>
              </w:rPr>
              <w:t>12.3%</w:t>
            </w:r>
          </w:p>
        </w:tc>
        <w:tc>
          <w:tcPr>
            <w:tcW w:w="1067" w:type="dxa"/>
            <w:tcBorders>
              <w:top w:val="single" w:sz="12" w:space="0" w:color="auto"/>
              <w:left w:val="nil"/>
              <w:bottom w:val="single" w:sz="8" w:space="0" w:color="auto"/>
              <w:right w:val="single" w:sz="8" w:space="0" w:color="auto"/>
            </w:tcBorders>
            <w:shd w:val="clear" w:color="auto" w:fill="auto"/>
            <w:vAlign w:val="center"/>
          </w:tcPr>
          <w:p w14:paraId="400FCD35" w14:textId="77777777" w:rsidR="00335619" w:rsidRPr="0023367D" w:rsidRDefault="00335619" w:rsidP="00335619">
            <w:pPr>
              <w:jc w:val="center"/>
              <w:rPr>
                <w:color w:val="000000"/>
                <w:sz w:val="19"/>
                <w:szCs w:val="19"/>
              </w:rPr>
            </w:pPr>
            <w:r w:rsidRPr="0023367D">
              <w:rPr>
                <w:color w:val="000000"/>
                <w:sz w:val="19"/>
                <w:szCs w:val="19"/>
              </w:rPr>
              <w:t>8.5%</w:t>
            </w:r>
          </w:p>
        </w:tc>
        <w:tc>
          <w:tcPr>
            <w:tcW w:w="1591" w:type="dxa"/>
            <w:tcBorders>
              <w:top w:val="single" w:sz="12" w:space="0" w:color="auto"/>
              <w:left w:val="nil"/>
              <w:bottom w:val="single" w:sz="8" w:space="0" w:color="auto"/>
              <w:right w:val="single" w:sz="12" w:space="0" w:color="auto"/>
            </w:tcBorders>
            <w:vAlign w:val="center"/>
          </w:tcPr>
          <w:p w14:paraId="39404A8A" w14:textId="77777777" w:rsidR="00335619" w:rsidRPr="0023367D" w:rsidRDefault="00335619" w:rsidP="00335619">
            <w:pPr>
              <w:jc w:val="center"/>
              <w:rPr>
                <w:color w:val="000000"/>
                <w:sz w:val="19"/>
                <w:szCs w:val="19"/>
              </w:rPr>
            </w:pPr>
            <w:r w:rsidRPr="0023367D">
              <w:rPr>
                <w:color w:val="000000"/>
                <w:sz w:val="19"/>
                <w:szCs w:val="19"/>
              </w:rPr>
              <w:t>N.A</w:t>
            </w:r>
          </w:p>
        </w:tc>
        <w:tc>
          <w:tcPr>
            <w:tcW w:w="720" w:type="dxa"/>
            <w:tcBorders>
              <w:top w:val="single" w:sz="12" w:space="0" w:color="auto"/>
              <w:left w:val="single" w:sz="12" w:space="0" w:color="auto"/>
              <w:bottom w:val="single" w:sz="8" w:space="0" w:color="auto"/>
              <w:right w:val="single" w:sz="8" w:space="0" w:color="auto"/>
            </w:tcBorders>
            <w:shd w:val="clear" w:color="auto" w:fill="auto"/>
            <w:vAlign w:val="center"/>
          </w:tcPr>
          <w:p w14:paraId="72785344" w14:textId="77777777" w:rsidR="00335619" w:rsidRPr="0023367D" w:rsidRDefault="00335619" w:rsidP="00335619">
            <w:pPr>
              <w:jc w:val="center"/>
              <w:rPr>
                <w:color w:val="000000"/>
                <w:sz w:val="19"/>
                <w:szCs w:val="19"/>
              </w:rPr>
            </w:pPr>
            <w:r w:rsidRPr="0023367D">
              <w:rPr>
                <w:color w:val="000000"/>
                <w:sz w:val="19"/>
                <w:szCs w:val="19"/>
              </w:rPr>
              <w:t>115</w:t>
            </w:r>
          </w:p>
        </w:tc>
        <w:tc>
          <w:tcPr>
            <w:tcW w:w="990" w:type="dxa"/>
            <w:tcBorders>
              <w:top w:val="single" w:sz="12" w:space="0" w:color="auto"/>
              <w:left w:val="nil"/>
              <w:bottom w:val="single" w:sz="8" w:space="0" w:color="auto"/>
              <w:right w:val="single" w:sz="8" w:space="0" w:color="auto"/>
            </w:tcBorders>
            <w:shd w:val="clear" w:color="auto" w:fill="auto"/>
            <w:vAlign w:val="center"/>
          </w:tcPr>
          <w:p w14:paraId="0D1F4E51" w14:textId="77777777" w:rsidR="00335619" w:rsidRPr="0023367D" w:rsidRDefault="00335619" w:rsidP="00335619">
            <w:pPr>
              <w:jc w:val="center"/>
              <w:rPr>
                <w:color w:val="000000"/>
                <w:sz w:val="19"/>
                <w:szCs w:val="19"/>
              </w:rPr>
            </w:pPr>
            <w:r w:rsidRPr="0023367D">
              <w:rPr>
                <w:color w:val="000000"/>
                <w:sz w:val="19"/>
                <w:szCs w:val="19"/>
              </w:rPr>
              <w:t>18.2%</w:t>
            </w:r>
          </w:p>
        </w:tc>
        <w:tc>
          <w:tcPr>
            <w:tcW w:w="1006" w:type="dxa"/>
            <w:tcBorders>
              <w:top w:val="single" w:sz="12" w:space="0" w:color="auto"/>
              <w:left w:val="nil"/>
              <w:bottom w:val="single" w:sz="8" w:space="0" w:color="auto"/>
              <w:right w:val="single" w:sz="8" w:space="0" w:color="auto"/>
            </w:tcBorders>
            <w:shd w:val="clear" w:color="auto" w:fill="auto"/>
            <w:vAlign w:val="center"/>
          </w:tcPr>
          <w:p w14:paraId="050C4196" w14:textId="77777777" w:rsidR="00335619" w:rsidRPr="0023367D" w:rsidRDefault="00335619" w:rsidP="00335619">
            <w:pPr>
              <w:jc w:val="center"/>
              <w:rPr>
                <w:color w:val="000000"/>
                <w:sz w:val="19"/>
                <w:szCs w:val="19"/>
              </w:rPr>
            </w:pPr>
            <w:r w:rsidRPr="0023367D">
              <w:rPr>
                <w:color w:val="000000"/>
                <w:sz w:val="19"/>
                <w:szCs w:val="19"/>
              </w:rPr>
              <w:t>13.6%</w:t>
            </w:r>
          </w:p>
        </w:tc>
        <w:tc>
          <w:tcPr>
            <w:tcW w:w="1525" w:type="dxa"/>
            <w:gridSpan w:val="2"/>
            <w:tcBorders>
              <w:top w:val="single" w:sz="12" w:space="0" w:color="auto"/>
              <w:left w:val="nil"/>
              <w:bottom w:val="single" w:sz="8" w:space="0" w:color="auto"/>
              <w:right w:val="single" w:sz="4" w:space="0" w:color="auto"/>
            </w:tcBorders>
            <w:shd w:val="clear" w:color="auto" w:fill="auto"/>
            <w:noWrap/>
            <w:vAlign w:val="center"/>
          </w:tcPr>
          <w:p w14:paraId="423CC7E5" w14:textId="77777777" w:rsidR="00335619" w:rsidRPr="0023367D" w:rsidRDefault="00335619" w:rsidP="00335619">
            <w:pPr>
              <w:jc w:val="center"/>
              <w:rPr>
                <w:color w:val="000000"/>
                <w:sz w:val="19"/>
                <w:szCs w:val="19"/>
              </w:rPr>
            </w:pPr>
            <w:r w:rsidRPr="0023367D">
              <w:rPr>
                <w:color w:val="000000"/>
                <w:sz w:val="19"/>
                <w:szCs w:val="19"/>
              </w:rPr>
              <w:t>N.A</w:t>
            </w:r>
          </w:p>
        </w:tc>
      </w:tr>
      <w:tr w:rsidR="00335619" w:rsidRPr="0023367D" w14:paraId="2C3B078A"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572A0C13" w14:textId="77777777" w:rsidR="00335619" w:rsidRPr="0023367D" w:rsidRDefault="00335619" w:rsidP="00335619">
            <w:pPr>
              <w:jc w:val="center"/>
              <w:rPr>
                <w:color w:val="000000"/>
                <w:sz w:val="19"/>
                <w:szCs w:val="19"/>
              </w:rPr>
            </w:pPr>
            <w:r w:rsidRPr="0023367D">
              <w:rPr>
                <w:bCs/>
                <w:color w:val="000000"/>
                <w:sz w:val="19"/>
                <w:szCs w:val="19"/>
                <w:lang w:bidi="he-IL"/>
              </w:rPr>
              <w:t>1976</w:t>
            </w:r>
          </w:p>
        </w:tc>
        <w:tc>
          <w:tcPr>
            <w:tcW w:w="1012" w:type="dxa"/>
            <w:tcBorders>
              <w:top w:val="nil"/>
              <w:left w:val="nil"/>
              <w:bottom w:val="single" w:sz="8" w:space="0" w:color="auto"/>
              <w:right w:val="single" w:sz="8" w:space="0" w:color="auto"/>
            </w:tcBorders>
            <w:shd w:val="clear" w:color="auto" w:fill="auto"/>
            <w:noWrap/>
            <w:vAlign w:val="center"/>
          </w:tcPr>
          <w:p w14:paraId="031E1A22" w14:textId="77777777" w:rsidR="00335619" w:rsidRPr="0023367D" w:rsidRDefault="00335619" w:rsidP="00335619">
            <w:pPr>
              <w:jc w:val="center"/>
              <w:rPr>
                <w:color w:val="000000"/>
                <w:sz w:val="19"/>
                <w:szCs w:val="19"/>
              </w:rPr>
            </w:pPr>
            <w:r w:rsidRPr="0023367D">
              <w:rPr>
                <w:color w:val="000000"/>
                <w:sz w:val="19"/>
                <w:szCs w:val="19"/>
              </w:rPr>
              <w:t>238</w:t>
            </w:r>
          </w:p>
        </w:tc>
        <w:tc>
          <w:tcPr>
            <w:tcW w:w="909" w:type="dxa"/>
            <w:tcBorders>
              <w:top w:val="nil"/>
              <w:left w:val="nil"/>
              <w:bottom w:val="single" w:sz="8" w:space="0" w:color="auto"/>
              <w:right w:val="single" w:sz="8" w:space="0" w:color="auto"/>
            </w:tcBorders>
            <w:shd w:val="clear" w:color="auto" w:fill="auto"/>
            <w:noWrap/>
            <w:vAlign w:val="center"/>
          </w:tcPr>
          <w:p w14:paraId="34DD4D0A" w14:textId="77777777" w:rsidR="00335619" w:rsidRPr="0023367D" w:rsidRDefault="00335619" w:rsidP="00335619">
            <w:pPr>
              <w:jc w:val="center"/>
              <w:rPr>
                <w:color w:val="000000"/>
                <w:sz w:val="19"/>
                <w:szCs w:val="19"/>
              </w:rPr>
            </w:pPr>
            <w:r w:rsidRPr="0023367D">
              <w:rPr>
                <w:color w:val="000000"/>
                <w:sz w:val="19"/>
                <w:szCs w:val="19"/>
              </w:rPr>
              <w:t>13.5%</w:t>
            </w:r>
          </w:p>
        </w:tc>
        <w:tc>
          <w:tcPr>
            <w:tcW w:w="1067" w:type="dxa"/>
            <w:tcBorders>
              <w:top w:val="nil"/>
              <w:left w:val="nil"/>
              <w:bottom w:val="single" w:sz="8" w:space="0" w:color="auto"/>
              <w:right w:val="single" w:sz="8" w:space="0" w:color="auto"/>
            </w:tcBorders>
            <w:shd w:val="clear" w:color="auto" w:fill="auto"/>
            <w:vAlign w:val="center"/>
          </w:tcPr>
          <w:p w14:paraId="28E14570" w14:textId="77777777" w:rsidR="00335619" w:rsidRPr="0023367D" w:rsidRDefault="00335619" w:rsidP="00335619">
            <w:pPr>
              <w:jc w:val="center"/>
              <w:rPr>
                <w:color w:val="000000"/>
                <w:sz w:val="19"/>
                <w:szCs w:val="19"/>
              </w:rPr>
            </w:pPr>
            <w:r w:rsidRPr="0023367D">
              <w:rPr>
                <w:color w:val="000000"/>
                <w:sz w:val="19"/>
                <w:szCs w:val="19"/>
              </w:rPr>
              <w:t>8.2%</w:t>
            </w:r>
          </w:p>
        </w:tc>
        <w:tc>
          <w:tcPr>
            <w:tcW w:w="1591" w:type="dxa"/>
            <w:tcBorders>
              <w:top w:val="nil"/>
              <w:left w:val="nil"/>
              <w:bottom w:val="single" w:sz="8" w:space="0" w:color="auto"/>
              <w:right w:val="single" w:sz="12" w:space="0" w:color="auto"/>
            </w:tcBorders>
            <w:vAlign w:val="center"/>
          </w:tcPr>
          <w:p w14:paraId="6531AB22" w14:textId="77777777" w:rsidR="00335619" w:rsidRPr="0023367D" w:rsidRDefault="00335619" w:rsidP="00335619">
            <w:pPr>
              <w:jc w:val="center"/>
              <w:rPr>
                <w:color w:val="000000"/>
                <w:sz w:val="19"/>
                <w:szCs w:val="19"/>
              </w:rPr>
            </w:pPr>
            <w:r w:rsidRPr="0023367D">
              <w:rPr>
                <w:color w:val="000000"/>
                <w:sz w:val="19"/>
                <w:szCs w:val="19"/>
              </w:rPr>
              <w:t>32.4%</w:t>
            </w:r>
          </w:p>
        </w:tc>
        <w:tc>
          <w:tcPr>
            <w:tcW w:w="720" w:type="dxa"/>
            <w:tcBorders>
              <w:top w:val="nil"/>
              <w:left w:val="single" w:sz="12" w:space="0" w:color="auto"/>
              <w:bottom w:val="single" w:sz="8" w:space="0" w:color="auto"/>
              <w:right w:val="single" w:sz="8" w:space="0" w:color="auto"/>
            </w:tcBorders>
            <w:shd w:val="clear" w:color="auto" w:fill="auto"/>
            <w:vAlign w:val="center"/>
          </w:tcPr>
          <w:p w14:paraId="3D7F2233" w14:textId="77777777" w:rsidR="00335619" w:rsidRPr="0023367D" w:rsidRDefault="00335619" w:rsidP="00335619">
            <w:pPr>
              <w:jc w:val="center"/>
              <w:rPr>
                <w:color w:val="000000"/>
                <w:sz w:val="19"/>
                <w:szCs w:val="19"/>
              </w:rPr>
            </w:pPr>
            <w:r w:rsidRPr="0023367D">
              <w:rPr>
                <w:color w:val="000000"/>
                <w:sz w:val="19"/>
                <w:szCs w:val="19"/>
              </w:rPr>
              <w:t>153</w:t>
            </w:r>
          </w:p>
        </w:tc>
        <w:tc>
          <w:tcPr>
            <w:tcW w:w="990" w:type="dxa"/>
            <w:tcBorders>
              <w:top w:val="nil"/>
              <w:left w:val="nil"/>
              <w:bottom w:val="single" w:sz="8" w:space="0" w:color="auto"/>
              <w:right w:val="single" w:sz="8" w:space="0" w:color="auto"/>
            </w:tcBorders>
            <w:shd w:val="clear" w:color="auto" w:fill="auto"/>
            <w:vAlign w:val="center"/>
          </w:tcPr>
          <w:p w14:paraId="514FD91D" w14:textId="77777777" w:rsidR="00335619" w:rsidRPr="0023367D" w:rsidRDefault="00335619" w:rsidP="00335619">
            <w:pPr>
              <w:jc w:val="center"/>
              <w:rPr>
                <w:color w:val="000000"/>
                <w:sz w:val="19"/>
                <w:szCs w:val="19"/>
              </w:rPr>
            </w:pPr>
            <w:r w:rsidRPr="0023367D">
              <w:rPr>
                <w:color w:val="000000"/>
                <w:sz w:val="19"/>
                <w:szCs w:val="19"/>
              </w:rPr>
              <w:t>18.5%</w:t>
            </w:r>
          </w:p>
        </w:tc>
        <w:tc>
          <w:tcPr>
            <w:tcW w:w="1006" w:type="dxa"/>
            <w:tcBorders>
              <w:top w:val="nil"/>
              <w:left w:val="nil"/>
              <w:bottom w:val="single" w:sz="8" w:space="0" w:color="auto"/>
              <w:right w:val="single" w:sz="8" w:space="0" w:color="auto"/>
            </w:tcBorders>
            <w:shd w:val="clear" w:color="auto" w:fill="auto"/>
            <w:vAlign w:val="center"/>
          </w:tcPr>
          <w:p w14:paraId="7F491E86" w14:textId="77777777" w:rsidR="00335619" w:rsidRPr="0023367D" w:rsidRDefault="00335619" w:rsidP="00335619">
            <w:pPr>
              <w:jc w:val="center"/>
              <w:rPr>
                <w:color w:val="000000"/>
                <w:sz w:val="19"/>
                <w:szCs w:val="19"/>
              </w:rPr>
            </w:pPr>
            <w:r w:rsidRPr="0023367D">
              <w:rPr>
                <w:color w:val="000000"/>
                <w:sz w:val="19"/>
                <w:szCs w:val="19"/>
              </w:rPr>
              <w:t>12.2%</w:t>
            </w:r>
          </w:p>
        </w:tc>
        <w:tc>
          <w:tcPr>
            <w:tcW w:w="1525" w:type="dxa"/>
            <w:gridSpan w:val="2"/>
            <w:tcBorders>
              <w:top w:val="nil"/>
              <w:left w:val="nil"/>
              <w:bottom w:val="single" w:sz="8" w:space="0" w:color="auto"/>
              <w:right w:val="single" w:sz="4" w:space="0" w:color="auto"/>
            </w:tcBorders>
            <w:shd w:val="clear" w:color="auto" w:fill="auto"/>
            <w:noWrap/>
            <w:vAlign w:val="center"/>
          </w:tcPr>
          <w:p w14:paraId="3324F796" w14:textId="77777777" w:rsidR="00335619" w:rsidRPr="0023367D" w:rsidRDefault="00335619" w:rsidP="00335619">
            <w:pPr>
              <w:jc w:val="center"/>
              <w:rPr>
                <w:color w:val="000000"/>
                <w:sz w:val="19"/>
                <w:szCs w:val="19"/>
              </w:rPr>
            </w:pPr>
            <w:r w:rsidRPr="0023367D">
              <w:rPr>
                <w:color w:val="000000"/>
                <w:sz w:val="19"/>
                <w:szCs w:val="19"/>
              </w:rPr>
              <w:t>29.3%</w:t>
            </w:r>
          </w:p>
        </w:tc>
      </w:tr>
      <w:tr w:rsidR="00335619" w:rsidRPr="0023367D" w14:paraId="472A8823"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6F9D0F00" w14:textId="77777777" w:rsidR="00335619" w:rsidRPr="0023367D" w:rsidRDefault="00335619" w:rsidP="00335619">
            <w:pPr>
              <w:jc w:val="center"/>
              <w:rPr>
                <w:color w:val="000000"/>
                <w:sz w:val="19"/>
                <w:szCs w:val="19"/>
              </w:rPr>
            </w:pPr>
            <w:r w:rsidRPr="0023367D">
              <w:rPr>
                <w:bCs/>
                <w:color w:val="000000"/>
                <w:sz w:val="19"/>
                <w:szCs w:val="19"/>
                <w:lang w:bidi="he-IL"/>
              </w:rPr>
              <w:t>1977</w:t>
            </w:r>
          </w:p>
        </w:tc>
        <w:tc>
          <w:tcPr>
            <w:tcW w:w="1012" w:type="dxa"/>
            <w:tcBorders>
              <w:top w:val="nil"/>
              <w:left w:val="nil"/>
              <w:bottom w:val="single" w:sz="8" w:space="0" w:color="auto"/>
              <w:right w:val="single" w:sz="8" w:space="0" w:color="auto"/>
            </w:tcBorders>
            <w:shd w:val="clear" w:color="auto" w:fill="auto"/>
            <w:noWrap/>
            <w:vAlign w:val="center"/>
          </w:tcPr>
          <w:p w14:paraId="775552FB" w14:textId="77777777" w:rsidR="00335619" w:rsidRPr="0023367D" w:rsidRDefault="00335619" w:rsidP="00335619">
            <w:pPr>
              <w:jc w:val="center"/>
              <w:rPr>
                <w:color w:val="000000"/>
                <w:sz w:val="19"/>
                <w:szCs w:val="19"/>
              </w:rPr>
            </w:pPr>
            <w:r w:rsidRPr="0023367D">
              <w:rPr>
                <w:color w:val="000000"/>
                <w:sz w:val="19"/>
                <w:szCs w:val="19"/>
              </w:rPr>
              <w:t>232</w:t>
            </w:r>
          </w:p>
        </w:tc>
        <w:tc>
          <w:tcPr>
            <w:tcW w:w="909" w:type="dxa"/>
            <w:tcBorders>
              <w:top w:val="nil"/>
              <w:left w:val="nil"/>
              <w:bottom w:val="single" w:sz="8" w:space="0" w:color="auto"/>
              <w:right w:val="single" w:sz="8" w:space="0" w:color="auto"/>
            </w:tcBorders>
            <w:shd w:val="clear" w:color="auto" w:fill="auto"/>
            <w:noWrap/>
            <w:vAlign w:val="center"/>
          </w:tcPr>
          <w:p w14:paraId="1F5D5B40" w14:textId="77777777" w:rsidR="00335619" w:rsidRPr="0023367D" w:rsidRDefault="00335619" w:rsidP="00335619">
            <w:pPr>
              <w:jc w:val="center"/>
              <w:rPr>
                <w:color w:val="000000"/>
                <w:sz w:val="19"/>
                <w:szCs w:val="19"/>
              </w:rPr>
            </w:pPr>
            <w:r w:rsidRPr="0023367D">
              <w:rPr>
                <w:color w:val="000000"/>
                <w:sz w:val="19"/>
                <w:szCs w:val="19"/>
              </w:rPr>
              <w:t>9.6%</w:t>
            </w:r>
          </w:p>
        </w:tc>
        <w:tc>
          <w:tcPr>
            <w:tcW w:w="1067" w:type="dxa"/>
            <w:tcBorders>
              <w:top w:val="nil"/>
              <w:left w:val="nil"/>
              <w:bottom w:val="single" w:sz="8" w:space="0" w:color="auto"/>
              <w:right w:val="single" w:sz="8" w:space="0" w:color="auto"/>
            </w:tcBorders>
            <w:shd w:val="clear" w:color="auto" w:fill="auto"/>
            <w:vAlign w:val="center"/>
          </w:tcPr>
          <w:p w14:paraId="5B8267A9" w14:textId="77777777" w:rsidR="00335619" w:rsidRPr="0023367D" w:rsidRDefault="00335619" w:rsidP="00335619">
            <w:pPr>
              <w:jc w:val="center"/>
              <w:rPr>
                <w:color w:val="000000"/>
                <w:sz w:val="19"/>
                <w:szCs w:val="19"/>
              </w:rPr>
            </w:pPr>
            <w:r w:rsidRPr="0023367D">
              <w:rPr>
                <w:color w:val="000000"/>
                <w:sz w:val="19"/>
                <w:szCs w:val="19"/>
              </w:rPr>
              <w:t>6.6%</w:t>
            </w:r>
          </w:p>
        </w:tc>
        <w:tc>
          <w:tcPr>
            <w:tcW w:w="1591" w:type="dxa"/>
            <w:tcBorders>
              <w:top w:val="nil"/>
              <w:left w:val="nil"/>
              <w:bottom w:val="single" w:sz="8" w:space="0" w:color="auto"/>
              <w:right w:val="single" w:sz="12" w:space="0" w:color="auto"/>
            </w:tcBorders>
            <w:vAlign w:val="center"/>
          </w:tcPr>
          <w:p w14:paraId="34CFAE30" w14:textId="77777777" w:rsidR="00335619" w:rsidRPr="0023367D" w:rsidRDefault="00335619" w:rsidP="00335619">
            <w:pPr>
              <w:jc w:val="center"/>
              <w:rPr>
                <w:color w:val="000000"/>
                <w:sz w:val="19"/>
                <w:szCs w:val="19"/>
              </w:rPr>
            </w:pPr>
            <w:r w:rsidRPr="0023367D">
              <w:rPr>
                <w:color w:val="000000"/>
                <w:sz w:val="19"/>
                <w:szCs w:val="19"/>
              </w:rPr>
              <w:t>28.9%</w:t>
            </w:r>
          </w:p>
        </w:tc>
        <w:tc>
          <w:tcPr>
            <w:tcW w:w="720" w:type="dxa"/>
            <w:tcBorders>
              <w:top w:val="nil"/>
              <w:left w:val="single" w:sz="12" w:space="0" w:color="auto"/>
              <w:bottom w:val="single" w:sz="8" w:space="0" w:color="auto"/>
              <w:right w:val="single" w:sz="8" w:space="0" w:color="auto"/>
            </w:tcBorders>
            <w:shd w:val="clear" w:color="auto" w:fill="auto"/>
            <w:vAlign w:val="center"/>
          </w:tcPr>
          <w:p w14:paraId="1E5A4194" w14:textId="77777777" w:rsidR="00335619" w:rsidRPr="0023367D" w:rsidRDefault="00335619" w:rsidP="00335619">
            <w:pPr>
              <w:jc w:val="center"/>
              <w:rPr>
                <w:color w:val="000000"/>
                <w:sz w:val="19"/>
                <w:szCs w:val="19"/>
              </w:rPr>
            </w:pPr>
            <w:r w:rsidRPr="0023367D">
              <w:rPr>
                <w:color w:val="000000"/>
                <w:sz w:val="19"/>
                <w:szCs w:val="19"/>
              </w:rPr>
              <w:t>151</w:t>
            </w:r>
          </w:p>
        </w:tc>
        <w:tc>
          <w:tcPr>
            <w:tcW w:w="990" w:type="dxa"/>
            <w:tcBorders>
              <w:top w:val="nil"/>
              <w:left w:val="nil"/>
              <w:bottom w:val="single" w:sz="8" w:space="0" w:color="auto"/>
              <w:right w:val="single" w:sz="8" w:space="0" w:color="auto"/>
            </w:tcBorders>
            <w:shd w:val="clear" w:color="auto" w:fill="auto"/>
            <w:vAlign w:val="center"/>
          </w:tcPr>
          <w:p w14:paraId="079291F4" w14:textId="77777777" w:rsidR="00335619" w:rsidRPr="0023367D" w:rsidRDefault="00335619" w:rsidP="00335619">
            <w:pPr>
              <w:jc w:val="center"/>
              <w:rPr>
                <w:color w:val="000000"/>
                <w:sz w:val="19"/>
                <w:szCs w:val="19"/>
              </w:rPr>
            </w:pPr>
            <w:r w:rsidRPr="0023367D">
              <w:rPr>
                <w:color w:val="000000"/>
                <w:sz w:val="19"/>
                <w:szCs w:val="19"/>
              </w:rPr>
              <w:t>15.1%</w:t>
            </w:r>
          </w:p>
        </w:tc>
        <w:tc>
          <w:tcPr>
            <w:tcW w:w="1006" w:type="dxa"/>
            <w:tcBorders>
              <w:top w:val="nil"/>
              <w:left w:val="nil"/>
              <w:bottom w:val="single" w:sz="8" w:space="0" w:color="auto"/>
              <w:right w:val="single" w:sz="8" w:space="0" w:color="auto"/>
            </w:tcBorders>
            <w:shd w:val="clear" w:color="auto" w:fill="auto"/>
            <w:vAlign w:val="center"/>
          </w:tcPr>
          <w:p w14:paraId="1CF5E02F" w14:textId="77777777" w:rsidR="00335619" w:rsidRPr="0023367D" w:rsidRDefault="00335619" w:rsidP="00335619">
            <w:pPr>
              <w:jc w:val="center"/>
              <w:rPr>
                <w:color w:val="000000"/>
                <w:sz w:val="19"/>
                <w:szCs w:val="19"/>
              </w:rPr>
            </w:pPr>
            <w:r w:rsidRPr="0023367D">
              <w:rPr>
                <w:color w:val="000000"/>
                <w:sz w:val="19"/>
                <w:szCs w:val="19"/>
              </w:rPr>
              <w:t>11.6%</w:t>
            </w:r>
          </w:p>
        </w:tc>
        <w:tc>
          <w:tcPr>
            <w:tcW w:w="1525" w:type="dxa"/>
            <w:gridSpan w:val="2"/>
            <w:tcBorders>
              <w:top w:val="nil"/>
              <w:left w:val="nil"/>
              <w:bottom w:val="single" w:sz="8" w:space="0" w:color="auto"/>
              <w:right w:val="single" w:sz="4" w:space="0" w:color="auto"/>
            </w:tcBorders>
            <w:shd w:val="clear" w:color="auto" w:fill="auto"/>
            <w:noWrap/>
            <w:vAlign w:val="center"/>
          </w:tcPr>
          <w:p w14:paraId="1FA63ACD" w14:textId="77777777" w:rsidR="00335619" w:rsidRPr="0023367D" w:rsidRDefault="00335619" w:rsidP="00335619">
            <w:pPr>
              <w:jc w:val="center"/>
              <w:rPr>
                <w:color w:val="000000"/>
                <w:sz w:val="19"/>
                <w:szCs w:val="19"/>
              </w:rPr>
            </w:pPr>
            <w:r w:rsidRPr="0023367D">
              <w:rPr>
                <w:color w:val="000000"/>
                <w:sz w:val="19"/>
                <w:szCs w:val="19"/>
              </w:rPr>
              <w:t>25.2%</w:t>
            </w:r>
          </w:p>
        </w:tc>
      </w:tr>
      <w:tr w:rsidR="00335619" w:rsidRPr="0023367D" w14:paraId="332DE557"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45B5935C" w14:textId="77777777" w:rsidR="00335619" w:rsidRPr="0023367D" w:rsidRDefault="00335619" w:rsidP="00335619">
            <w:pPr>
              <w:jc w:val="center"/>
              <w:rPr>
                <w:color w:val="000000"/>
                <w:sz w:val="19"/>
                <w:szCs w:val="19"/>
              </w:rPr>
            </w:pPr>
            <w:r w:rsidRPr="0023367D">
              <w:rPr>
                <w:bCs/>
                <w:color w:val="000000"/>
                <w:sz w:val="19"/>
                <w:szCs w:val="19"/>
                <w:lang w:bidi="he-IL"/>
              </w:rPr>
              <w:t>1978</w:t>
            </w:r>
          </w:p>
        </w:tc>
        <w:tc>
          <w:tcPr>
            <w:tcW w:w="1012" w:type="dxa"/>
            <w:tcBorders>
              <w:top w:val="nil"/>
              <w:left w:val="nil"/>
              <w:bottom w:val="single" w:sz="8" w:space="0" w:color="auto"/>
              <w:right w:val="single" w:sz="8" w:space="0" w:color="auto"/>
            </w:tcBorders>
            <w:shd w:val="clear" w:color="auto" w:fill="auto"/>
            <w:noWrap/>
            <w:vAlign w:val="center"/>
          </w:tcPr>
          <w:p w14:paraId="61E318CC" w14:textId="77777777" w:rsidR="00335619" w:rsidRPr="0023367D" w:rsidRDefault="00335619" w:rsidP="00335619">
            <w:pPr>
              <w:jc w:val="center"/>
              <w:rPr>
                <w:color w:val="000000"/>
                <w:sz w:val="19"/>
                <w:szCs w:val="19"/>
              </w:rPr>
            </w:pPr>
            <w:r w:rsidRPr="0023367D">
              <w:rPr>
                <w:color w:val="000000"/>
                <w:sz w:val="19"/>
                <w:szCs w:val="19"/>
              </w:rPr>
              <w:t>207</w:t>
            </w:r>
          </w:p>
        </w:tc>
        <w:tc>
          <w:tcPr>
            <w:tcW w:w="909" w:type="dxa"/>
            <w:tcBorders>
              <w:top w:val="nil"/>
              <w:left w:val="nil"/>
              <w:bottom w:val="single" w:sz="8" w:space="0" w:color="auto"/>
              <w:right w:val="single" w:sz="8" w:space="0" w:color="auto"/>
            </w:tcBorders>
            <w:shd w:val="clear" w:color="auto" w:fill="auto"/>
            <w:noWrap/>
            <w:vAlign w:val="center"/>
          </w:tcPr>
          <w:p w14:paraId="603B24EC" w14:textId="77777777" w:rsidR="00335619" w:rsidRPr="0023367D" w:rsidRDefault="00335619" w:rsidP="00335619">
            <w:pPr>
              <w:jc w:val="center"/>
              <w:rPr>
                <w:color w:val="000000"/>
                <w:sz w:val="19"/>
                <w:szCs w:val="19"/>
              </w:rPr>
            </w:pPr>
            <w:r w:rsidRPr="0023367D">
              <w:rPr>
                <w:color w:val="000000"/>
                <w:sz w:val="19"/>
                <w:szCs w:val="19"/>
              </w:rPr>
              <w:t>8.4%</w:t>
            </w:r>
          </w:p>
        </w:tc>
        <w:tc>
          <w:tcPr>
            <w:tcW w:w="1067" w:type="dxa"/>
            <w:tcBorders>
              <w:top w:val="nil"/>
              <w:left w:val="nil"/>
              <w:bottom w:val="single" w:sz="8" w:space="0" w:color="auto"/>
              <w:right w:val="single" w:sz="8" w:space="0" w:color="auto"/>
            </w:tcBorders>
            <w:shd w:val="clear" w:color="auto" w:fill="auto"/>
            <w:vAlign w:val="center"/>
          </w:tcPr>
          <w:p w14:paraId="58045144" w14:textId="77777777" w:rsidR="00335619" w:rsidRPr="0023367D" w:rsidRDefault="00335619" w:rsidP="00335619">
            <w:pPr>
              <w:jc w:val="center"/>
              <w:rPr>
                <w:color w:val="000000"/>
                <w:sz w:val="19"/>
                <w:szCs w:val="19"/>
              </w:rPr>
            </w:pPr>
            <w:r w:rsidRPr="0023367D">
              <w:rPr>
                <w:color w:val="000000"/>
                <w:sz w:val="19"/>
                <w:szCs w:val="19"/>
              </w:rPr>
              <w:t>7.0%</w:t>
            </w:r>
          </w:p>
        </w:tc>
        <w:tc>
          <w:tcPr>
            <w:tcW w:w="1591" w:type="dxa"/>
            <w:tcBorders>
              <w:top w:val="nil"/>
              <w:left w:val="nil"/>
              <w:bottom w:val="single" w:sz="8" w:space="0" w:color="auto"/>
              <w:right w:val="single" w:sz="12" w:space="0" w:color="auto"/>
            </w:tcBorders>
            <w:vAlign w:val="center"/>
          </w:tcPr>
          <w:p w14:paraId="38AE8E3F" w14:textId="77777777" w:rsidR="00335619" w:rsidRPr="0023367D" w:rsidRDefault="00335619" w:rsidP="00335619">
            <w:pPr>
              <w:jc w:val="center"/>
              <w:rPr>
                <w:color w:val="000000"/>
                <w:sz w:val="19"/>
                <w:szCs w:val="19"/>
              </w:rPr>
            </w:pPr>
            <w:r w:rsidRPr="0023367D">
              <w:rPr>
                <w:color w:val="000000"/>
                <w:sz w:val="19"/>
                <w:szCs w:val="19"/>
              </w:rPr>
              <w:t>25.1%</w:t>
            </w:r>
          </w:p>
        </w:tc>
        <w:tc>
          <w:tcPr>
            <w:tcW w:w="720" w:type="dxa"/>
            <w:tcBorders>
              <w:top w:val="nil"/>
              <w:left w:val="single" w:sz="12" w:space="0" w:color="auto"/>
              <w:bottom w:val="single" w:sz="8" w:space="0" w:color="auto"/>
              <w:right w:val="single" w:sz="8" w:space="0" w:color="auto"/>
            </w:tcBorders>
            <w:shd w:val="clear" w:color="auto" w:fill="auto"/>
            <w:vAlign w:val="center"/>
          </w:tcPr>
          <w:p w14:paraId="1B93D9FC" w14:textId="77777777" w:rsidR="00335619" w:rsidRPr="0023367D" w:rsidRDefault="00335619" w:rsidP="00335619">
            <w:pPr>
              <w:jc w:val="center"/>
              <w:rPr>
                <w:color w:val="000000"/>
                <w:sz w:val="19"/>
                <w:szCs w:val="19"/>
              </w:rPr>
            </w:pPr>
            <w:r w:rsidRPr="0023367D">
              <w:rPr>
                <w:color w:val="000000"/>
                <w:sz w:val="19"/>
                <w:szCs w:val="19"/>
              </w:rPr>
              <w:t>146</w:t>
            </w:r>
          </w:p>
        </w:tc>
        <w:tc>
          <w:tcPr>
            <w:tcW w:w="990" w:type="dxa"/>
            <w:tcBorders>
              <w:top w:val="nil"/>
              <w:left w:val="nil"/>
              <w:bottom w:val="single" w:sz="8" w:space="0" w:color="auto"/>
              <w:right w:val="single" w:sz="8" w:space="0" w:color="auto"/>
            </w:tcBorders>
            <w:shd w:val="clear" w:color="auto" w:fill="auto"/>
            <w:vAlign w:val="center"/>
          </w:tcPr>
          <w:p w14:paraId="121E5CE2" w14:textId="77777777" w:rsidR="00335619" w:rsidRPr="0023367D" w:rsidRDefault="00335619" w:rsidP="00335619">
            <w:pPr>
              <w:jc w:val="center"/>
              <w:rPr>
                <w:color w:val="000000"/>
                <w:sz w:val="19"/>
                <w:szCs w:val="19"/>
              </w:rPr>
            </w:pPr>
            <w:r w:rsidRPr="0023367D">
              <w:rPr>
                <w:color w:val="000000"/>
                <w:sz w:val="19"/>
                <w:szCs w:val="19"/>
              </w:rPr>
              <w:t>12.1%</w:t>
            </w:r>
          </w:p>
        </w:tc>
        <w:tc>
          <w:tcPr>
            <w:tcW w:w="1006" w:type="dxa"/>
            <w:tcBorders>
              <w:top w:val="nil"/>
              <w:left w:val="nil"/>
              <w:bottom w:val="single" w:sz="8" w:space="0" w:color="auto"/>
              <w:right w:val="single" w:sz="8" w:space="0" w:color="auto"/>
            </w:tcBorders>
            <w:shd w:val="clear" w:color="auto" w:fill="auto"/>
            <w:vAlign w:val="center"/>
          </w:tcPr>
          <w:p w14:paraId="31DE16C1" w14:textId="77777777" w:rsidR="00335619" w:rsidRPr="0023367D" w:rsidRDefault="00335619" w:rsidP="00335619">
            <w:pPr>
              <w:jc w:val="center"/>
              <w:rPr>
                <w:color w:val="000000"/>
                <w:sz w:val="19"/>
                <w:szCs w:val="19"/>
              </w:rPr>
            </w:pPr>
            <w:r w:rsidRPr="0023367D">
              <w:rPr>
                <w:color w:val="000000"/>
                <w:sz w:val="19"/>
                <w:szCs w:val="19"/>
              </w:rPr>
              <w:t>11.8%</w:t>
            </w:r>
          </w:p>
        </w:tc>
        <w:tc>
          <w:tcPr>
            <w:tcW w:w="1525" w:type="dxa"/>
            <w:gridSpan w:val="2"/>
            <w:tcBorders>
              <w:top w:val="nil"/>
              <w:left w:val="nil"/>
              <w:bottom w:val="single" w:sz="8" w:space="0" w:color="auto"/>
              <w:right w:val="single" w:sz="4" w:space="0" w:color="auto"/>
            </w:tcBorders>
            <w:shd w:val="clear" w:color="auto" w:fill="auto"/>
            <w:noWrap/>
            <w:vAlign w:val="center"/>
          </w:tcPr>
          <w:p w14:paraId="301BBCFC" w14:textId="77777777" w:rsidR="00335619" w:rsidRPr="0023367D" w:rsidRDefault="00335619" w:rsidP="00335619">
            <w:pPr>
              <w:jc w:val="center"/>
              <w:rPr>
                <w:color w:val="000000"/>
                <w:sz w:val="19"/>
                <w:szCs w:val="19"/>
              </w:rPr>
            </w:pPr>
            <w:r w:rsidRPr="0023367D">
              <w:rPr>
                <w:color w:val="000000"/>
                <w:sz w:val="19"/>
                <w:szCs w:val="19"/>
              </w:rPr>
              <w:t>20.7%</w:t>
            </w:r>
          </w:p>
        </w:tc>
      </w:tr>
      <w:tr w:rsidR="00335619" w:rsidRPr="0023367D" w14:paraId="12053D04"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02C413A0" w14:textId="77777777" w:rsidR="00335619" w:rsidRPr="0023367D" w:rsidRDefault="00335619" w:rsidP="00335619">
            <w:pPr>
              <w:jc w:val="center"/>
              <w:rPr>
                <w:color w:val="000000"/>
                <w:sz w:val="19"/>
                <w:szCs w:val="19"/>
              </w:rPr>
            </w:pPr>
            <w:r w:rsidRPr="0023367D">
              <w:rPr>
                <w:bCs/>
                <w:color w:val="000000"/>
                <w:sz w:val="19"/>
                <w:szCs w:val="19"/>
                <w:lang w:bidi="he-IL"/>
              </w:rPr>
              <w:t>1979</w:t>
            </w:r>
          </w:p>
        </w:tc>
        <w:tc>
          <w:tcPr>
            <w:tcW w:w="1012" w:type="dxa"/>
            <w:tcBorders>
              <w:top w:val="nil"/>
              <w:left w:val="nil"/>
              <w:bottom w:val="single" w:sz="8" w:space="0" w:color="auto"/>
              <w:right w:val="single" w:sz="8" w:space="0" w:color="auto"/>
            </w:tcBorders>
            <w:shd w:val="clear" w:color="auto" w:fill="auto"/>
            <w:noWrap/>
            <w:vAlign w:val="center"/>
          </w:tcPr>
          <w:p w14:paraId="37318C82" w14:textId="77777777" w:rsidR="00335619" w:rsidRPr="0023367D" w:rsidRDefault="00335619" w:rsidP="00335619">
            <w:pPr>
              <w:jc w:val="center"/>
              <w:rPr>
                <w:color w:val="000000"/>
                <w:sz w:val="19"/>
                <w:szCs w:val="19"/>
              </w:rPr>
            </w:pPr>
            <w:r w:rsidRPr="0023367D">
              <w:rPr>
                <w:color w:val="000000"/>
                <w:sz w:val="19"/>
                <w:szCs w:val="19"/>
              </w:rPr>
              <w:t>210</w:t>
            </w:r>
          </w:p>
        </w:tc>
        <w:tc>
          <w:tcPr>
            <w:tcW w:w="909" w:type="dxa"/>
            <w:tcBorders>
              <w:top w:val="nil"/>
              <w:left w:val="nil"/>
              <w:bottom w:val="single" w:sz="8" w:space="0" w:color="auto"/>
              <w:right w:val="single" w:sz="8" w:space="0" w:color="auto"/>
            </w:tcBorders>
            <w:shd w:val="clear" w:color="auto" w:fill="auto"/>
            <w:noWrap/>
            <w:vAlign w:val="center"/>
          </w:tcPr>
          <w:p w14:paraId="02E83797" w14:textId="77777777" w:rsidR="00335619" w:rsidRPr="0023367D" w:rsidRDefault="00335619" w:rsidP="00335619">
            <w:pPr>
              <w:jc w:val="center"/>
              <w:rPr>
                <w:color w:val="000000"/>
                <w:sz w:val="19"/>
                <w:szCs w:val="19"/>
              </w:rPr>
            </w:pPr>
            <w:r w:rsidRPr="0023367D">
              <w:rPr>
                <w:color w:val="000000"/>
                <w:sz w:val="19"/>
                <w:szCs w:val="19"/>
              </w:rPr>
              <w:t>8.9%</w:t>
            </w:r>
          </w:p>
        </w:tc>
        <w:tc>
          <w:tcPr>
            <w:tcW w:w="1067" w:type="dxa"/>
            <w:tcBorders>
              <w:top w:val="nil"/>
              <w:left w:val="nil"/>
              <w:bottom w:val="single" w:sz="8" w:space="0" w:color="auto"/>
              <w:right w:val="single" w:sz="8" w:space="0" w:color="auto"/>
            </w:tcBorders>
            <w:shd w:val="clear" w:color="auto" w:fill="auto"/>
            <w:vAlign w:val="center"/>
          </w:tcPr>
          <w:p w14:paraId="21A9569A" w14:textId="77777777" w:rsidR="00335619" w:rsidRPr="0023367D" w:rsidRDefault="00335619" w:rsidP="00335619">
            <w:pPr>
              <w:jc w:val="center"/>
              <w:rPr>
                <w:color w:val="000000"/>
                <w:sz w:val="19"/>
                <w:szCs w:val="19"/>
              </w:rPr>
            </w:pPr>
            <w:r w:rsidRPr="0023367D">
              <w:rPr>
                <w:color w:val="000000"/>
                <w:sz w:val="19"/>
                <w:szCs w:val="19"/>
              </w:rPr>
              <w:t>7.6%</w:t>
            </w:r>
          </w:p>
        </w:tc>
        <w:tc>
          <w:tcPr>
            <w:tcW w:w="1591" w:type="dxa"/>
            <w:tcBorders>
              <w:top w:val="nil"/>
              <w:left w:val="nil"/>
              <w:bottom w:val="single" w:sz="8" w:space="0" w:color="auto"/>
              <w:right w:val="single" w:sz="12" w:space="0" w:color="auto"/>
            </w:tcBorders>
            <w:vAlign w:val="center"/>
          </w:tcPr>
          <w:p w14:paraId="786C1501" w14:textId="77777777" w:rsidR="00335619" w:rsidRPr="0023367D" w:rsidRDefault="00335619" w:rsidP="00335619">
            <w:pPr>
              <w:jc w:val="center"/>
              <w:rPr>
                <w:color w:val="000000"/>
                <w:sz w:val="19"/>
                <w:szCs w:val="19"/>
              </w:rPr>
            </w:pPr>
            <w:r w:rsidRPr="0023367D">
              <w:rPr>
                <w:color w:val="000000"/>
                <w:sz w:val="19"/>
                <w:szCs w:val="19"/>
              </w:rPr>
              <w:t>22.0%</w:t>
            </w:r>
          </w:p>
        </w:tc>
        <w:tc>
          <w:tcPr>
            <w:tcW w:w="720" w:type="dxa"/>
            <w:tcBorders>
              <w:top w:val="nil"/>
              <w:left w:val="single" w:sz="12" w:space="0" w:color="auto"/>
              <w:bottom w:val="single" w:sz="8" w:space="0" w:color="auto"/>
              <w:right w:val="single" w:sz="8" w:space="0" w:color="auto"/>
            </w:tcBorders>
            <w:shd w:val="clear" w:color="auto" w:fill="auto"/>
            <w:vAlign w:val="center"/>
          </w:tcPr>
          <w:p w14:paraId="656ECE02" w14:textId="77777777" w:rsidR="00335619" w:rsidRPr="0023367D" w:rsidRDefault="00335619" w:rsidP="00335619">
            <w:pPr>
              <w:jc w:val="center"/>
              <w:rPr>
                <w:color w:val="000000"/>
                <w:sz w:val="19"/>
                <w:szCs w:val="19"/>
              </w:rPr>
            </w:pPr>
            <w:r w:rsidRPr="0023367D">
              <w:rPr>
                <w:color w:val="000000"/>
                <w:sz w:val="19"/>
                <w:szCs w:val="19"/>
              </w:rPr>
              <w:t>164</w:t>
            </w:r>
          </w:p>
        </w:tc>
        <w:tc>
          <w:tcPr>
            <w:tcW w:w="990" w:type="dxa"/>
            <w:tcBorders>
              <w:top w:val="nil"/>
              <w:left w:val="nil"/>
              <w:bottom w:val="single" w:sz="8" w:space="0" w:color="auto"/>
              <w:right w:val="single" w:sz="8" w:space="0" w:color="auto"/>
            </w:tcBorders>
            <w:shd w:val="clear" w:color="auto" w:fill="auto"/>
            <w:vAlign w:val="center"/>
          </w:tcPr>
          <w:p w14:paraId="66E20C4C" w14:textId="77777777" w:rsidR="00335619" w:rsidRPr="0023367D" w:rsidRDefault="00335619" w:rsidP="00335619">
            <w:pPr>
              <w:jc w:val="center"/>
              <w:rPr>
                <w:color w:val="000000"/>
                <w:sz w:val="19"/>
                <w:szCs w:val="19"/>
              </w:rPr>
            </w:pPr>
            <w:r w:rsidRPr="0023367D">
              <w:rPr>
                <w:color w:val="000000"/>
                <w:sz w:val="19"/>
                <w:szCs w:val="19"/>
              </w:rPr>
              <w:t>11.8%</w:t>
            </w:r>
          </w:p>
        </w:tc>
        <w:tc>
          <w:tcPr>
            <w:tcW w:w="1006" w:type="dxa"/>
            <w:tcBorders>
              <w:top w:val="nil"/>
              <w:left w:val="nil"/>
              <w:bottom w:val="single" w:sz="8" w:space="0" w:color="auto"/>
              <w:right w:val="single" w:sz="8" w:space="0" w:color="auto"/>
            </w:tcBorders>
            <w:shd w:val="clear" w:color="auto" w:fill="auto"/>
            <w:vAlign w:val="center"/>
          </w:tcPr>
          <w:p w14:paraId="08FEBD31" w14:textId="77777777" w:rsidR="00335619" w:rsidRPr="0023367D" w:rsidRDefault="00335619" w:rsidP="00335619">
            <w:pPr>
              <w:jc w:val="center"/>
              <w:rPr>
                <w:color w:val="000000"/>
                <w:sz w:val="19"/>
                <w:szCs w:val="19"/>
              </w:rPr>
            </w:pPr>
            <w:r w:rsidRPr="0023367D">
              <w:rPr>
                <w:color w:val="000000"/>
                <w:sz w:val="19"/>
                <w:szCs w:val="19"/>
              </w:rPr>
              <w:t>12.3%</w:t>
            </w:r>
          </w:p>
        </w:tc>
        <w:tc>
          <w:tcPr>
            <w:tcW w:w="1525" w:type="dxa"/>
            <w:gridSpan w:val="2"/>
            <w:tcBorders>
              <w:top w:val="nil"/>
              <w:left w:val="nil"/>
              <w:bottom w:val="single" w:sz="8" w:space="0" w:color="auto"/>
              <w:right w:val="single" w:sz="4" w:space="0" w:color="auto"/>
            </w:tcBorders>
            <w:shd w:val="clear" w:color="auto" w:fill="auto"/>
            <w:noWrap/>
            <w:vAlign w:val="center"/>
          </w:tcPr>
          <w:p w14:paraId="2FACC4C3" w14:textId="77777777" w:rsidR="00335619" w:rsidRPr="0023367D" w:rsidRDefault="00335619" w:rsidP="00335619">
            <w:pPr>
              <w:jc w:val="center"/>
              <w:rPr>
                <w:color w:val="000000"/>
                <w:sz w:val="19"/>
                <w:szCs w:val="19"/>
              </w:rPr>
            </w:pPr>
            <w:r w:rsidRPr="0023367D">
              <w:rPr>
                <w:color w:val="000000"/>
                <w:sz w:val="19"/>
                <w:szCs w:val="19"/>
              </w:rPr>
              <w:t>18.4%</w:t>
            </w:r>
          </w:p>
        </w:tc>
      </w:tr>
      <w:tr w:rsidR="00335619" w:rsidRPr="0023367D" w14:paraId="582124C7"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6E028390" w14:textId="77777777" w:rsidR="00335619" w:rsidRPr="0023367D" w:rsidRDefault="00335619" w:rsidP="00335619">
            <w:pPr>
              <w:jc w:val="center"/>
              <w:rPr>
                <w:color w:val="000000"/>
                <w:sz w:val="19"/>
                <w:szCs w:val="19"/>
              </w:rPr>
            </w:pPr>
            <w:r w:rsidRPr="0023367D">
              <w:rPr>
                <w:bCs/>
                <w:color w:val="000000"/>
                <w:sz w:val="19"/>
                <w:szCs w:val="19"/>
                <w:lang w:bidi="he-IL"/>
              </w:rPr>
              <w:t>1980</w:t>
            </w:r>
          </w:p>
        </w:tc>
        <w:tc>
          <w:tcPr>
            <w:tcW w:w="1012" w:type="dxa"/>
            <w:tcBorders>
              <w:top w:val="nil"/>
              <w:left w:val="nil"/>
              <w:bottom w:val="single" w:sz="8" w:space="0" w:color="auto"/>
              <w:right w:val="single" w:sz="8" w:space="0" w:color="auto"/>
            </w:tcBorders>
            <w:shd w:val="clear" w:color="auto" w:fill="auto"/>
            <w:noWrap/>
            <w:vAlign w:val="center"/>
          </w:tcPr>
          <w:p w14:paraId="717E2598" w14:textId="77777777" w:rsidR="00335619" w:rsidRPr="0023367D" w:rsidRDefault="00335619" w:rsidP="00335619">
            <w:pPr>
              <w:jc w:val="center"/>
              <w:rPr>
                <w:color w:val="000000"/>
                <w:sz w:val="19"/>
                <w:szCs w:val="19"/>
              </w:rPr>
            </w:pPr>
            <w:r w:rsidRPr="0023367D">
              <w:rPr>
                <w:color w:val="000000"/>
                <w:sz w:val="19"/>
                <w:szCs w:val="19"/>
              </w:rPr>
              <w:t>209</w:t>
            </w:r>
          </w:p>
        </w:tc>
        <w:tc>
          <w:tcPr>
            <w:tcW w:w="909" w:type="dxa"/>
            <w:tcBorders>
              <w:top w:val="nil"/>
              <w:left w:val="nil"/>
              <w:bottom w:val="single" w:sz="8" w:space="0" w:color="auto"/>
              <w:right w:val="single" w:sz="8" w:space="0" w:color="auto"/>
            </w:tcBorders>
            <w:shd w:val="clear" w:color="auto" w:fill="auto"/>
            <w:noWrap/>
            <w:vAlign w:val="center"/>
          </w:tcPr>
          <w:p w14:paraId="0F7522D8" w14:textId="77777777" w:rsidR="00335619" w:rsidRPr="0023367D" w:rsidRDefault="00335619" w:rsidP="00335619">
            <w:pPr>
              <w:jc w:val="center"/>
              <w:rPr>
                <w:color w:val="000000"/>
                <w:sz w:val="19"/>
                <w:szCs w:val="19"/>
              </w:rPr>
            </w:pPr>
            <w:r w:rsidRPr="0023367D">
              <w:rPr>
                <w:color w:val="000000"/>
                <w:sz w:val="19"/>
                <w:szCs w:val="19"/>
              </w:rPr>
              <w:t>6.7%</w:t>
            </w:r>
          </w:p>
        </w:tc>
        <w:tc>
          <w:tcPr>
            <w:tcW w:w="1067" w:type="dxa"/>
            <w:tcBorders>
              <w:top w:val="nil"/>
              <w:left w:val="nil"/>
              <w:bottom w:val="single" w:sz="8" w:space="0" w:color="auto"/>
              <w:right w:val="single" w:sz="8" w:space="0" w:color="auto"/>
            </w:tcBorders>
            <w:shd w:val="clear" w:color="auto" w:fill="auto"/>
            <w:vAlign w:val="center"/>
          </w:tcPr>
          <w:p w14:paraId="1BC67E3B" w14:textId="77777777" w:rsidR="00335619" w:rsidRPr="0023367D" w:rsidRDefault="00335619" w:rsidP="00335619">
            <w:pPr>
              <w:jc w:val="center"/>
              <w:rPr>
                <w:color w:val="000000"/>
                <w:sz w:val="19"/>
                <w:szCs w:val="19"/>
              </w:rPr>
            </w:pPr>
            <w:r w:rsidRPr="0023367D">
              <w:rPr>
                <w:color w:val="000000"/>
                <w:sz w:val="19"/>
                <w:szCs w:val="19"/>
              </w:rPr>
              <w:t>5.7%</w:t>
            </w:r>
          </w:p>
        </w:tc>
        <w:tc>
          <w:tcPr>
            <w:tcW w:w="1591" w:type="dxa"/>
            <w:tcBorders>
              <w:top w:val="nil"/>
              <w:left w:val="nil"/>
              <w:bottom w:val="single" w:sz="8" w:space="0" w:color="auto"/>
              <w:right w:val="single" w:sz="12" w:space="0" w:color="auto"/>
            </w:tcBorders>
            <w:vAlign w:val="center"/>
          </w:tcPr>
          <w:p w14:paraId="28E55508" w14:textId="77777777" w:rsidR="00335619" w:rsidRPr="0023367D" w:rsidRDefault="00335619" w:rsidP="00335619">
            <w:pPr>
              <w:jc w:val="center"/>
              <w:rPr>
                <w:color w:val="000000"/>
                <w:sz w:val="19"/>
                <w:szCs w:val="19"/>
              </w:rPr>
            </w:pPr>
            <w:r w:rsidRPr="0023367D">
              <w:rPr>
                <w:color w:val="000000"/>
                <w:sz w:val="19"/>
                <w:szCs w:val="19"/>
              </w:rPr>
              <w:t>18.8%</w:t>
            </w:r>
          </w:p>
        </w:tc>
        <w:tc>
          <w:tcPr>
            <w:tcW w:w="720" w:type="dxa"/>
            <w:tcBorders>
              <w:top w:val="nil"/>
              <w:left w:val="single" w:sz="12" w:space="0" w:color="auto"/>
              <w:bottom w:val="single" w:sz="8" w:space="0" w:color="auto"/>
              <w:right w:val="single" w:sz="8" w:space="0" w:color="auto"/>
            </w:tcBorders>
            <w:shd w:val="clear" w:color="auto" w:fill="auto"/>
            <w:vAlign w:val="center"/>
          </w:tcPr>
          <w:p w14:paraId="00FBE535" w14:textId="77777777" w:rsidR="00335619" w:rsidRPr="0023367D" w:rsidRDefault="00335619" w:rsidP="00335619">
            <w:pPr>
              <w:jc w:val="center"/>
              <w:rPr>
                <w:color w:val="000000"/>
                <w:sz w:val="19"/>
                <w:szCs w:val="19"/>
              </w:rPr>
            </w:pPr>
            <w:r w:rsidRPr="0023367D">
              <w:rPr>
                <w:color w:val="000000"/>
                <w:sz w:val="19"/>
                <w:szCs w:val="19"/>
              </w:rPr>
              <w:t>157</w:t>
            </w:r>
          </w:p>
        </w:tc>
        <w:tc>
          <w:tcPr>
            <w:tcW w:w="990" w:type="dxa"/>
            <w:tcBorders>
              <w:top w:val="nil"/>
              <w:left w:val="nil"/>
              <w:bottom w:val="single" w:sz="8" w:space="0" w:color="auto"/>
              <w:right w:val="single" w:sz="8" w:space="0" w:color="auto"/>
            </w:tcBorders>
            <w:shd w:val="clear" w:color="auto" w:fill="auto"/>
            <w:vAlign w:val="center"/>
          </w:tcPr>
          <w:p w14:paraId="5A94D8CD" w14:textId="77777777" w:rsidR="00335619" w:rsidRPr="0023367D" w:rsidRDefault="00335619" w:rsidP="00335619">
            <w:pPr>
              <w:jc w:val="center"/>
              <w:rPr>
                <w:color w:val="000000"/>
                <w:sz w:val="19"/>
                <w:szCs w:val="19"/>
              </w:rPr>
            </w:pPr>
            <w:r w:rsidRPr="0023367D">
              <w:rPr>
                <w:color w:val="000000"/>
                <w:sz w:val="19"/>
                <w:szCs w:val="19"/>
              </w:rPr>
              <w:t>13.9%</w:t>
            </w:r>
          </w:p>
        </w:tc>
        <w:tc>
          <w:tcPr>
            <w:tcW w:w="1006" w:type="dxa"/>
            <w:tcBorders>
              <w:top w:val="nil"/>
              <w:left w:val="nil"/>
              <w:bottom w:val="single" w:sz="8" w:space="0" w:color="auto"/>
              <w:right w:val="single" w:sz="8" w:space="0" w:color="auto"/>
            </w:tcBorders>
            <w:shd w:val="clear" w:color="auto" w:fill="auto"/>
            <w:vAlign w:val="center"/>
          </w:tcPr>
          <w:p w14:paraId="1B4E134F" w14:textId="77777777" w:rsidR="00335619" w:rsidRPr="0023367D" w:rsidRDefault="00335619" w:rsidP="00335619">
            <w:pPr>
              <w:jc w:val="center"/>
              <w:rPr>
                <w:color w:val="000000"/>
                <w:sz w:val="19"/>
                <w:szCs w:val="19"/>
              </w:rPr>
            </w:pPr>
            <w:r w:rsidRPr="0023367D">
              <w:rPr>
                <w:color w:val="000000"/>
                <w:sz w:val="19"/>
                <w:szCs w:val="19"/>
              </w:rPr>
              <w:t>10.4%</w:t>
            </w:r>
          </w:p>
        </w:tc>
        <w:tc>
          <w:tcPr>
            <w:tcW w:w="1525" w:type="dxa"/>
            <w:gridSpan w:val="2"/>
            <w:tcBorders>
              <w:top w:val="nil"/>
              <w:left w:val="nil"/>
              <w:bottom w:val="single" w:sz="8" w:space="0" w:color="auto"/>
              <w:right w:val="single" w:sz="4" w:space="0" w:color="auto"/>
            </w:tcBorders>
            <w:shd w:val="clear" w:color="auto" w:fill="auto"/>
            <w:noWrap/>
            <w:vAlign w:val="center"/>
          </w:tcPr>
          <w:p w14:paraId="1D476CAF" w14:textId="77777777" w:rsidR="00335619" w:rsidRPr="0023367D" w:rsidRDefault="00335619" w:rsidP="00335619">
            <w:pPr>
              <w:jc w:val="center"/>
              <w:rPr>
                <w:color w:val="000000"/>
                <w:sz w:val="19"/>
                <w:szCs w:val="19"/>
              </w:rPr>
            </w:pPr>
            <w:r w:rsidRPr="0023367D">
              <w:rPr>
                <w:color w:val="000000"/>
                <w:sz w:val="19"/>
                <w:szCs w:val="19"/>
              </w:rPr>
              <w:t>14.8%</w:t>
            </w:r>
          </w:p>
        </w:tc>
      </w:tr>
      <w:tr w:rsidR="00335619" w:rsidRPr="0023367D" w14:paraId="6E36E300"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0A8CD0C5" w14:textId="77777777" w:rsidR="00335619" w:rsidRPr="0023367D" w:rsidRDefault="00335619" w:rsidP="00335619">
            <w:pPr>
              <w:jc w:val="center"/>
              <w:rPr>
                <w:color w:val="000000"/>
                <w:sz w:val="19"/>
                <w:szCs w:val="19"/>
              </w:rPr>
            </w:pPr>
            <w:r w:rsidRPr="0023367D">
              <w:rPr>
                <w:bCs/>
                <w:color w:val="000000"/>
                <w:sz w:val="19"/>
                <w:szCs w:val="19"/>
                <w:lang w:bidi="he-IL"/>
              </w:rPr>
              <w:t>1981</w:t>
            </w:r>
          </w:p>
        </w:tc>
        <w:tc>
          <w:tcPr>
            <w:tcW w:w="1012" w:type="dxa"/>
            <w:tcBorders>
              <w:top w:val="nil"/>
              <w:left w:val="nil"/>
              <w:bottom w:val="single" w:sz="8" w:space="0" w:color="auto"/>
              <w:right w:val="single" w:sz="8" w:space="0" w:color="auto"/>
            </w:tcBorders>
            <w:shd w:val="clear" w:color="auto" w:fill="auto"/>
            <w:noWrap/>
            <w:vAlign w:val="center"/>
          </w:tcPr>
          <w:p w14:paraId="5731CD50" w14:textId="77777777" w:rsidR="00335619" w:rsidRPr="0023367D" w:rsidRDefault="00335619" w:rsidP="00335619">
            <w:pPr>
              <w:jc w:val="center"/>
              <w:rPr>
                <w:color w:val="000000"/>
                <w:sz w:val="19"/>
                <w:szCs w:val="19"/>
              </w:rPr>
            </w:pPr>
            <w:r w:rsidRPr="0023367D">
              <w:rPr>
                <w:color w:val="000000"/>
                <w:sz w:val="19"/>
                <w:szCs w:val="19"/>
              </w:rPr>
              <w:t>456</w:t>
            </w:r>
          </w:p>
        </w:tc>
        <w:tc>
          <w:tcPr>
            <w:tcW w:w="909" w:type="dxa"/>
            <w:tcBorders>
              <w:top w:val="nil"/>
              <w:left w:val="nil"/>
              <w:bottom w:val="single" w:sz="8" w:space="0" w:color="auto"/>
              <w:right w:val="single" w:sz="8" w:space="0" w:color="auto"/>
            </w:tcBorders>
            <w:shd w:val="clear" w:color="auto" w:fill="auto"/>
            <w:noWrap/>
            <w:vAlign w:val="center"/>
          </w:tcPr>
          <w:p w14:paraId="2C9E554C" w14:textId="77777777" w:rsidR="00335619" w:rsidRPr="0023367D" w:rsidRDefault="00335619" w:rsidP="00335619">
            <w:pPr>
              <w:jc w:val="center"/>
              <w:rPr>
                <w:color w:val="000000"/>
                <w:sz w:val="19"/>
                <w:szCs w:val="19"/>
              </w:rPr>
            </w:pPr>
            <w:r w:rsidRPr="0023367D">
              <w:rPr>
                <w:color w:val="000000"/>
                <w:sz w:val="19"/>
                <w:szCs w:val="19"/>
              </w:rPr>
              <w:t>6.1%</w:t>
            </w:r>
          </w:p>
        </w:tc>
        <w:tc>
          <w:tcPr>
            <w:tcW w:w="1067" w:type="dxa"/>
            <w:tcBorders>
              <w:top w:val="nil"/>
              <w:left w:val="nil"/>
              <w:bottom w:val="single" w:sz="8" w:space="0" w:color="auto"/>
              <w:right w:val="single" w:sz="8" w:space="0" w:color="auto"/>
            </w:tcBorders>
            <w:shd w:val="clear" w:color="auto" w:fill="auto"/>
            <w:vAlign w:val="center"/>
          </w:tcPr>
          <w:p w14:paraId="513B1947" w14:textId="77777777" w:rsidR="00335619" w:rsidRPr="0023367D" w:rsidRDefault="00335619" w:rsidP="00335619">
            <w:pPr>
              <w:jc w:val="center"/>
              <w:rPr>
                <w:color w:val="000000"/>
                <w:sz w:val="19"/>
                <w:szCs w:val="19"/>
              </w:rPr>
            </w:pPr>
            <w:r w:rsidRPr="0023367D">
              <w:rPr>
                <w:color w:val="000000"/>
                <w:sz w:val="19"/>
                <w:szCs w:val="19"/>
              </w:rPr>
              <w:t>4.7%</w:t>
            </w:r>
          </w:p>
        </w:tc>
        <w:tc>
          <w:tcPr>
            <w:tcW w:w="1591" w:type="dxa"/>
            <w:tcBorders>
              <w:top w:val="nil"/>
              <w:left w:val="nil"/>
              <w:bottom w:val="single" w:sz="8" w:space="0" w:color="auto"/>
              <w:right w:val="single" w:sz="12" w:space="0" w:color="auto"/>
            </w:tcBorders>
            <w:vAlign w:val="center"/>
          </w:tcPr>
          <w:p w14:paraId="63459C5F" w14:textId="77777777" w:rsidR="00335619" w:rsidRPr="0023367D" w:rsidRDefault="00335619" w:rsidP="00335619">
            <w:pPr>
              <w:jc w:val="center"/>
              <w:rPr>
                <w:color w:val="000000"/>
                <w:sz w:val="19"/>
                <w:szCs w:val="19"/>
              </w:rPr>
            </w:pPr>
            <w:r w:rsidRPr="0023367D">
              <w:rPr>
                <w:color w:val="000000"/>
                <w:sz w:val="19"/>
                <w:szCs w:val="19"/>
              </w:rPr>
              <w:t>13.9%</w:t>
            </w:r>
          </w:p>
        </w:tc>
        <w:tc>
          <w:tcPr>
            <w:tcW w:w="720" w:type="dxa"/>
            <w:tcBorders>
              <w:top w:val="nil"/>
              <w:left w:val="single" w:sz="12" w:space="0" w:color="auto"/>
              <w:bottom w:val="single" w:sz="8" w:space="0" w:color="auto"/>
              <w:right w:val="single" w:sz="8" w:space="0" w:color="auto"/>
            </w:tcBorders>
            <w:shd w:val="clear" w:color="auto" w:fill="auto"/>
            <w:vAlign w:val="center"/>
          </w:tcPr>
          <w:p w14:paraId="008CD1B7" w14:textId="77777777" w:rsidR="00335619" w:rsidRPr="0023367D" w:rsidRDefault="00335619" w:rsidP="00335619">
            <w:pPr>
              <w:jc w:val="center"/>
              <w:rPr>
                <w:color w:val="000000"/>
                <w:sz w:val="19"/>
                <w:szCs w:val="19"/>
              </w:rPr>
            </w:pPr>
            <w:r w:rsidRPr="0023367D">
              <w:rPr>
                <w:color w:val="000000"/>
                <w:sz w:val="19"/>
                <w:szCs w:val="19"/>
              </w:rPr>
              <w:t>49</w:t>
            </w:r>
          </w:p>
        </w:tc>
        <w:tc>
          <w:tcPr>
            <w:tcW w:w="990" w:type="dxa"/>
            <w:tcBorders>
              <w:top w:val="nil"/>
              <w:left w:val="nil"/>
              <w:bottom w:val="single" w:sz="8" w:space="0" w:color="auto"/>
              <w:right w:val="single" w:sz="8" w:space="0" w:color="auto"/>
            </w:tcBorders>
            <w:shd w:val="clear" w:color="auto" w:fill="auto"/>
            <w:vAlign w:val="center"/>
          </w:tcPr>
          <w:p w14:paraId="35560DDB" w14:textId="77777777" w:rsidR="00335619" w:rsidRPr="0023367D" w:rsidRDefault="00335619" w:rsidP="00335619">
            <w:pPr>
              <w:jc w:val="center"/>
              <w:rPr>
                <w:color w:val="000000"/>
                <w:sz w:val="19"/>
                <w:szCs w:val="19"/>
              </w:rPr>
            </w:pPr>
            <w:r w:rsidRPr="0023367D">
              <w:rPr>
                <w:color w:val="000000"/>
                <w:sz w:val="19"/>
                <w:szCs w:val="19"/>
              </w:rPr>
              <w:t>12.1%</w:t>
            </w:r>
          </w:p>
        </w:tc>
        <w:tc>
          <w:tcPr>
            <w:tcW w:w="1006" w:type="dxa"/>
            <w:tcBorders>
              <w:top w:val="nil"/>
              <w:left w:val="nil"/>
              <w:bottom w:val="single" w:sz="8" w:space="0" w:color="auto"/>
              <w:right w:val="single" w:sz="8" w:space="0" w:color="auto"/>
            </w:tcBorders>
            <w:shd w:val="clear" w:color="auto" w:fill="auto"/>
            <w:vAlign w:val="center"/>
          </w:tcPr>
          <w:p w14:paraId="415E6320" w14:textId="77777777" w:rsidR="00335619" w:rsidRPr="0023367D" w:rsidRDefault="00335619" w:rsidP="00335619">
            <w:pPr>
              <w:jc w:val="center"/>
              <w:rPr>
                <w:color w:val="000000"/>
                <w:sz w:val="19"/>
                <w:szCs w:val="19"/>
              </w:rPr>
            </w:pPr>
            <w:r w:rsidRPr="0023367D">
              <w:rPr>
                <w:color w:val="000000"/>
                <w:sz w:val="19"/>
                <w:szCs w:val="19"/>
              </w:rPr>
              <w:t>8.2%</w:t>
            </w:r>
          </w:p>
        </w:tc>
        <w:tc>
          <w:tcPr>
            <w:tcW w:w="1525" w:type="dxa"/>
            <w:gridSpan w:val="2"/>
            <w:tcBorders>
              <w:top w:val="nil"/>
              <w:left w:val="nil"/>
              <w:bottom w:val="single" w:sz="8" w:space="0" w:color="auto"/>
              <w:right w:val="single" w:sz="4" w:space="0" w:color="auto"/>
            </w:tcBorders>
            <w:shd w:val="clear" w:color="auto" w:fill="auto"/>
            <w:noWrap/>
            <w:vAlign w:val="center"/>
          </w:tcPr>
          <w:p w14:paraId="5D0D9C6D" w14:textId="77777777" w:rsidR="00335619" w:rsidRPr="0023367D" w:rsidRDefault="00335619" w:rsidP="00335619">
            <w:pPr>
              <w:jc w:val="center"/>
              <w:rPr>
                <w:color w:val="000000"/>
                <w:sz w:val="19"/>
                <w:szCs w:val="19"/>
              </w:rPr>
            </w:pPr>
            <w:r w:rsidRPr="0023367D">
              <w:rPr>
                <w:color w:val="000000"/>
                <w:sz w:val="19"/>
                <w:szCs w:val="19"/>
              </w:rPr>
              <w:t>8.5%</w:t>
            </w:r>
          </w:p>
        </w:tc>
      </w:tr>
      <w:tr w:rsidR="00335619" w:rsidRPr="0023367D" w14:paraId="0D8D9F32"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4AAF7C4C" w14:textId="77777777" w:rsidR="00335619" w:rsidRPr="0023367D" w:rsidRDefault="00335619" w:rsidP="00335619">
            <w:pPr>
              <w:jc w:val="center"/>
              <w:rPr>
                <w:color w:val="000000"/>
                <w:sz w:val="19"/>
                <w:szCs w:val="19"/>
              </w:rPr>
            </w:pPr>
            <w:r w:rsidRPr="0023367D">
              <w:rPr>
                <w:bCs/>
                <w:color w:val="000000"/>
                <w:sz w:val="19"/>
                <w:szCs w:val="19"/>
                <w:lang w:bidi="he-IL"/>
              </w:rPr>
              <w:t>1982</w:t>
            </w:r>
          </w:p>
        </w:tc>
        <w:tc>
          <w:tcPr>
            <w:tcW w:w="1012" w:type="dxa"/>
            <w:tcBorders>
              <w:top w:val="nil"/>
              <w:left w:val="nil"/>
              <w:bottom w:val="single" w:sz="8" w:space="0" w:color="auto"/>
              <w:right w:val="single" w:sz="8" w:space="0" w:color="auto"/>
            </w:tcBorders>
            <w:shd w:val="clear" w:color="auto" w:fill="auto"/>
            <w:noWrap/>
            <w:vAlign w:val="center"/>
          </w:tcPr>
          <w:p w14:paraId="49404ED8" w14:textId="77777777" w:rsidR="00335619" w:rsidRPr="0023367D" w:rsidRDefault="00335619" w:rsidP="00335619">
            <w:pPr>
              <w:jc w:val="center"/>
              <w:rPr>
                <w:color w:val="000000"/>
                <w:sz w:val="19"/>
                <w:szCs w:val="19"/>
              </w:rPr>
            </w:pPr>
            <w:r w:rsidRPr="0023367D">
              <w:rPr>
                <w:color w:val="000000"/>
                <w:sz w:val="19"/>
                <w:szCs w:val="19"/>
              </w:rPr>
              <w:t>455</w:t>
            </w:r>
          </w:p>
        </w:tc>
        <w:tc>
          <w:tcPr>
            <w:tcW w:w="909" w:type="dxa"/>
            <w:tcBorders>
              <w:top w:val="nil"/>
              <w:left w:val="nil"/>
              <w:bottom w:val="single" w:sz="8" w:space="0" w:color="auto"/>
              <w:right w:val="single" w:sz="8" w:space="0" w:color="auto"/>
            </w:tcBorders>
            <w:shd w:val="clear" w:color="auto" w:fill="auto"/>
            <w:noWrap/>
            <w:vAlign w:val="center"/>
          </w:tcPr>
          <w:p w14:paraId="431D8923" w14:textId="77777777" w:rsidR="00335619" w:rsidRPr="0023367D" w:rsidRDefault="00335619" w:rsidP="00335619">
            <w:pPr>
              <w:jc w:val="center"/>
              <w:rPr>
                <w:color w:val="000000"/>
                <w:sz w:val="19"/>
                <w:szCs w:val="19"/>
              </w:rPr>
            </w:pPr>
            <w:r w:rsidRPr="0023367D">
              <w:rPr>
                <w:color w:val="000000"/>
                <w:sz w:val="19"/>
                <w:szCs w:val="19"/>
              </w:rPr>
              <w:t>8.6%</w:t>
            </w:r>
          </w:p>
        </w:tc>
        <w:tc>
          <w:tcPr>
            <w:tcW w:w="1067" w:type="dxa"/>
            <w:tcBorders>
              <w:top w:val="nil"/>
              <w:left w:val="nil"/>
              <w:bottom w:val="single" w:sz="8" w:space="0" w:color="auto"/>
              <w:right w:val="single" w:sz="8" w:space="0" w:color="auto"/>
            </w:tcBorders>
            <w:shd w:val="clear" w:color="auto" w:fill="auto"/>
            <w:vAlign w:val="center"/>
          </w:tcPr>
          <w:p w14:paraId="5F22E74B" w14:textId="77777777" w:rsidR="00335619" w:rsidRPr="0023367D" w:rsidRDefault="00335619" w:rsidP="00335619">
            <w:pPr>
              <w:jc w:val="center"/>
              <w:rPr>
                <w:color w:val="000000"/>
                <w:sz w:val="19"/>
                <w:szCs w:val="19"/>
              </w:rPr>
            </w:pPr>
            <w:r w:rsidRPr="0023367D">
              <w:rPr>
                <w:color w:val="000000"/>
                <w:sz w:val="19"/>
                <w:szCs w:val="19"/>
              </w:rPr>
              <w:t>7.0%</w:t>
            </w:r>
          </w:p>
        </w:tc>
        <w:tc>
          <w:tcPr>
            <w:tcW w:w="1591" w:type="dxa"/>
            <w:tcBorders>
              <w:top w:val="nil"/>
              <w:left w:val="nil"/>
              <w:bottom w:val="single" w:sz="8" w:space="0" w:color="auto"/>
              <w:right w:val="single" w:sz="12" w:space="0" w:color="auto"/>
            </w:tcBorders>
            <w:vAlign w:val="center"/>
          </w:tcPr>
          <w:p w14:paraId="59101172" w14:textId="77777777" w:rsidR="00335619" w:rsidRPr="0023367D" w:rsidRDefault="00335619" w:rsidP="00335619">
            <w:pPr>
              <w:jc w:val="center"/>
              <w:rPr>
                <w:color w:val="000000"/>
                <w:sz w:val="19"/>
                <w:szCs w:val="19"/>
              </w:rPr>
            </w:pPr>
            <w:r w:rsidRPr="0023367D">
              <w:rPr>
                <w:color w:val="000000"/>
                <w:sz w:val="19"/>
                <w:szCs w:val="19"/>
              </w:rPr>
              <w:t>16.1%</w:t>
            </w:r>
          </w:p>
        </w:tc>
        <w:tc>
          <w:tcPr>
            <w:tcW w:w="720" w:type="dxa"/>
            <w:tcBorders>
              <w:top w:val="nil"/>
              <w:left w:val="single" w:sz="12" w:space="0" w:color="auto"/>
              <w:bottom w:val="single" w:sz="8" w:space="0" w:color="auto"/>
              <w:right w:val="single" w:sz="8" w:space="0" w:color="auto"/>
            </w:tcBorders>
            <w:shd w:val="clear" w:color="auto" w:fill="auto"/>
            <w:vAlign w:val="center"/>
          </w:tcPr>
          <w:p w14:paraId="587A1D27" w14:textId="77777777" w:rsidR="00335619" w:rsidRPr="0023367D" w:rsidRDefault="00335619" w:rsidP="00335619">
            <w:pPr>
              <w:jc w:val="center"/>
              <w:rPr>
                <w:color w:val="000000"/>
                <w:sz w:val="19"/>
                <w:szCs w:val="19"/>
              </w:rPr>
            </w:pPr>
            <w:r w:rsidRPr="0023367D">
              <w:rPr>
                <w:color w:val="000000"/>
                <w:sz w:val="19"/>
                <w:szCs w:val="19"/>
              </w:rPr>
              <w:t>59</w:t>
            </w:r>
          </w:p>
        </w:tc>
        <w:tc>
          <w:tcPr>
            <w:tcW w:w="990" w:type="dxa"/>
            <w:tcBorders>
              <w:top w:val="nil"/>
              <w:left w:val="nil"/>
              <w:bottom w:val="single" w:sz="8" w:space="0" w:color="auto"/>
              <w:right w:val="single" w:sz="8" w:space="0" w:color="auto"/>
            </w:tcBorders>
            <w:shd w:val="clear" w:color="auto" w:fill="auto"/>
            <w:vAlign w:val="center"/>
          </w:tcPr>
          <w:p w14:paraId="5FBD39BB" w14:textId="77777777" w:rsidR="00335619" w:rsidRPr="0023367D" w:rsidRDefault="00335619" w:rsidP="00335619">
            <w:pPr>
              <w:jc w:val="center"/>
              <w:rPr>
                <w:color w:val="000000"/>
                <w:sz w:val="19"/>
                <w:szCs w:val="19"/>
              </w:rPr>
            </w:pPr>
            <w:r w:rsidRPr="0023367D">
              <w:rPr>
                <w:color w:val="000000"/>
                <w:sz w:val="19"/>
                <w:szCs w:val="19"/>
              </w:rPr>
              <w:t>14.0%</w:t>
            </w:r>
          </w:p>
        </w:tc>
        <w:tc>
          <w:tcPr>
            <w:tcW w:w="1006" w:type="dxa"/>
            <w:tcBorders>
              <w:top w:val="nil"/>
              <w:left w:val="nil"/>
              <w:bottom w:val="single" w:sz="8" w:space="0" w:color="auto"/>
              <w:right w:val="single" w:sz="8" w:space="0" w:color="auto"/>
            </w:tcBorders>
            <w:shd w:val="clear" w:color="auto" w:fill="auto"/>
            <w:vAlign w:val="center"/>
          </w:tcPr>
          <w:p w14:paraId="795CAF98" w14:textId="77777777" w:rsidR="00335619" w:rsidRPr="0023367D" w:rsidRDefault="00335619" w:rsidP="00335619">
            <w:pPr>
              <w:jc w:val="center"/>
              <w:rPr>
                <w:color w:val="000000"/>
                <w:sz w:val="19"/>
                <w:szCs w:val="19"/>
              </w:rPr>
            </w:pPr>
            <w:r w:rsidRPr="0023367D">
              <w:rPr>
                <w:color w:val="000000"/>
                <w:sz w:val="19"/>
                <w:szCs w:val="19"/>
              </w:rPr>
              <w:t>9.8%</w:t>
            </w:r>
          </w:p>
        </w:tc>
        <w:tc>
          <w:tcPr>
            <w:tcW w:w="1525" w:type="dxa"/>
            <w:gridSpan w:val="2"/>
            <w:tcBorders>
              <w:top w:val="nil"/>
              <w:left w:val="nil"/>
              <w:bottom w:val="single" w:sz="8" w:space="0" w:color="auto"/>
              <w:right w:val="single" w:sz="4" w:space="0" w:color="auto"/>
            </w:tcBorders>
            <w:shd w:val="clear" w:color="auto" w:fill="auto"/>
            <w:noWrap/>
            <w:vAlign w:val="center"/>
          </w:tcPr>
          <w:p w14:paraId="73C9534D" w14:textId="77777777" w:rsidR="00335619" w:rsidRPr="0023367D" w:rsidRDefault="00335619" w:rsidP="00335619">
            <w:pPr>
              <w:jc w:val="center"/>
              <w:rPr>
                <w:color w:val="000000"/>
                <w:sz w:val="19"/>
                <w:szCs w:val="19"/>
              </w:rPr>
            </w:pPr>
            <w:r w:rsidRPr="0023367D">
              <w:rPr>
                <w:color w:val="000000"/>
                <w:sz w:val="19"/>
                <w:szCs w:val="19"/>
              </w:rPr>
              <w:t>11.2%</w:t>
            </w:r>
          </w:p>
        </w:tc>
      </w:tr>
      <w:tr w:rsidR="00335619" w:rsidRPr="0023367D" w14:paraId="249299E9"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0D20FC23" w14:textId="77777777" w:rsidR="00335619" w:rsidRPr="0023367D" w:rsidRDefault="00335619" w:rsidP="00335619">
            <w:pPr>
              <w:jc w:val="center"/>
              <w:rPr>
                <w:color w:val="000000"/>
                <w:sz w:val="19"/>
                <w:szCs w:val="19"/>
              </w:rPr>
            </w:pPr>
            <w:r w:rsidRPr="0023367D">
              <w:rPr>
                <w:bCs/>
                <w:color w:val="000000"/>
                <w:sz w:val="19"/>
                <w:szCs w:val="19"/>
                <w:lang w:bidi="he-IL"/>
              </w:rPr>
              <w:t>1983</w:t>
            </w:r>
          </w:p>
        </w:tc>
        <w:tc>
          <w:tcPr>
            <w:tcW w:w="1012" w:type="dxa"/>
            <w:tcBorders>
              <w:top w:val="nil"/>
              <w:left w:val="nil"/>
              <w:bottom w:val="single" w:sz="8" w:space="0" w:color="auto"/>
              <w:right w:val="single" w:sz="8" w:space="0" w:color="auto"/>
            </w:tcBorders>
            <w:shd w:val="clear" w:color="auto" w:fill="auto"/>
            <w:noWrap/>
            <w:vAlign w:val="center"/>
          </w:tcPr>
          <w:p w14:paraId="45757C51" w14:textId="77777777" w:rsidR="00335619" w:rsidRPr="0023367D" w:rsidRDefault="00335619" w:rsidP="00335619">
            <w:pPr>
              <w:jc w:val="center"/>
              <w:rPr>
                <w:color w:val="000000"/>
                <w:sz w:val="19"/>
                <w:szCs w:val="19"/>
              </w:rPr>
            </w:pPr>
            <w:r w:rsidRPr="0023367D">
              <w:rPr>
                <w:color w:val="000000"/>
                <w:sz w:val="19"/>
                <w:szCs w:val="19"/>
              </w:rPr>
              <w:t>487</w:t>
            </w:r>
          </w:p>
        </w:tc>
        <w:tc>
          <w:tcPr>
            <w:tcW w:w="909" w:type="dxa"/>
            <w:tcBorders>
              <w:top w:val="nil"/>
              <w:left w:val="nil"/>
              <w:bottom w:val="single" w:sz="8" w:space="0" w:color="auto"/>
              <w:right w:val="single" w:sz="8" w:space="0" w:color="auto"/>
            </w:tcBorders>
            <w:shd w:val="clear" w:color="auto" w:fill="auto"/>
            <w:noWrap/>
            <w:vAlign w:val="center"/>
          </w:tcPr>
          <w:p w14:paraId="472F12B5" w14:textId="77777777" w:rsidR="00335619" w:rsidRPr="0023367D" w:rsidRDefault="00335619" w:rsidP="00335619">
            <w:pPr>
              <w:jc w:val="center"/>
              <w:rPr>
                <w:color w:val="000000"/>
                <w:sz w:val="19"/>
                <w:szCs w:val="19"/>
              </w:rPr>
            </w:pPr>
            <w:r w:rsidRPr="0023367D">
              <w:rPr>
                <w:color w:val="000000"/>
                <w:sz w:val="19"/>
                <w:szCs w:val="19"/>
              </w:rPr>
              <w:t>9.6%</w:t>
            </w:r>
          </w:p>
        </w:tc>
        <w:tc>
          <w:tcPr>
            <w:tcW w:w="1067" w:type="dxa"/>
            <w:tcBorders>
              <w:top w:val="nil"/>
              <w:left w:val="nil"/>
              <w:bottom w:val="single" w:sz="8" w:space="0" w:color="auto"/>
              <w:right w:val="single" w:sz="8" w:space="0" w:color="auto"/>
            </w:tcBorders>
            <w:shd w:val="clear" w:color="auto" w:fill="auto"/>
            <w:vAlign w:val="center"/>
          </w:tcPr>
          <w:p w14:paraId="73ED7714" w14:textId="77777777" w:rsidR="00335619" w:rsidRPr="0023367D" w:rsidRDefault="00335619" w:rsidP="00335619">
            <w:pPr>
              <w:jc w:val="center"/>
              <w:rPr>
                <w:color w:val="000000"/>
                <w:sz w:val="19"/>
                <w:szCs w:val="19"/>
              </w:rPr>
            </w:pPr>
            <w:r w:rsidRPr="0023367D">
              <w:rPr>
                <w:color w:val="000000"/>
                <w:sz w:val="19"/>
                <w:szCs w:val="19"/>
              </w:rPr>
              <w:t>7.8%</w:t>
            </w:r>
          </w:p>
        </w:tc>
        <w:tc>
          <w:tcPr>
            <w:tcW w:w="1591" w:type="dxa"/>
            <w:tcBorders>
              <w:top w:val="nil"/>
              <w:left w:val="nil"/>
              <w:bottom w:val="single" w:sz="8" w:space="0" w:color="auto"/>
              <w:right w:val="single" w:sz="12" w:space="0" w:color="auto"/>
            </w:tcBorders>
            <w:vAlign w:val="center"/>
          </w:tcPr>
          <w:p w14:paraId="77FE257C" w14:textId="77777777" w:rsidR="00335619" w:rsidRPr="0023367D" w:rsidRDefault="00335619" w:rsidP="00335619">
            <w:pPr>
              <w:jc w:val="center"/>
              <w:rPr>
                <w:color w:val="000000"/>
                <w:sz w:val="19"/>
                <w:szCs w:val="19"/>
              </w:rPr>
            </w:pPr>
            <w:r w:rsidRPr="0023367D">
              <w:rPr>
                <w:color w:val="000000"/>
                <w:sz w:val="19"/>
                <w:szCs w:val="19"/>
              </w:rPr>
              <w:t>17.7%</w:t>
            </w:r>
          </w:p>
        </w:tc>
        <w:tc>
          <w:tcPr>
            <w:tcW w:w="720" w:type="dxa"/>
            <w:tcBorders>
              <w:top w:val="nil"/>
              <w:left w:val="single" w:sz="12" w:space="0" w:color="auto"/>
              <w:bottom w:val="single" w:sz="8" w:space="0" w:color="auto"/>
              <w:right w:val="single" w:sz="8" w:space="0" w:color="auto"/>
            </w:tcBorders>
            <w:shd w:val="clear" w:color="auto" w:fill="auto"/>
            <w:vAlign w:val="center"/>
          </w:tcPr>
          <w:p w14:paraId="6BF1038D" w14:textId="77777777" w:rsidR="00335619" w:rsidRPr="0023367D" w:rsidRDefault="00335619" w:rsidP="00335619">
            <w:pPr>
              <w:jc w:val="center"/>
              <w:rPr>
                <w:color w:val="000000"/>
                <w:sz w:val="19"/>
                <w:szCs w:val="19"/>
              </w:rPr>
            </w:pPr>
            <w:r w:rsidRPr="0023367D">
              <w:rPr>
                <w:color w:val="000000"/>
                <w:sz w:val="19"/>
                <w:szCs w:val="19"/>
              </w:rPr>
              <w:t>98</w:t>
            </w:r>
          </w:p>
        </w:tc>
        <w:tc>
          <w:tcPr>
            <w:tcW w:w="990" w:type="dxa"/>
            <w:tcBorders>
              <w:top w:val="nil"/>
              <w:left w:val="nil"/>
              <w:bottom w:val="single" w:sz="8" w:space="0" w:color="auto"/>
              <w:right w:val="single" w:sz="8" w:space="0" w:color="auto"/>
            </w:tcBorders>
            <w:shd w:val="clear" w:color="auto" w:fill="auto"/>
            <w:vAlign w:val="center"/>
          </w:tcPr>
          <w:p w14:paraId="18221BA8" w14:textId="77777777" w:rsidR="00335619" w:rsidRPr="0023367D" w:rsidRDefault="00335619" w:rsidP="00335619">
            <w:pPr>
              <w:jc w:val="center"/>
              <w:rPr>
                <w:color w:val="000000"/>
                <w:sz w:val="19"/>
                <w:szCs w:val="19"/>
              </w:rPr>
            </w:pPr>
            <w:r w:rsidRPr="0023367D">
              <w:rPr>
                <w:color w:val="000000"/>
                <w:sz w:val="19"/>
                <w:szCs w:val="19"/>
              </w:rPr>
              <w:t>12.0%</w:t>
            </w:r>
          </w:p>
        </w:tc>
        <w:tc>
          <w:tcPr>
            <w:tcW w:w="1006" w:type="dxa"/>
            <w:tcBorders>
              <w:top w:val="nil"/>
              <w:left w:val="nil"/>
              <w:bottom w:val="single" w:sz="8" w:space="0" w:color="auto"/>
              <w:right w:val="single" w:sz="8" w:space="0" w:color="auto"/>
            </w:tcBorders>
            <w:shd w:val="clear" w:color="auto" w:fill="auto"/>
            <w:vAlign w:val="center"/>
          </w:tcPr>
          <w:p w14:paraId="6F8BB101" w14:textId="77777777" w:rsidR="00335619" w:rsidRPr="0023367D" w:rsidRDefault="00335619" w:rsidP="00335619">
            <w:pPr>
              <w:jc w:val="center"/>
              <w:rPr>
                <w:color w:val="000000"/>
                <w:sz w:val="19"/>
                <w:szCs w:val="19"/>
              </w:rPr>
            </w:pPr>
            <w:r w:rsidRPr="0023367D">
              <w:rPr>
                <w:color w:val="000000"/>
                <w:sz w:val="19"/>
                <w:szCs w:val="19"/>
              </w:rPr>
              <w:t>7.8%</w:t>
            </w:r>
          </w:p>
        </w:tc>
        <w:tc>
          <w:tcPr>
            <w:tcW w:w="1525" w:type="dxa"/>
            <w:gridSpan w:val="2"/>
            <w:tcBorders>
              <w:top w:val="nil"/>
              <w:left w:val="nil"/>
              <w:bottom w:val="single" w:sz="8" w:space="0" w:color="auto"/>
              <w:right w:val="single" w:sz="4" w:space="0" w:color="auto"/>
            </w:tcBorders>
            <w:shd w:val="clear" w:color="auto" w:fill="auto"/>
            <w:noWrap/>
            <w:vAlign w:val="center"/>
          </w:tcPr>
          <w:p w14:paraId="5D125D4F" w14:textId="77777777" w:rsidR="00335619" w:rsidRPr="0023367D" w:rsidRDefault="00335619" w:rsidP="00335619">
            <w:pPr>
              <w:jc w:val="center"/>
              <w:rPr>
                <w:color w:val="000000"/>
                <w:sz w:val="19"/>
                <w:szCs w:val="19"/>
              </w:rPr>
            </w:pPr>
            <w:r w:rsidRPr="0023367D">
              <w:rPr>
                <w:color w:val="000000"/>
                <w:sz w:val="19"/>
                <w:szCs w:val="19"/>
              </w:rPr>
              <w:t>15.7%</w:t>
            </w:r>
          </w:p>
        </w:tc>
      </w:tr>
      <w:tr w:rsidR="00335619" w:rsidRPr="0023367D" w14:paraId="16ED6C38"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27273CF0" w14:textId="77777777" w:rsidR="00335619" w:rsidRPr="0023367D" w:rsidRDefault="00335619" w:rsidP="00335619">
            <w:pPr>
              <w:jc w:val="center"/>
              <w:rPr>
                <w:color w:val="000000"/>
                <w:sz w:val="19"/>
                <w:szCs w:val="19"/>
              </w:rPr>
            </w:pPr>
            <w:r w:rsidRPr="0023367D">
              <w:rPr>
                <w:bCs/>
                <w:color w:val="000000"/>
                <w:sz w:val="19"/>
                <w:szCs w:val="19"/>
                <w:lang w:bidi="he-IL"/>
              </w:rPr>
              <w:t>1984</w:t>
            </w:r>
          </w:p>
        </w:tc>
        <w:tc>
          <w:tcPr>
            <w:tcW w:w="1012" w:type="dxa"/>
            <w:tcBorders>
              <w:top w:val="nil"/>
              <w:left w:val="nil"/>
              <w:bottom w:val="single" w:sz="8" w:space="0" w:color="auto"/>
              <w:right w:val="single" w:sz="8" w:space="0" w:color="auto"/>
            </w:tcBorders>
            <w:shd w:val="clear" w:color="auto" w:fill="auto"/>
            <w:noWrap/>
            <w:vAlign w:val="center"/>
          </w:tcPr>
          <w:p w14:paraId="27598CFE" w14:textId="77777777" w:rsidR="00335619" w:rsidRPr="0023367D" w:rsidRDefault="00335619" w:rsidP="00335619">
            <w:pPr>
              <w:jc w:val="center"/>
              <w:rPr>
                <w:color w:val="000000"/>
                <w:sz w:val="19"/>
                <w:szCs w:val="19"/>
              </w:rPr>
            </w:pPr>
            <w:r w:rsidRPr="0023367D">
              <w:rPr>
                <w:color w:val="000000"/>
                <w:sz w:val="19"/>
                <w:szCs w:val="19"/>
              </w:rPr>
              <w:t>507</w:t>
            </w:r>
          </w:p>
        </w:tc>
        <w:tc>
          <w:tcPr>
            <w:tcW w:w="909" w:type="dxa"/>
            <w:tcBorders>
              <w:top w:val="nil"/>
              <w:left w:val="nil"/>
              <w:bottom w:val="single" w:sz="8" w:space="0" w:color="auto"/>
              <w:right w:val="single" w:sz="8" w:space="0" w:color="auto"/>
            </w:tcBorders>
            <w:shd w:val="clear" w:color="auto" w:fill="auto"/>
            <w:noWrap/>
            <w:vAlign w:val="center"/>
          </w:tcPr>
          <w:p w14:paraId="3182C2E4" w14:textId="77777777" w:rsidR="00335619" w:rsidRPr="0023367D" w:rsidRDefault="00335619" w:rsidP="00335619">
            <w:pPr>
              <w:jc w:val="center"/>
              <w:rPr>
                <w:color w:val="000000"/>
                <w:sz w:val="19"/>
                <w:szCs w:val="19"/>
              </w:rPr>
            </w:pPr>
            <w:r w:rsidRPr="0023367D">
              <w:rPr>
                <w:color w:val="000000"/>
                <w:sz w:val="19"/>
                <w:szCs w:val="19"/>
              </w:rPr>
              <w:t>11.7%</w:t>
            </w:r>
          </w:p>
        </w:tc>
        <w:tc>
          <w:tcPr>
            <w:tcW w:w="1067" w:type="dxa"/>
            <w:tcBorders>
              <w:top w:val="nil"/>
              <w:left w:val="nil"/>
              <w:bottom w:val="single" w:sz="8" w:space="0" w:color="auto"/>
              <w:right w:val="single" w:sz="8" w:space="0" w:color="auto"/>
            </w:tcBorders>
            <w:shd w:val="clear" w:color="auto" w:fill="auto"/>
            <w:vAlign w:val="center"/>
          </w:tcPr>
          <w:p w14:paraId="007B7DC6" w14:textId="77777777" w:rsidR="00335619" w:rsidRPr="0023367D" w:rsidRDefault="00335619" w:rsidP="00335619">
            <w:pPr>
              <w:jc w:val="center"/>
              <w:rPr>
                <w:color w:val="000000"/>
                <w:sz w:val="19"/>
                <w:szCs w:val="19"/>
              </w:rPr>
            </w:pPr>
            <w:r w:rsidRPr="0023367D">
              <w:rPr>
                <w:color w:val="000000"/>
                <w:sz w:val="19"/>
                <w:szCs w:val="19"/>
              </w:rPr>
              <w:t>9.2%</w:t>
            </w:r>
          </w:p>
        </w:tc>
        <w:tc>
          <w:tcPr>
            <w:tcW w:w="1591" w:type="dxa"/>
            <w:tcBorders>
              <w:top w:val="nil"/>
              <w:left w:val="nil"/>
              <w:bottom w:val="single" w:sz="8" w:space="0" w:color="auto"/>
              <w:right w:val="single" w:sz="12" w:space="0" w:color="auto"/>
            </w:tcBorders>
            <w:vAlign w:val="center"/>
          </w:tcPr>
          <w:p w14:paraId="1C94B959" w14:textId="77777777" w:rsidR="00335619" w:rsidRPr="0023367D" w:rsidRDefault="00335619" w:rsidP="00335619">
            <w:pPr>
              <w:jc w:val="center"/>
              <w:rPr>
                <w:color w:val="000000"/>
                <w:sz w:val="19"/>
                <w:szCs w:val="19"/>
              </w:rPr>
            </w:pPr>
            <w:r w:rsidRPr="0023367D">
              <w:rPr>
                <w:color w:val="000000"/>
                <w:sz w:val="19"/>
                <w:szCs w:val="19"/>
              </w:rPr>
              <w:t>13.4%</w:t>
            </w:r>
          </w:p>
        </w:tc>
        <w:tc>
          <w:tcPr>
            <w:tcW w:w="720" w:type="dxa"/>
            <w:tcBorders>
              <w:top w:val="nil"/>
              <w:left w:val="single" w:sz="12" w:space="0" w:color="auto"/>
              <w:bottom w:val="single" w:sz="8" w:space="0" w:color="auto"/>
              <w:right w:val="single" w:sz="8" w:space="0" w:color="auto"/>
            </w:tcBorders>
            <w:shd w:val="clear" w:color="auto" w:fill="auto"/>
            <w:vAlign w:val="center"/>
          </w:tcPr>
          <w:p w14:paraId="10974974" w14:textId="77777777" w:rsidR="00335619" w:rsidRPr="0023367D" w:rsidRDefault="00335619" w:rsidP="00335619">
            <w:pPr>
              <w:jc w:val="center"/>
              <w:rPr>
                <w:color w:val="000000"/>
                <w:sz w:val="19"/>
                <w:szCs w:val="19"/>
              </w:rPr>
            </w:pPr>
            <w:r w:rsidRPr="0023367D">
              <w:rPr>
                <w:color w:val="000000"/>
                <w:sz w:val="19"/>
                <w:szCs w:val="19"/>
              </w:rPr>
              <w:t>126</w:t>
            </w:r>
          </w:p>
        </w:tc>
        <w:tc>
          <w:tcPr>
            <w:tcW w:w="990" w:type="dxa"/>
            <w:tcBorders>
              <w:top w:val="nil"/>
              <w:left w:val="nil"/>
              <w:bottom w:val="single" w:sz="8" w:space="0" w:color="auto"/>
              <w:right w:val="single" w:sz="8" w:space="0" w:color="auto"/>
            </w:tcBorders>
            <w:shd w:val="clear" w:color="auto" w:fill="auto"/>
            <w:vAlign w:val="center"/>
          </w:tcPr>
          <w:p w14:paraId="16E99603" w14:textId="77777777" w:rsidR="00335619" w:rsidRPr="0023367D" w:rsidRDefault="00335619" w:rsidP="00335619">
            <w:pPr>
              <w:jc w:val="center"/>
              <w:rPr>
                <w:color w:val="000000"/>
                <w:sz w:val="19"/>
                <w:szCs w:val="19"/>
              </w:rPr>
            </w:pPr>
            <w:r w:rsidRPr="0023367D">
              <w:rPr>
                <w:color w:val="000000"/>
                <w:sz w:val="19"/>
                <w:szCs w:val="19"/>
              </w:rPr>
              <w:t>15.9%</w:t>
            </w:r>
          </w:p>
        </w:tc>
        <w:tc>
          <w:tcPr>
            <w:tcW w:w="1006" w:type="dxa"/>
            <w:tcBorders>
              <w:top w:val="nil"/>
              <w:left w:val="nil"/>
              <w:bottom w:val="single" w:sz="8" w:space="0" w:color="auto"/>
              <w:right w:val="single" w:sz="8" w:space="0" w:color="auto"/>
            </w:tcBorders>
            <w:shd w:val="clear" w:color="auto" w:fill="auto"/>
            <w:vAlign w:val="center"/>
          </w:tcPr>
          <w:p w14:paraId="1A2CA907" w14:textId="77777777" w:rsidR="00335619" w:rsidRPr="0023367D" w:rsidRDefault="00335619" w:rsidP="00335619">
            <w:pPr>
              <w:jc w:val="center"/>
              <w:rPr>
                <w:color w:val="000000"/>
                <w:sz w:val="19"/>
                <w:szCs w:val="19"/>
              </w:rPr>
            </w:pPr>
            <w:r w:rsidRPr="0023367D">
              <w:rPr>
                <w:color w:val="000000"/>
                <w:sz w:val="19"/>
                <w:szCs w:val="19"/>
              </w:rPr>
              <w:t>8.9%</w:t>
            </w:r>
          </w:p>
        </w:tc>
        <w:tc>
          <w:tcPr>
            <w:tcW w:w="1525" w:type="dxa"/>
            <w:gridSpan w:val="2"/>
            <w:tcBorders>
              <w:top w:val="nil"/>
              <w:left w:val="nil"/>
              <w:bottom w:val="single" w:sz="8" w:space="0" w:color="auto"/>
              <w:right w:val="single" w:sz="4" w:space="0" w:color="auto"/>
            </w:tcBorders>
            <w:shd w:val="clear" w:color="auto" w:fill="auto"/>
            <w:noWrap/>
            <w:vAlign w:val="center"/>
          </w:tcPr>
          <w:p w14:paraId="3E5D28A7" w14:textId="77777777" w:rsidR="00335619" w:rsidRPr="0023367D" w:rsidRDefault="00335619" w:rsidP="00335619">
            <w:pPr>
              <w:jc w:val="center"/>
              <w:rPr>
                <w:color w:val="000000"/>
                <w:sz w:val="19"/>
                <w:szCs w:val="19"/>
              </w:rPr>
            </w:pPr>
            <w:r w:rsidRPr="0023367D">
              <w:rPr>
                <w:color w:val="000000"/>
                <w:sz w:val="19"/>
                <w:szCs w:val="19"/>
              </w:rPr>
              <w:t>11.8%</w:t>
            </w:r>
          </w:p>
        </w:tc>
      </w:tr>
      <w:tr w:rsidR="00335619" w:rsidRPr="0023367D" w14:paraId="030E7A68"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2D5D5E89" w14:textId="77777777" w:rsidR="00335619" w:rsidRPr="0023367D" w:rsidRDefault="00335619" w:rsidP="00335619">
            <w:pPr>
              <w:jc w:val="center"/>
              <w:rPr>
                <w:color w:val="000000"/>
                <w:sz w:val="19"/>
                <w:szCs w:val="19"/>
              </w:rPr>
            </w:pPr>
            <w:r w:rsidRPr="0023367D">
              <w:rPr>
                <w:bCs/>
                <w:color w:val="000000"/>
                <w:sz w:val="19"/>
                <w:szCs w:val="19"/>
                <w:lang w:bidi="he-IL"/>
              </w:rPr>
              <w:t>1985</w:t>
            </w:r>
          </w:p>
        </w:tc>
        <w:tc>
          <w:tcPr>
            <w:tcW w:w="1012" w:type="dxa"/>
            <w:tcBorders>
              <w:top w:val="nil"/>
              <w:left w:val="nil"/>
              <w:bottom w:val="single" w:sz="8" w:space="0" w:color="auto"/>
              <w:right w:val="single" w:sz="8" w:space="0" w:color="auto"/>
            </w:tcBorders>
            <w:shd w:val="clear" w:color="auto" w:fill="auto"/>
            <w:noWrap/>
            <w:vAlign w:val="center"/>
          </w:tcPr>
          <w:p w14:paraId="72007E77" w14:textId="77777777" w:rsidR="00335619" w:rsidRPr="0023367D" w:rsidRDefault="00335619" w:rsidP="00335619">
            <w:pPr>
              <w:jc w:val="center"/>
              <w:rPr>
                <w:color w:val="000000"/>
                <w:sz w:val="19"/>
                <w:szCs w:val="19"/>
              </w:rPr>
            </w:pPr>
            <w:r w:rsidRPr="0023367D">
              <w:rPr>
                <w:color w:val="000000"/>
                <w:sz w:val="19"/>
                <w:szCs w:val="19"/>
              </w:rPr>
              <w:t>480</w:t>
            </w:r>
          </w:p>
        </w:tc>
        <w:tc>
          <w:tcPr>
            <w:tcW w:w="909" w:type="dxa"/>
            <w:tcBorders>
              <w:top w:val="nil"/>
              <w:left w:val="nil"/>
              <w:bottom w:val="single" w:sz="8" w:space="0" w:color="auto"/>
              <w:right w:val="single" w:sz="8" w:space="0" w:color="auto"/>
            </w:tcBorders>
            <w:shd w:val="clear" w:color="auto" w:fill="auto"/>
            <w:noWrap/>
            <w:vAlign w:val="center"/>
          </w:tcPr>
          <w:p w14:paraId="18008D20" w14:textId="77777777" w:rsidR="00335619" w:rsidRPr="0023367D" w:rsidRDefault="00335619" w:rsidP="00335619">
            <w:pPr>
              <w:jc w:val="center"/>
              <w:rPr>
                <w:color w:val="000000"/>
                <w:sz w:val="19"/>
                <w:szCs w:val="19"/>
              </w:rPr>
            </w:pPr>
            <w:r w:rsidRPr="0023367D">
              <w:rPr>
                <w:color w:val="000000"/>
                <w:sz w:val="19"/>
                <w:szCs w:val="19"/>
              </w:rPr>
              <w:t>13.7%</w:t>
            </w:r>
          </w:p>
        </w:tc>
        <w:tc>
          <w:tcPr>
            <w:tcW w:w="1067" w:type="dxa"/>
            <w:tcBorders>
              <w:top w:val="nil"/>
              <w:left w:val="nil"/>
              <w:bottom w:val="single" w:sz="8" w:space="0" w:color="auto"/>
              <w:right w:val="single" w:sz="8" w:space="0" w:color="auto"/>
            </w:tcBorders>
            <w:shd w:val="clear" w:color="auto" w:fill="auto"/>
            <w:vAlign w:val="center"/>
          </w:tcPr>
          <w:p w14:paraId="6832BBB2" w14:textId="77777777" w:rsidR="00335619" w:rsidRPr="0023367D" w:rsidRDefault="00335619" w:rsidP="00335619">
            <w:pPr>
              <w:jc w:val="center"/>
              <w:rPr>
                <w:color w:val="000000"/>
                <w:sz w:val="19"/>
                <w:szCs w:val="19"/>
              </w:rPr>
            </w:pPr>
            <w:r w:rsidRPr="0023367D">
              <w:rPr>
                <w:color w:val="000000"/>
                <w:sz w:val="19"/>
                <w:szCs w:val="19"/>
              </w:rPr>
              <w:t>10.3%</w:t>
            </w:r>
          </w:p>
        </w:tc>
        <w:tc>
          <w:tcPr>
            <w:tcW w:w="1591" w:type="dxa"/>
            <w:tcBorders>
              <w:top w:val="nil"/>
              <w:left w:val="nil"/>
              <w:bottom w:val="single" w:sz="8" w:space="0" w:color="auto"/>
              <w:right w:val="single" w:sz="12" w:space="0" w:color="auto"/>
            </w:tcBorders>
            <w:vAlign w:val="center"/>
          </w:tcPr>
          <w:p w14:paraId="7D5788E8" w14:textId="77777777" w:rsidR="00335619" w:rsidRPr="0023367D" w:rsidRDefault="00335619" w:rsidP="00335619">
            <w:pPr>
              <w:jc w:val="center"/>
              <w:rPr>
                <w:color w:val="000000"/>
                <w:sz w:val="19"/>
                <w:szCs w:val="19"/>
              </w:rPr>
            </w:pPr>
            <w:r w:rsidRPr="0023367D">
              <w:rPr>
                <w:color w:val="000000"/>
                <w:sz w:val="19"/>
                <w:szCs w:val="19"/>
              </w:rPr>
              <w:t>14.6%</w:t>
            </w:r>
          </w:p>
        </w:tc>
        <w:tc>
          <w:tcPr>
            <w:tcW w:w="720" w:type="dxa"/>
            <w:tcBorders>
              <w:top w:val="nil"/>
              <w:left w:val="single" w:sz="12" w:space="0" w:color="auto"/>
              <w:bottom w:val="single" w:sz="8" w:space="0" w:color="auto"/>
              <w:right w:val="single" w:sz="8" w:space="0" w:color="auto"/>
            </w:tcBorders>
            <w:shd w:val="clear" w:color="auto" w:fill="auto"/>
            <w:vAlign w:val="center"/>
          </w:tcPr>
          <w:p w14:paraId="222C260B" w14:textId="77777777" w:rsidR="00335619" w:rsidRPr="0023367D" w:rsidRDefault="00335619" w:rsidP="00335619">
            <w:pPr>
              <w:jc w:val="center"/>
              <w:rPr>
                <w:color w:val="000000"/>
                <w:sz w:val="19"/>
                <w:szCs w:val="19"/>
              </w:rPr>
            </w:pPr>
            <w:r w:rsidRPr="0023367D">
              <w:rPr>
                <w:color w:val="000000"/>
                <w:sz w:val="19"/>
                <w:szCs w:val="19"/>
              </w:rPr>
              <w:t>133</w:t>
            </w:r>
          </w:p>
        </w:tc>
        <w:tc>
          <w:tcPr>
            <w:tcW w:w="990" w:type="dxa"/>
            <w:tcBorders>
              <w:top w:val="nil"/>
              <w:left w:val="nil"/>
              <w:bottom w:val="single" w:sz="8" w:space="0" w:color="auto"/>
              <w:right w:val="single" w:sz="8" w:space="0" w:color="auto"/>
            </w:tcBorders>
            <w:shd w:val="clear" w:color="auto" w:fill="auto"/>
            <w:vAlign w:val="center"/>
          </w:tcPr>
          <w:p w14:paraId="12BC2DEB" w14:textId="77777777" w:rsidR="00335619" w:rsidRPr="0023367D" w:rsidRDefault="00335619" w:rsidP="00335619">
            <w:pPr>
              <w:jc w:val="center"/>
              <w:rPr>
                <w:color w:val="000000"/>
                <w:sz w:val="19"/>
                <w:szCs w:val="19"/>
              </w:rPr>
            </w:pPr>
            <w:r w:rsidRPr="0023367D">
              <w:rPr>
                <w:color w:val="000000"/>
                <w:sz w:val="19"/>
                <w:szCs w:val="19"/>
              </w:rPr>
              <w:t>14.0%</w:t>
            </w:r>
          </w:p>
        </w:tc>
        <w:tc>
          <w:tcPr>
            <w:tcW w:w="1006" w:type="dxa"/>
            <w:tcBorders>
              <w:top w:val="nil"/>
              <w:left w:val="nil"/>
              <w:bottom w:val="single" w:sz="8" w:space="0" w:color="auto"/>
              <w:right w:val="single" w:sz="8" w:space="0" w:color="auto"/>
            </w:tcBorders>
            <w:shd w:val="clear" w:color="auto" w:fill="auto"/>
            <w:vAlign w:val="center"/>
          </w:tcPr>
          <w:p w14:paraId="583A5381" w14:textId="77777777" w:rsidR="00335619" w:rsidRPr="0023367D" w:rsidRDefault="00335619" w:rsidP="00335619">
            <w:pPr>
              <w:jc w:val="center"/>
              <w:rPr>
                <w:color w:val="000000"/>
                <w:sz w:val="19"/>
                <w:szCs w:val="19"/>
              </w:rPr>
            </w:pPr>
            <w:r w:rsidRPr="0023367D">
              <w:rPr>
                <w:color w:val="000000"/>
                <w:sz w:val="19"/>
                <w:szCs w:val="19"/>
              </w:rPr>
              <w:t>9.7%</w:t>
            </w:r>
          </w:p>
        </w:tc>
        <w:tc>
          <w:tcPr>
            <w:tcW w:w="1525" w:type="dxa"/>
            <w:gridSpan w:val="2"/>
            <w:tcBorders>
              <w:top w:val="nil"/>
              <w:left w:val="nil"/>
              <w:bottom w:val="single" w:sz="8" w:space="0" w:color="auto"/>
              <w:right w:val="single" w:sz="4" w:space="0" w:color="auto"/>
            </w:tcBorders>
            <w:shd w:val="clear" w:color="auto" w:fill="auto"/>
            <w:noWrap/>
            <w:vAlign w:val="center"/>
          </w:tcPr>
          <w:p w14:paraId="50A27279" w14:textId="77777777" w:rsidR="00335619" w:rsidRPr="0023367D" w:rsidRDefault="00335619" w:rsidP="00335619">
            <w:pPr>
              <w:jc w:val="center"/>
              <w:rPr>
                <w:color w:val="000000"/>
                <w:sz w:val="19"/>
                <w:szCs w:val="19"/>
              </w:rPr>
            </w:pPr>
            <w:r w:rsidRPr="0023367D">
              <w:rPr>
                <w:color w:val="000000"/>
                <w:sz w:val="19"/>
                <w:szCs w:val="19"/>
              </w:rPr>
              <w:t>12.6%</w:t>
            </w:r>
          </w:p>
        </w:tc>
      </w:tr>
      <w:tr w:rsidR="00335619" w:rsidRPr="0023367D" w14:paraId="2D40AB97"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5D7A9137" w14:textId="77777777" w:rsidR="00335619" w:rsidRPr="0023367D" w:rsidRDefault="00335619" w:rsidP="00335619">
            <w:pPr>
              <w:jc w:val="center"/>
              <w:rPr>
                <w:color w:val="000000"/>
                <w:sz w:val="19"/>
                <w:szCs w:val="19"/>
              </w:rPr>
            </w:pPr>
            <w:r w:rsidRPr="0023367D">
              <w:rPr>
                <w:bCs/>
                <w:color w:val="000000"/>
                <w:sz w:val="19"/>
                <w:szCs w:val="19"/>
                <w:lang w:bidi="he-IL"/>
              </w:rPr>
              <w:t>1986</w:t>
            </w:r>
          </w:p>
        </w:tc>
        <w:tc>
          <w:tcPr>
            <w:tcW w:w="1012" w:type="dxa"/>
            <w:tcBorders>
              <w:top w:val="nil"/>
              <w:left w:val="nil"/>
              <w:bottom w:val="single" w:sz="8" w:space="0" w:color="auto"/>
              <w:right w:val="single" w:sz="8" w:space="0" w:color="auto"/>
            </w:tcBorders>
            <w:shd w:val="clear" w:color="auto" w:fill="auto"/>
            <w:noWrap/>
            <w:vAlign w:val="center"/>
          </w:tcPr>
          <w:p w14:paraId="4221D5FB" w14:textId="77777777" w:rsidR="00335619" w:rsidRPr="0023367D" w:rsidRDefault="00335619" w:rsidP="00335619">
            <w:pPr>
              <w:jc w:val="center"/>
              <w:rPr>
                <w:color w:val="000000"/>
                <w:sz w:val="19"/>
                <w:szCs w:val="19"/>
              </w:rPr>
            </w:pPr>
            <w:r w:rsidRPr="0023367D">
              <w:rPr>
                <w:color w:val="000000"/>
                <w:sz w:val="19"/>
                <w:szCs w:val="19"/>
              </w:rPr>
              <w:t>471</w:t>
            </w:r>
          </w:p>
        </w:tc>
        <w:tc>
          <w:tcPr>
            <w:tcW w:w="909" w:type="dxa"/>
            <w:tcBorders>
              <w:top w:val="nil"/>
              <w:left w:val="nil"/>
              <w:bottom w:val="single" w:sz="8" w:space="0" w:color="auto"/>
              <w:right w:val="single" w:sz="8" w:space="0" w:color="auto"/>
            </w:tcBorders>
            <w:shd w:val="clear" w:color="auto" w:fill="auto"/>
            <w:noWrap/>
            <w:vAlign w:val="center"/>
          </w:tcPr>
          <w:p w14:paraId="271AD75A" w14:textId="77777777" w:rsidR="00335619" w:rsidRPr="0023367D" w:rsidRDefault="00335619" w:rsidP="00335619">
            <w:pPr>
              <w:jc w:val="center"/>
              <w:rPr>
                <w:color w:val="000000"/>
                <w:sz w:val="19"/>
                <w:szCs w:val="19"/>
              </w:rPr>
            </w:pPr>
            <w:r w:rsidRPr="0023367D">
              <w:rPr>
                <w:color w:val="000000"/>
                <w:sz w:val="19"/>
                <w:szCs w:val="19"/>
              </w:rPr>
              <w:t>17.3%</w:t>
            </w:r>
          </w:p>
        </w:tc>
        <w:tc>
          <w:tcPr>
            <w:tcW w:w="1067" w:type="dxa"/>
            <w:tcBorders>
              <w:top w:val="nil"/>
              <w:left w:val="nil"/>
              <w:bottom w:val="single" w:sz="8" w:space="0" w:color="auto"/>
              <w:right w:val="single" w:sz="8" w:space="0" w:color="auto"/>
            </w:tcBorders>
            <w:shd w:val="clear" w:color="auto" w:fill="auto"/>
            <w:vAlign w:val="center"/>
          </w:tcPr>
          <w:p w14:paraId="4BC45104" w14:textId="77777777" w:rsidR="00335619" w:rsidRPr="0023367D" w:rsidRDefault="00335619" w:rsidP="00335619">
            <w:pPr>
              <w:jc w:val="center"/>
              <w:rPr>
                <w:color w:val="000000"/>
                <w:sz w:val="19"/>
                <w:szCs w:val="19"/>
              </w:rPr>
            </w:pPr>
            <w:r w:rsidRPr="0023367D">
              <w:rPr>
                <w:color w:val="000000"/>
                <w:sz w:val="19"/>
                <w:szCs w:val="19"/>
              </w:rPr>
              <w:t>11.2%</w:t>
            </w:r>
          </w:p>
        </w:tc>
        <w:tc>
          <w:tcPr>
            <w:tcW w:w="1591" w:type="dxa"/>
            <w:tcBorders>
              <w:top w:val="nil"/>
              <w:left w:val="nil"/>
              <w:bottom w:val="single" w:sz="8" w:space="0" w:color="auto"/>
              <w:right w:val="single" w:sz="12" w:space="0" w:color="auto"/>
            </w:tcBorders>
            <w:vAlign w:val="center"/>
          </w:tcPr>
          <w:p w14:paraId="4564DE92" w14:textId="77777777" w:rsidR="00335619" w:rsidRPr="0023367D" w:rsidRDefault="00335619" w:rsidP="00335619">
            <w:pPr>
              <w:jc w:val="center"/>
              <w:rPr>
                <w:color w:val="000000"/>
                <w:sz w:val="19"/>
                <w:szCs w:val="19"/>
              </w:rPr>
            </w:pPr>
            <w:r w:rsidRPr="0023367D">
              <w:rPr>
                <w:color w:val="000000"/>
                <w:sz w:val="19"/>
                <w:szCs w:val="19"/>
              </w:rPr>
              <w:t>16.2%</w:t>
            </w:r>
          </w:p>
        </w:tc>
        <w:tc>
          <w:tcPr>
            <w:tcW w:w="720" w:type="dxa"/>
            <w:tcBorders>
              <w:top w:val="nil"/>
              <w:left w:val="single" w:sz="12" w:space="0" w:color="auto"/>
              <w:bottom w:val="single" w:sz="8" w:space="0" w:color="auto"/>
              <w:right w:val="single" w:sz="8" w:space="0" w:color="auto"/>
            </w:tcBorders>
            <w:shd w:val="clear" w:color="auto" w:fill="auto"/>
            <w:vAlign w:val="center"/>
          </w:tcPr>
          <w:p w14:paraId="49BB51E4" w14:textId="77777777" w:rsidR="00335619" w:rsidRPr="0023367D" w:rsidRDefault="00335619" w:rsidP="00335619">
            <w:pPr>
              <w:jc w:val="center"/>
              <w:rPr>
                <w:color w:val="000000"/>
                <w:sz w:val="19"/>
                <w:szCs w:val="19"/>
              </w:rPr>
            </w:pPr>
            <w:r w:rsidRPr="0023367D">
              <w:rPr>
                <w:color w:val="000000"/>
                <w:sz w:val="19"/>
                <w:szCs w:val="19"/>
              </w:rPr>
              <w:t>145</w:t>
            </w:r>
          </w:p>
        </w:tc>
        <w:tc>
          <w:tcPr>
            <w:tcW w:w="990" w:type="dxa"/>
            <w:tcBorders>
              <w:top w:val="nil"/>
              <w:left w:val="nil"/>
              <w:bottom w:val="single" w:sz="8" w:space="0" w:color="auto"/>
              <w:right w:val="single" w:sz="8" w:space="0" w:color="auto"/>
            </w:tcBorders>
            <w:shd w:val="clear" w:color="auto" w:fill="auto"/>
            <w:vAlign w:val="center"/>
          </w:tcPr>
          <w:p w14:paraId="32418347" w14:textId="77777777" w:rsidR="00335619" w:rsidRPr="0023367D" w:rsidRDefault="00335619" w:rsidP="00335619">
            <w:pPr>
              <w:jc w:val="center"/>
              <w:rPr>
                <w:color w:val="000000"/>
                <w:sz w:val="19"/>
                <w:szCs w:val="19"/>
              </w:rPr>
            </w:pPr>
            <w:r w:rsidRPr="0023367D">
              <w:rPr>
                <w:color w:val="000000"/>
                <w:sz w:val="19"/>
                <w:szCs w:val="19"/>
              </w:rPr>
              <w:t>14.1%</w:t>
            </w:r>
          </w:p>
        </w:tc>
        <w:tc>
          <w:tcPr>
            <w:tcW w:w="1006" w:type="dxa"/>
            <w:tcBorders>
              <w:top w:val="nil"/>
              <w:left w:val="nil"/>
              <w:bottom w:val="single" w:sz="8" w:space="0" w:color="auto"/>
              <w:right w:val="single" w:sz="8" w:space="0" w:color="auto"/>
            </w:tcBorders>
            <w:shd w:val="clear" w:color="auto" w:fill="auto"/>
            <w:vAlign w:val="center"/>
          </w:tcPr>
          <w:p w14:paraId="16560067" w14:textId="77777777" w:rsidR="00335619" w:rsidRPr="0023367D" w:rsidRDefault="00335619" w:rsidP="00335619">
            <w:pPr>
              <w:jc w:val="center"/>
              <w:rPr>
                <w:color w:val="000000"/>
                <w:sz w:val="19"/>
                <w:szCs w:val="19"/>
              </w:rPr>
            </w:pPr>
            <w:r w:rsidRPr="0023367D">
              <w:rPr>
                <w:color w:val="000000"/>
                <w:sz w:val="19"/>
                <w:szCs w:val="19"/>
              </w:rPr>
              <w:t>9.0%</w:t>
            </w:r>
          </w:p>
        </w:tc>
        <w:tc>
          <w:tcPr>
            <w:tcW w:w="1525" w:type="dxa"/>
            <w:gridSpan w:val="2"/>
            <w:tcBorders>
              <w:top w:val="nil"/>
              <w:left w:val="nil"/>
              <w:bottom w:val="single" w:sz="8" w:space="0" w:color="auto"/>
              <w:right w:val="single" w:sz="4" w:space="0" w:color="auto"/>
            </w:tcBorders>
            <w:shd w:val="clear" w:color="auto" w:fill="auto"/>
            <w:noWrap/>
            <w:vAlign w:val="center"/>
          </w:tcPr>
          <w:p w14:paraId="7C5A3F70" w14:textId="77777777" w:rsidR="00335619" w:rsidRPr="0023367D" w:rsidRDefault="00335619" w:rsidP="00335619">
            <w:pPr>
              <w:jc w:val="center"/>
              <w:rPr>
                <w:color w:val="000000"/>
                <w:sz w:val="19"/>
                <w:szCs w:val="19"/>
              </w:rPr>
            </w:pPr>
            <w:r w:rsidRPr="0023367D">
              <w:rPr>
                <w:color w:val="000000"/>
                <w:sz w:val="19"/>
                <w:szCs w:val="19"/>
              </w:rPr>
              <w:t>15.5%</w:t>
            </w:r>
          </w:p>
        </w:tc>
      </w:tr>
      <w:tr w:rsidR="00335619" w:rsidRPr="0023367D" w14:paraId="500809B1"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25039C18" w14:textId="77777777" w:rsidR="00335619" w:rsidRPr="0023367D" w:rsidRDefault="00335619" w:rsidP="00335619">
            <w:pPr>
              <w:jc w:val="center"/>
              <w:rPr>
                <w:color w:val="000000"/>
                <w:sz w:val="19"/>
                <w:szCs w:val="19"/>
              </w:rPr>
            </w:pPr>
            <w:r w:rsidRPr="0023367D">
              <w:rPr>
                <w:bCs/>
                <w:color w:val="000000"/>
                <w:sz w:val="19"/>
                <w:szCs w:val="19"/>
                <w:lang w:bidi="he-IL"/>
              </w:rPr>
              <w:t>1987</w:t>
            </w:r>
          </w:p>
        </w:tc>
        <w:tc>
          <w:tcPr>
            <w:tcW w:w="1012" w:type="dxa"/>
            <w:tcBorders>
              <w:top w:val="nil"/>
              <w:left w:val="nil"/>
              <w:bottom w:val="single" w:sz="8" w:space="0" w:color="auto"/>
              <w:right w:val="single" w:sz="8" w:space="0" w:color="auto"/>
            </w:tcBorders>
            <w:shd w:val="clear" w:color="auto" w:fill="auto"/>
            <w:noWrap/>
            <w:vAlign w:val="center"/>
          </w:tcPr>
          <w:p w14:paraId="16880F33" w14:textId="77777777" w:rsidR="00335619" w:rsidRPr="0023367D" w:rsidRDefault="00335619" w:rsidP="00335619">
            <w:pPr>
              <w:jc w:val="center"/>
              <w:rPr>
                <w:color w:val="000000"/>
                <w:sz w:val="19"/>
                <w:szCs w:val="19"/>
              </w:rPr>
            </w:pPr>
            <w:r w:rsidRPr="0023367D">
              <w:rPr>
                <w:color w:val="000000"/>
                <w:sz w:val="19"/>
                <w:szCs w:val="19"/>
              </w:rPr>
              <w:t>463</w:t>
            </w:r>
          </w:p>
        </w:tc>
        <w:tc>
          <w:tcPr>
            <w:tcW w:w="909" w:type="dxa"/>
            <w:tcBorders>
              <w:top w:val="nil"/>
              <w:left w:val="nil"/>
              <w:bottom w:val="single" w:sz="8" w:space="0" w:color="auto"/>
              <w:right w:val="single" w:sz="8" w:space="0" w:color="auto"/>
            </w:tcBorders>
            <w:shd w:val="clear" w:color="auto" w:fill="auto"/>
            <w:noWrap/>
            <w:vAlign w:val="center"/>
          </w:tcPr>
          <w:p w14:paraId="7CBBE021" w14:textId="77777777" w:rsidR="00335619" w:rsidRPr="0023367D" w:rsidRDefault="00335619" w:rsidP="00335619">
            <w:pPr>
              <w:jc w:val="center"/>
              <w:rPr>
                <w:color w:val="000000"/>
                <w:sz w:val="19"/>
                <w:szCs w:val="19"/>
              </w:rPr>
            </w:pPr>
            <w:r w:rsidRPr="0023367D">
              <w:rPr>
                <w:color w:val="000000"/>
                <w:sz w:val="19"/>
                <w:szCs w:val="19"/>
              </w:rPr>
              <w:t>21.4%</w:t>
            </w:r>
          </w:p>
        </w:tc>
        <w:tc>
          <w:tcPr>
            <w:tcW w:w="1067" w:type="dxa"/>
            <w:tcBorders>
              <w:top w:val="nil"/>
              <w:left w:val="nil"/>
              <w:bottom w:val="single" w:sz="8" w:space="0" w:color="auto"/>
              <w:right w:val="single" w:sz="8" w:space="0" w:color="auto"/>
            </w:tcBorders>
            <w:shd w:val="clear" w:color="auto" w:fill="auto"/>
            <w:vAlign w:val="center"/>
          </w:tcPr>
          <w:p w14:paraId="4E925291" w14:textId="77777777" w:rsidR="00335619" w:rsidRPr="0023367D" w:rsidRDefault="00335619" w:rsidP="00335619">
            <w:pPr>
              <w:jc w:val="center"/>
              <w:rPr>
                <w:color w:val="000000"/>
                <w:sz w:val="19"/>
                <w:szCs w:val="19"/>
              </w:rPr>
            </w:pPr>
            <w:r w:rsidRPr="0023367D">
              <w:rPr>
                <w:color w:val="000000"/>
                <w:sz w:val="19"/>
                <w:szCs w:val="19"/>
              </w:rPr>
              <w:t>14.1%</w:t>
            </w:r>
          </w:p>
        </w:tc>
        <w:tc>
          <w:tcPr>
            <w:tcW w:w="1591" w:type="dxa"/>
            <w:tcBorders>
              <w:top w:val="nil"/>
              <w:left w:val="nil"/>
              <w:bottom w:val="single" w:sz="8" w:space="0" w:color="auto"/>
              <w:right w:val="single" w:sz="12" w:space="0" w:color="auto"/>
            </w:tcBorders>
            <w:vAlign w:val="center"/>
          </w:tcPr>
          <w:p w14:paraId="5E7652D3" w14:textId="77777777" w:rsidR="00335619" w:rsidRPr="0023367D" w:rsidRDefault="00335619" w:rsidP="00335619">
            <w:pPr>
              <w:jc w:val="center"/>
              <w:rPr>
                <w:color w:val="000000"/>
                <w:sz w:val="19"/>
                <w:szCs w:val="19"/>
              </w:rPr>
            </w:pPr>
            <w:r w:rsidRPr="0023367D">
              <w:rPr>
                <w:color w:val="000000"/>
                <w:sz w:val="19"/>
                <w:szCs w:val="19"/>
              </w:rPr>
              <w:t>14.4%</w:t>
            </w:r>
          </w:p>
        </w:tc>
        <w:tc>
          <w:tcPr>
            <w:tcW w:w="720" w:type="dxa"/>
            <w:tcBorders>
              <w:top w:val="nil"/>
              <w:left w:val="single" w:sz="12" w:space="0" w:color="auto"/>
              <w:bottom w:val="single" w:sz="8" w:space="0" w:color="auto"/>
              <w:right w:val="single" w:sz="8" w:space="0" w:color="auto"/>
            </w:tcBorders>
            <w:shd w:val="clear" w:color="auto" w:fill="auto"/>
            <w:vAlign w:val="center"/>
          </w:tcPr>
          <w:p w14:paraId="7C5453CC" w14:textId="77777777" w:rsidR="00335619" w:rsidRPr="0023367D" w:rsidRDefault="00335619" w:rsidP="00335619">
            <w:pPr>
              <w:jc w:val="center"/>
              <w:rPr>
                <w:color w:val="000000"/>
                <w:sz w:val="19"/>
                <w:szCs w:val="19"/>
              </w:rPr>
            </w:pPr>
            <w:r w:rsidRPr="0023367D">
              <w:rPr>
                <w:color w:val="000000"/>
                <w:sz w:val="19"/>
                <w:szCs w:val="19"/>
              </w:rPr>
              <w:t>160</w:t>
            </w:r>
          </w:p>
        </w:tc>
        <w:tc>
          <w:tcPr>
            <w:tcW w:w="990" w:type="dxa"/>
            <w:tcBorders>
              <w:top w:val="nil"/>
              <w:left w:val="nil"/>
              <w:bottom w:val="single" w:sz="8" w:space="0" w:color="auto"/>
              <w:right w:val="single" w:sz="8" w:space="0" w:color="auto"/>
            </w:tcBorders>
            <w:shd w:val="clear" w:color="auto" w:fill="auto"/>
            <w:vAlign w:val="center"/>
          </w:tcPr>
          <w:p w14:paraId="4A1FAF92" w14:textId="77777777" w:rsidR="00335619" w:rsidRPr="0023367D" w:rsidRDefault="00335619" w:rsidP="00335619">
            <w:pPr>
              <w:jc w:val="center"/>
              <w:rPr>
                <w:color w:val="000000"/>
                <w:sz w:val="19"/>
                <w:szCs w:val="19"/>
              </w:rPr>
            </w:pPr>
            <w:r w:rsidRPr="0023367D">
              <w:rPr>
                <w:color w:val="000000"/>
                <w:sz w:val="19"/>
                <w:szCs w:val="19"/>
              </w:rPr>
              <w:t>13.5%</w:t>
            </w:r>
          </w:p>
        </w:tc>
        <w:tc>
          <w:tcPr>
            <w:tcW w:w="1006" w:type="dxa"/>
            <w:tcBorders>
              <w:top w:val="nil"/>
              <w:left w:val="nil"/>
              <w:bottom w:val="single" w:sz="8" w:space="0" w:color="auto"/>
              <w:right w:val="single" w:sz="8" w:space="0" w:color="auto"/>
            </w:tcBorders>
            <w:shd w:val="clear" w:color="auto" w:fill="auto"/>
            <w:vAlign w:val="center"/>
          </w:tcPr>
          <w:p w14:paraId="3C9F549F" w14:textId="77777777" w:rsidR="00335619" w:rsidRPr="0023367D" w:rsidRDefault="00335619" w:rsidP="00335619">
            <w:pPr>
              <w:jc w:val="center"/>
              <w:rPr>
                <w:color w:val="000000"/>
                <w:sz w:val="19"/>
                <w:szCs w:val="19"/>
              </w:rPr>
            </w:pPr>
            <w:r w:rsidRPr="0023367D">
              <w:rPr>
                <w:color w:val="000000"/>
                <w:sz w:val="19"/>
                <w:szCs w:val="19"/>
              </w:rPr>
              <w:t>8.2%</w:t>
            </w:r>
          </w:p>
        </w:tc>
        <w:tc>
          <w:tcPr>
            <w:tcW w:w="1525" w:type="dxa"/>
            <w:gridSpan w:val="2"/>
            <w:tcBorders>
              <w:top w:val="nil"/>
              <w:left w:val="nil"/>
              <w:bottom w:val="single" w:sz="8" w:space="0" w:color="auto"/>
              <w:right w:val="single" w:sz="4" w:space="0" w:color="auto"/>
            </w:tcBorders>
            <w:shd w:val="clear" w:color="auto" w:fill="auto"/>
            <w:noWrap/>
            <w:vAlign w:val="center"/>
          </w:tcPr>
          <w:p w14:paraId="477E36C5" w14:textId="77777777" w:rsidR="00335619" w:rsidRPr="0023367D" w:rsidRDefault="00335619" w:rsidP="00335619">
            <w:pPr>
              <w:jc w:val="center"/>
              <w:rPr>
                <w:color w:val="000000"/>
                <w:sz w:val="19"/>
                <w:szCs w:val="19"/>
              </w:rPr>
            </w:pPr>
            <w:r w:rsidRPr="0023367D">
              <w:rPr>
                <w:color w:val="000000"/>
                <w:sz w:val="19"/>
                <w:szCs w:val="19"/>
              </w:rPr>
              <w:t>13.6%</w:t>
            </w:r>
          </w:p>
        </w:tc>
      </w:tr>
      <w:tr w:rsidR="00335619" w:rsidRPr="0023367D" w14:paraId="787F3A67"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5F68BB3E" w14:textId="77777777" w:rsidR="00335619" w:rsidRPr="0023367D" w:rsidRDefault="00335619" w:rsidP="00335619">
            <w:pPr>
              <w:jc w:val="center"/>
              <w:rPr>
                <w:color w:val="000000"/>
                <w:sz w:val="19"/>
                <w:szCs w:val="19"/>
              </w:rPr>
            </w:pPr>
            <w:r w:rsidRPr="0023367D">
              <w:rPr>
                <w:bCs/>
                <w:color w:val="000000"/>
                <w:sz w:val="19"/>
                <w:szCs w:val="19"/>
                <w:lang w:bidi="he-IL"/>
              </w:rPr>
              <w:t>1988</w:t>
            </w:r>
          </w:p>
        </w:tc>
        <w:tc>
          <w:tcPr>
            <w:tcW w:w="1012" w:type="dxa"/>
            <w:tcBorders>
              <w:top w:val="nil"/>
              <w:left w:val="nil"/>
              <w:bottom w:val="single" w:sz="8" w:space="0" w:color="auto"/>
              <w:right w:val="single" w:sz="8" w:space="0" w:color="auto"/>
            </w:tcBorders>
            <w:shd w:val="clear" w:color="auto" w:fill="auto"/>
            <w:noWrap/>
            <w:vAlign w:val="center"/>
          </w:tcPr>
          <w:p w14:paraId="4FE42199" w14:textId="77777777" w:rsidR="00335619" w:rsidRPr="0023367D" w:rsidRDefault="00335619" w:rsidP="00335619">
            <w:pPr>
              <w:jc w:val="center"/>
              <w:rPr>
                <w:color w:val="000000"/>
                <w:sz w:val="19"/>
                <w:szCs w:val="19"/>
              </w:rPr>
            </w:pPr>
            <w:r w:rsidRPr="0023367D">
              <w:rPr>
                <w:color w:val="000000"/>
                <w:sz w:val="19"/>
                <w:szCs w:val="19"/>
              </w:rPr>
              <w:t>474</w:t>
            </w:r>
          </w:p>
        </w:tc>
        <w:tc>
          <w:tcPr>
            <w:tcW w:w="909" w:type="dxa"/>
            <w:tcBorders>
              <w:top w:val="nil"/>
              <w:left w:val="nil"/>
              <w:bottom w:val="single" w:sz="8" w:space="0" w:color="auto"/>
              <w:right w:val="single" w:sz="8" w:space="0" w:color="auto"/>
            </w:tcBorders>
            <w:shd w:val="clear" w:color="auto" w:fill="auto"/>
            <w:noWrap/>
            <w:vAlign w:val="center"/>
          </w:tcPr>
          <w:p w14:paraId="7DE9CFE2" w14:textId="77777777" w:rsidR="00335619" w:rsidRPr="0023367D" w:rsidRDefault="00335619" w:rsidP="00335619">
            <w:pPr>
              <w:jc w:val="center"/>
              <w:rPr>
                <w:color w:val="000000"/>
                <w:sz w:val="19"/>
                <w:szCs w:val="19"/>
              </w:rPr>
            </w:pPr>
            <w:r w:rsidRPr="0023367D">
              <w:rPr>
                <w:color w:val="000000"/>
                <w:sz w:val="19"/>
                <w:szCs w:val="19"/>
              </w:rPr>
              <w:t>24.3%</w:t>
            </w:r>
          </w:p>
        </w:tc>
        <w:tc>
          <w:tcPr>
            <w:tcW w:w="1067" w:type="dxa"/>
            <w:tcBorders>
              <w:top w:val="nil"/>
              <w:left w:val="nil"/>
              <w:bottom w:val="single" w:sz="8" w:space="0" w:color="auto"/>
              <w:right w:val="single" w:sz="8" w:space="0" w:color="auto"/>
            </w:tcBorders>
            <w:shd w:val="clear" w:color="auto" w:fill="auto"/>
            <w:vAlign w:val="center"/>
          </w:tcPr>
          <w:p w14:paraId="0DD9011F" w14:textId="77777777" w:rsidR="00335619" w:rsidRPr="0023367D" w:rsidRDefault="00335619" w:rsidP="00335619">
            <w:pPr>
              <w:jc w:val="center"/>
              <w:rPr>
                <w:color w:val="000000"/>
                <w:sz w:val="19"/>
                <w:szCs w:val="19"/>
              </w:rPr>
            </w:pPr>
            <w:r w:rsidRPr="0023367D">
              <w:rPr>
                <w:color w:val="000000"/>
                <w:sz w:val="19"/>
                <w:szCs w:val="19"/>
              </w:rPr>
              <w:t>15.9%</w:t>
            </w:r>
          </w:p>
        </w:tc>
        <w:tc>
          <w:tcPr>
            <w:tcW w:w="1591" w:type="dxa"/>
            <w:tcBorders>
              <w:top w:val="nil"/>
              <w:left w:val="nil"/>
              <w:bottom w:val="single" w:sz="8" w:space="0" w:color="auto"/>
              <w:right w:val="single" w:sz="12" w:space="0" w:color="auto"/>
            </w:tcBorders>
            <w:vAlign w:val="center"/>
          </w:tcPr>
          <w:p w14:paraId="590CCB04" w14:textId="77777777" w:rsidR="00335619" w:rsidRPr="0023367D" w:rsidRDefault="00335619" w:rsidP="00335619">
            <w:pPr>
              <w:jc w:val="center"/>
              <w:rPr>
                <w:color w:val="000000"/>
                <w:sz w:val="19"/>
                <w:szCs w:val="19"/>
              </w:rPr>
            </w:pPr>
            <w:r w:rsidRPr="0023367D">
              <w:rPr>
                <w:color w:val="000000"/>
                <w:sz w:val="19"/>
                <w:szCs w:val="19"/>
              </w:rPr>
              <w:t>14.4%</w:t>
            </w:r>
          </w:p>
        </w:tc>
        <w:tc>
          <w:tcPr>
            <w:tcW w:w="720" w:type="dxa"/>
            <w:tcBorders>
              <w:top w:val="nil"/>
              <w:left w:val="single" w:sz="12" w:space="0" w:color="auto"/>
              <w:bottom w:val="single" w:sz="8" w:space="0" w:color="auto"/>
              <w:right w:val="single" w:sz="8" w:space="0" w:color="auto"/>
            </w:tcBorders>
            <w:shd w:val="clear" w:color="auto" w:fill="auto"/>
            <w:vAlign w:val="center"/>
          </w:tcPr>
          <w:p w14:paraId="5AD5409A" w14:textId="77777777" w:rsidR="00335619" w:rsidRPr="0023367D" w:rsidRDefault="00335619" w:rsidP="00335619">
            <w:pPr>
              <w:jc w:val="center"/>
              <w:rPr>
                <w:color w:val="000000"/>
                <w:sz w:val="19"/>
                <w:szCs w:val="19"/>
              </w:rPr>
            </w:pPr>
            <w:r w:rsidRPr="0023367D">
              <w:rPr>
                <w:color w:val="000000"/>
                <w:sz w:val="19"/>
                <w:szCs w:val="19"/>
              </w:rPr>
              <w:t>178</w:t>
            </w:r>
          </w:p>
        </w:tc>
        <w:tc>
          <w:tcPr>
            <w:tcW w:w="990" w:type="dxa"/>
            <w:tcBorders>
              <w:top w:val="nil"/>
              <w:left w:val="nil"/>
              <w:bottom w:val="single" w:sz="8" w:space="0" w:color="auto"/>
              <w:right w:val="single" w:sz="8" w:space="0" w:color="auto"/>
            </w:tcBorders>
            <w:shd w:val="clear" w:color="auto" w:fill="auto"/>
            <w:vAlign w:val="center"/>
          </w:tcPr>
          <w:p w14:paraId="421C4038" w14:textId="77777777" w:rsidR="00335619" w:rsidRPr="0023367D" w:rsidRDefault="00335619" w:rsidP="00335619">
            <w:pPr>
              <w:jc w:val="center"/>
              <w:rPr>
                <w:color w:val="000000"/>
                <w:sz w:val="19"/>
                <w:szCs w:val="19"/>
              </w:rPr>
            </w:pPr>
            <w:r w:rsidRPr="0023367D">
              <w:rPr>
                <w:color w:val="000000"/>
                <w:sz w:val="19"/>
                <w:szCs w:val="19"/>
              </w:rPr>
              <w:t>17.6%</w:t>
            </w:r>
          </w:p>
        </w:tc>
        <w:tc>
          <w:tcPr>
            <w:tcW w:w="1006" w:type="dxa"/>
            <w:tcBorders>
              <w:top w:val="nil"/>
              <w:left w:val="nil"/>
              <w:bottom w:val="single" w:sz="8" w:space="0" w:color="auto"/>
              <w:right w:val="single" w:sz="8" w:space="0" w:color="auto"/>
            </w:tcBorders>
            <w:shd w:val="clear" w:color="auto" w:fill="auto"/>
            <w:vAlign w:val="center"/>
          </w:tcPr>
          <w:p w14:paraId="50D869E0" w14:textId="77777777" w:rsidR="00335619" w:rsidRPr="0023367D" w:rsidRDefault="00335619" w:rsidP="00335619">
            <w:pPr>
              <w:jc w:val="center"/>
              <w:rPr>
                <w:color w:val="000000"/>
                <w:sz w:val="19"/>
                <w:szCs w:val="19"/>
              </w:rPr>
            </w:pPr>
            <w:r w:rsidRPr="0023367D">
              <w:rPr>
                <w:color w:val="000000"/>
                <w:sz w:val="19"/>
                <w:szCs w:val="19"/>
              </w:rPr>
              <w:t>8.2%</w:t>
            </w:r>
          </w:p>
        </w:tc>
        <w:tc>
          <w:tcPr>
            <w:tcW w:w="1525" w:type="dxa"/>
            <w:gridSpan w:val="2"/>
            <w:tcBorders>
              <w:top w:val="nil"/>
              <w:left w:val="nil"/>
              <w:bottom w:val="single" w:sz="8" w:space="0" w:color="auto"/>
              <w:right w:val="single" w:sz="4" w:space="0" w:color="auto"/>
            </w:tcBorders>
            <w:shd w:val="clear" w:color="auto" w:fill="auto"/>
            <w:noWrap/>
            <w:vAlign w:val="center"/>
          </w:tcPr>
          <w:p w14:paraId="1962A5CC" w14:textId="77777777" w:rsidR="00335619" w:rsidRPr="0023367D" w:rsidRDefault="00335619" w:rsidP="00335619">
            <w:pPr>
              <w:jc w:val="center"/>
              <w:rPr>
                <w:color w:val="000000"/>
                <w:sz w:val="19"/>
                <w:szCs w:val="19"/>
              </w:rPr>
            </w:pPr>
            <w:r w:rsidRPr="0023367D">
              <w:rPr>
                <w:color w:val="000000"/>
                <w:sz w:val="19"/>
                <w:szCs w:val="19"/>
              </w:rPr>
              <w:t>12.2%</w:t>
            </w:r>
          </w:p>
        </w:tc>
      </w:tr>
      <w:tr w:rsidR="00335619" w:rsidRPr="0023367D" w14:paraId="179501AD"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43F08392" w14:textId="77777777" w:rsidR="00335619" w:rsidRPr="0023367D" w:rsidRDefault="00335619" w:rsidP="00335619">
            <w:pPr>
              <w:jc w:val="center"/>
              <w:rPr>
                <w:color w:val="000000"/>
                <w:sz w:val="19"/>
                <w:szCs w:val="19"/>
              </w:rPr>
            </w:pPr>
            <w:r w:rsidRPr="0023367D">
              <w:rPr>
                <w:bCs/>
                <w:color w:val="000000"/>
                <w:sz w:val="19"/>
                <w:szCs w:val="19"/>
                <w:lang w:bidi="he-IL"/>
              </w:rPr>
              <w:t>1989</w:t>
            </w:r>
          </w:p>
        </w:tc>
        <w:tc>
          <w:tcPr>
            <w:tcW w:w="1012" w:type="dxa"/>
            <w:tcBorders>
              <w:top w:val="nil"/>
              <w:left w:val="nil"/>
              <w:bottom w:val="single" w:sz="8" w:space="0" w:color="auto"/>
              <w:right w:val="single" w:sz="8" w:space="0" w:color="auto"/>
            </w:tcBorders>
            <w:shd w:val="clear" w:color="auto" w:fill="auto"/>
            <w:noWrap/>
            <w:vAlign w:val="center"/>
          </w:tcPr>
          <w:p w14:paraId="7CF43F25" w14:textId="77777777" w:rsidR="00335619" w:rsidRPr="0023367D" w:rsidRDefault="00335619" w:rsidP="00335619">
            <w:pPr>
              <w:jc w:val="center"/>
              <w:rPr>
                <w:color w:val="000000"/>
                <w:sz w:val="19"/>
                <w:szCs w:val="19"/>
              </w:rPr>
            </w:pPr>
            <w:r w:rsidRPr="0023367D">
              <w:rPr>
                <w:color w:val="000000"/>
                <w:sz w:val="19"/>
                <w:szCs w:val="19"/>
              </w:rPr>
              <w:t>480</w:t>
            </w:r>
          </w:p>
        </w:tc>
        <w:tc>
          <w:tcPr>
            <w:tcW w:w="909" w:type="dxa"/>
            <w:tcBorders>
              <w:top w:val="nil"/>
              <w:left w:val="nil"/>
              <w:bottom w:val="single" w:sz="8" w:space="0" w:color="auto"/>
              <w:right w:val="single" w:sz="8" w:space="0" w:color="auto"/>
            </w:tcBorders>
            <w:shd w:val="clear" w:color="auto" w:fill="auto"/>
            <w:noWrap/>
            <w:vAlign w:val="center"/>
          </w:tcPr>
          <w:p w14:paraId="412756BE" w14:textId="77777777" w:rsidR="00335619" w:rsidRPr="0023367D" w:rsidRDefault="00335619" w:rsidP="00335619">
            <w:pPr>
              <w:jc w:val="center"/>
              <w:rPr>
                <w:color w:val="000000"/>
                <w:sz w:val="19"/>
                <w:szCs w:val="19"/>
              </w:rPr>
            </w:pPr>
            <w:r w:rsidRPr="0023367D">
              <w:rPr>
                <w:color w:val="000000"/>
                <w:sz w:val="19"/>
                <w:szCs w:val="19"/>
              </w:rPr>
              <w:t>25.1%</w:t>
            </w:r>
          </w:p>
        </w:tc>
        <w:tc>
          <w:tcPr>
            <w:tcW w:w="1067" w:type="dxa"/>
            <w:tcBorders>
              <w:top w:val="nil"/>
              <w:left w:val="nil"/>
              <w:bottom w:val="single" w:sz="8" w:space="0" w:color="auto"/>
              <w:right w:val="single" w:sz="8" w:space="0" w:color="auto"/>
            </w:tcBorders>
            <w:shd w:val="clear" w:color="auto" w:fill="auto"/>
            <w:vAlign w:val="center"/>
          </w:tcPr>
          <w:p w14:paraId="1D378ADF" w14:textId="77777777" w:rsidR="00335619" w:rsidRPr="0023367D" w:rsidRDefault="00335619" w:rsidP="00335619">
            <w:pPr>
              <w:jc w:val="center"/>
              <w:rPr>
                <w:color w:val="000000"/>
                <w:sz w:val="19"/>
                <w:szCs w:val="19"/>
              </w:rPr>
            </w:pPr>
            <w:r w:rsidRPr="0023367D">
              <w:rPr>
                <w:color w:val="000000"/>
                <w:sz w:val="19"/>
                <w:szCs w:val="19"/>
              </w:rPr>
              <w:t>14.7%</w:t>
            </w:r>
          </w:p>
        </w:tc>
        <w:tc>
          <w:tcPr>
            <w:tcW w:w="1591" w:type="dxa"/>
            <w:tcBorders>
              <w:top w:val="nil"/>
              <w:left w:val="nil"/>
              <w:bottom w:val="single" w:sz="8" w:space="0" w:color="auto"/>
              <w:right w:val="single" w:sz="12" w:space="0" w:color="auto"/>
            </w:tcBorders>
            <w:vAlign w:val="center"/>
          </w:tcPr>
          <w:p w14:paraId="76D74A4D" w14:textId="77777777" w:rsidR="00335619" w:rsidRPr="0023367D" w:rsidRDefault="00335619" w:rsidP="00335619">
            <w:pPr>
              <w:jc w:val="center"/>
              <w:rPr>
                <w:color w:val="000000"/>
                <w:sz w:val="19"/>
                <w:szCs w:val="19"/>
              </w:rPr>
            </w:pPr>
            <w:r w:rsidRPr="0023367D">
              <w:rPr>
                <w:color w:val="000000"/>
                <w:sz w:val="19"/>
                <w:szCs w:val="19"/>
              </w:rPr>
              <w:t>13.2%</w:t>
            </w:r>
          </w:p>
        </w:tc>
        <w:tc>
          <w:tcPr>
            <w:tcW w:w="720" w:type="dxa"/>
            <w:tcBorders>
              <w:top w:val="nil"/>
              <w:left w:val="single" w:sz="12" w:space="0" w:color="auto"/>
              <w:bottom w:val="single" w:sz="8" w:space="0" w:color="auto"/>
              <w:right w:val="single" w:sz="8" w:space="0" w:color="auto"/>
            </w:tcBorders>
            <w:shd w:val="clear" w:color="auto" w:fill="auto"/>
            <w:vAlign w:val="center"/>
          </w:tcPr>
          <w:p w14:paraId="3C4A5C24" w14:textId="77777777" w:rsidR="00335619" w:rsidRPr="0023367D" w:rsidRDefault="00335619" w:rsidP="00335619">
            <w:pPr>
              <w:jc w:val="center"/>
              <w:rPr>
                <w:color w:val="000000"/>
                <w:sz w:val="19"/>
                <w:szCs w:val="19"/>
              </w:rPr>
            </w:pPr>
            <w:r w:rsidRPr="0023367D">
              <w:rPr>
                <w:color w:val="000000"/>
                <w:sz w:val="19"/>
                <w:szCs w:val="19"/>
              </w:rPr>
              <w:t>172</w:t>
            </w:r>
          </w:p>
        </w:tc>
        <w:tc>
          <w:tcPr>
            <w:tcW w:w="990" w:type="dxa"/>
            <w:tcBorders>
              <w:top w:val="nil"/>
              <w:left w:val="nil"/>
              <w:bottom w:val="single" w:sz="8" w:space="0" w:color="auto"/>
              <w:right w:val="single" w:sz="8" w:space="0" w:color="auto"/>
            </w:tcBorders>
            <w:shd w:val="clear" w:color="auto" w:fill="auto"/>
            <w:vAlign w:val="center"/>
          </w:tcPr>
          <w:p w14:paraId="0BBDA7C6" w14:textId="77777777" w:rsidR="00335619" w:rsidRPr="0023367D" w:rsidRDefault="00335619" w:rsidP="00335619">
            <w:pPr>
              <w:jc w:val="center"/>
              <w:rPr>
                <w:color w:val="000000"/>
                <w:sz w:val="19"/>
                <w:szCs w:val="19"/>
              </w:rPr>
            </w:pPr>
            <w:r w:rsidRPr="0023367D">
              <w:rPr>
                <w:color w:val="000000"/>
                <w:sz w:val="19"/>
                <w:szCs w:val="19"/>
              </w:rPr>
              <w:t>23.5%</w:t>
            </w:r>
          </w:p>
        </w:tc>
        <w:tc>
          <w:tcPr>
            <w:tcW w:w="1006" w:type="dxa"/>
            <w:tcBorders>
              <w:top w:val="nil"/>
              <w:left w:val="nil"/>
              <w:bottom w:val="single" w:sz="8" w:space="0" w:color="auto"/>
              <w:right w:val="single" w:sz="8" w:space="0" w:color="auto"/>
            </w:tcBorders>
            <w:shd w:val="clear" w:color="auto" w:fill="auto"/>
            <w:vAlign w:val="center"/>
          </w:tcPr>
          <w:p w14:paraId="05DA107A" w14:textId="77777777" w:rsidR="00335619" w:rsidRPr="0023367D" w:rsidRDefault="00335619" w:rsidP="00335619">
            <w:pPr>
              <w:jc w:val="center"/>
              <w:rPr>
                <w:color w:val="000000"/>
                <w:sz w:val="19"/>
                <w:szCs w:val="19"/>
              </w:rPr>
            </w:pPr>
            <w:r w:rsidRPr="0023367D">
              <w:rPr>
                <w:color w:val="000000"/>
                <w:sz w:val="19"/>
                <w:szCs w:val="19"/>
              </w:rPr>
              <w:t>7.5%</w:t>
            </w:r>
          </w:p>
        </w:tc>
        <w:tc>
          <w:tcPr>
            <w:tcW w:w="1525" w:type="dxa"/>
            <w:gridSpan w:val="2"/>
            <w:tcBorders>
              <w:top w:val="nil"/>
              <w:left w:val="nil"/>
              <w:bottom w:val="single" w:sz="8" w:space="0" w:color="auto"/>
              <w:right w:val="single" w:sz="4" w:space="0" w:color="auto"/>
            </w:tcBorders>
            <w:shd w:val="clear" w:color="auto" w:fill="auto"/>
            <w:noWrap/>
            <w:vAlign w:val="center"/>
          </w:tcPr>
          <w:p w14:paraId="19B6DEFB" w14:textId="77777777" w:rsidR="00335619" w:rsidRPr="0023367D" w:rsidRDefault="00335619" w:rsidP="00335619">
            <w:pPr>
              <w:jc w:val="center"/>
              <w:rPr>
                <w:color w:val="000000"/>
                <w:sz w:val="19"/>
                <w:szCs w:val="19"/>
              </w:rPr>
            </w:pPr>
            <w:r w:rsidRPr="0023367D">
              <w:rPr>
                <w:color w:val="000000"/>
                <w:sz w:val="19"/>
                <w:szCs w:val="19"/>
              </w:rPr>
              <w:t>11.2%</w:t>
            </w:r>
          </w:p>
        </w:tc>
      </w:tr>
      <w:tr w:rsidR="00335619" w:rsidRPr="0023367D" w14:paraId="2FC7BD36"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4A6E100E" w14:textId="77777777" w:rsidR="00335619" w:rsidRPr="0023367D" w:rsidRDefault="00335619" w:rsidP="00335619">
            <w:pPr>
              <w:jc w:val="center"/>
              <w:rPr>
                <w:color w:val="000000"/>
                <w:sz w:val="19"/>
                <w:szCs w:val="19"/>
              </w:rPr>
            </w:pPr>
            <w:r w:rsidRPr="0023367D">
              <w:rPr>
                <w:bCs/>
                <w:color w:val="000000"/>
                <w:sz w:val="19"/>
                <w:szCs w:val="19"/>
                <w:lang w:bidi="he-IL"/>
              </w:rPr>
              <w:t>1990</w:t>
            </w:r>
          </w:p>
        </w:tc>
        <w:tc>
          <w:tcPr>
            <w:tcW w:w="1012" w:type="dxa"/>
            <w:tcBorders>
              <w:top w:val="nil"/>
              <w:left w:val="nil"/>
              <w:bottom w:val="single" w:sz="8" w:space="0" w:color="auto"/>
              <w:right w:val="single" w:sz="8" w:space="0" w:color="auto"/>
            </w:tcBorders>
            <w:shd w:val="clear" w:color="auto" w:fill="auto"/>
            <w:noWrap/>
            <w:vAlign w:val="center"/>
          </w:tcPr>
          <w:p w14:paraId="7B6ACA7D" w14:textId="77777777" w:rsidR="00335619" w:rsidRPr="0023367D" w:rsidRDefault="00335619" w:rsidP="00335619">
            <w:pPr>
              <w:jc w:val="center"/>
              <w:rPr>
                <w:color w:val="000000"/>
                <w:sz w:val="19"/>
                <w:szCs w:val="19"/>
              </w:rPr>
            </w:pPr>
            <w:r w:rsidRPr="0023367D">
              <w:rPr>
                <w:color w:val="000000"/>
                <w:sz w:val="19"/>
                <w:szCs w:val="19"/>
              </w:rPr>
              <w:t>493</w:t>
            </w:r>
          </w:p>
        </w:tc>
        <w:tc>
          <w:tcPr>
            <w:tcW w:w="909" w:type="dxa"/>
            <w:tcBorders>
              <w:top w:val="nil"/>
              <w:left w:val="nil"/>
              <w:bottom w:val="single" w:sz="8" w:space="0" w:color="auto"/>
              <w:right w:val="single" w:sz="8" w:space="0" w:color="auto"/>
            </w:tcBorders>
            <w:shd w:val="clear" w:color="auto" w:fill="auto"/>
            <w:noWrap/>
            <w:vAlign w:val="center"/>
          </w:tcPr>
          <w:p w14:paraId="4AE722B5" w14:textId="77777777" w:rsidR="00335619" w:rsidRPr="0023367D" w:rsidRDefault="00335619" w:rsidP="00335619">
            <w:pPr>
              <w:jc w:val="center"/>
              <w:rPr>
                <w:color w:val="000000"/>
                <w:sz w:val="19"/>
                <w:szCs w:val="19"/>
              </w:rPr>
            </w:pPr>
            <w:r w:rsidRPr="0023367D">
              <w:rPr>
                <w:color w:val="000000"/>
                <w:sz w:val="19"/>
                <w:szCs w:val="19"/>
              </w:rPr>
              <w:t>24.1%</w:t>
            </w:r>
          </w:p>
        </w:tc>
        <w:tc>
          <w:tcPr>
            <w:tcW w:w="1067" w:type="dxa"/>
            <w:tcBorders>
              <w:top w:val="nil"/>
              <w:left w:val="nil"/>
              <w:bottom w:val="single" w:sz="8" w:space="0" w:color="auto"/>
              <w:right w:val="single" w:sz="8" w:space="0" w:color="auto"/>
            </w:tcBorders>
            <w:shd w:val="clear" w:color="auto" w:fill="auto"/>
            <w:vAlign w:val="center"/>
          </w:tcPr>
          <w:p w14:paraId="202B58FD" w14:textId="77777777" w:rsidR="00335619" w:rsidRPr="0023367D" w:rsidRDefault="00335619" w:rsidP="00335619">
            <w:pPr>
              <w:jc w:val="center"/>
              <w:rPr>
                <w:color w:val="000000"/>
                <w:sz w:val="19"/>
                <w:szCs w:val="19"/>
              </w:rPr>
            </w:pPr>
            <w:r w:rsidRPr="0023367D">
              <w:rPr>
                <w:color w:val="000000"/>
                <w:sz w:val="19"/>
                <w:szCs w:val="19"/>
              </w:rPr>
              <w:t>14.2%</w:t>
            </w:r>
          </w:p>
        </w:tc>
        <w:tc>
          <w:tcPr>
            <w:tcW w:w="1591" w:type="dxa"/>
            <w:tcBorders>
              <w:top w:val="nil"/>
              <w:left w:val="nil"/>
              <w:bottom w:val="single" w:sz="8" w:space="0" w:color="auto"/>
              <w:right w:val="single" w:sz="12" w:space="0" w:color="auto"/>
            </w:tcBorders>
            <w:vAlign w:val="center"/>
          </w:tcPr>
          <w:p w14:paraId="3A01B694" w14:textId="77777777" w:rsidR="00335619" w:rsidRPr="0023367D" w:rsidRDefault="00335619" w:rsidP="00335619">
            <w:pPr>
              <w:jc w:val="center"/>
              <w:rPr>
                <w:color w:val="000000"/>
                <w:sz w:val="19"/>
                <w:szCs w:val="19"/>
              </w:rPr>
            </w:pPr>
            <w:r w:rsidRPr="0023367D">
              <w:rPr>
                <w:color w:val="000000"/>
                <w:sz w:val="19"/>
                <w:szCs w:val="19"/>
              </w:rPr>
              <w:t>12.8%</w:t>
            </w:r>
          </w:p>
        </w:tc>
        <w:tc>
          <w:tcPr>
            <w:tcW w:w="720" w:type="dxa"/>
            <w:tcBorders>
              <w:top w:val="nil"/>
              <w:left w:val="single" w:sz="12" w:space="0" w:color="auto"/>
              <w:bottom w:val="single" w:sz="8" w:space="0" w:color="auto"/>
              <w:right w:val="single" w:sz="8" w:space="0" w:color="auto"/>
            </w:tcBorders>
            <w:shd w:val="clear" w:color="auto" w:fill="auto"/>
            <w:vAlign w:val="center"/>
          </w:tcPr>
          <w:p w14:paraId="6EC62F58" w14:textId="77777777" w:rsidR="00335619" w:rsidRPr="0023367D" w:rsidRDefault="00335619" w:rsidP="00335619">
            <w:pPr>
              <w:jc w:val="center"/>
              <w:rPr>
                <w:color w:val="000000"/>
                <w:sz w:val="19"/>
                <w:szCs w:val="19"/>
              </w:rPr>
            </w:pPr>
            <w:r w:rsidRPr="0023367D">
              <w:rPr>
                <w:color w:val="000000"/>
                <w:sz w:val="19"/>
                <w:szCs w:val="19"/>
              </w:rPr>
              <w:t>160</w:t>
            </w:r>
          </w:p>
        </w:tc>
        <w:tc>
          <w:tcPr>
            <w:tcW w:w="990" w:type="dxa"/>
            <w:tcBorders>
              <w:top w:val="nil"/>
              <w:left w:val="nil"/>
              <w:bottom w:val="single" w:sz="8" w:space="0" w:color="auto"/>
              <w:right w:val="single" w:sz="8" w:space="0" w:color="auto"/>
            </w:tcBorders>
            <w:shd w:val="clear" w:color="auto" w:fill="auto"/>
            <w:vAlign w:val="center"/>
          </w:tcPr>
          <w:p w14:paraId="44132C2B" w14:textId="77777777" w:rsidR="00335619" w:rsidRPr="0023367D" w:rsidRDefault="00335619" w:rsidP="00335619">
            <w:pPr>
              <w:jc w:val="center"/>
              <w:rPr>
                <w:color w:val="000000"/>
                <w:sz w:val="19"/>
                <w:szCs w:val="19"/>
              </w:rPr>
            </w:pPr>
            <w:r w:rsidRPr="0023367D">
              <w:rPr>
                <w:color w:val="000000"/>
                <w:sz w:val="19"/>
                <w:szCs w:val="19"/>
              </w:rPr>
              <w:t>21.0%</w:t>
            </w:r>
          </w:p>
        </w:tc>
        <w:tc>
          <w:tcPr>
            <w:tcW w:w="1006" w:type="dxa"/>
            <w:tcBorders>
              <w:top w:val="nil"/>
              <w:left w:val="nil"/>
              <w:bottom w:val="single" w:sz="8" w:space="0" w:color="auto"/>
              <w:right w:val="single" w:sz="8" w:space="0" w:color="auto"/>
            </w:tcBorders>
            <w:shd w:val="clear" w:color="auto" w:fill="auto"/>
            <w:vAlign w:val="center"/>
          </w:tcPr>
          <w:p w14:paraId="2E92485C" w14:textId="77777777" w:rsidR="00335619" w:rsidRPr="0023367D" w:rsidRDefault="00335619" w:rsidP="00335619">
            <w:pPr>
              <w:jc w:val="center"/>
              <w:rPr>
                <w:color w:val="000000"/>
                <w:sz w:val="19"/>
                <w:szCs w:val="19"/>
              </w:rPr>
            </w:pPr>
            <w:r w:rsidRPr="0023367D">
              <w:rPr>
                <w:color w:val="000000"/>
                <w:sz w:val="19"/>
                <w:szCs w:val="19"/>
              </w:rPr>
              <w:t>3.0%</w:t>
            </w:r>
          </w:p>
        </w:tc>
        <w:tc>
          <w:tcPr>
            <w:tcW w:w="1525" w:type="dxa"/>
            <w:gridSpan w:val="2"/>
            <w:tcBorders>
              <w:top w:val="nil"/>
              <w:left w:val="nil"/>
              <w:bottom w:val="single" w:sz="8" w:space="0" w:color="auto"/>
              <w:right w:val="single" w:sz="4" w:space="0" w:color="auto"/>
            </w:tcBorders>
            <w:shd w:val="clear" w:color="auto" w:fill="auto"/>
            <w:noWrap/>
            <w:vAlign w:val="center"/>
          </w:tcPr>
          <w:p w14:paraId="3CEEC9FD" w14:textId="77777777" w:rsidR="00335619" w:rsidRPr="0023367D" w:rsidRDefault="00335619" w:rsidP="00335619">
            <w:pPr>
              <w:jc w:val="center"/>
              <w:rPr>
                <w:color w:val="000000"/>
                <w:sz w:val="19"/>
                <w:szCs w:val="19"/>
              </w:rPr>
            </w:pPr>
            <w:r w:rsidRPr="0023367D">
              <w:rPr>
                <w:color w:val="000000"/>
                <w:sz w:val="19"/>
                <w:szCs w:val="19"/>
              </w:rPr>
              <w:t>10.8%</w:t>
            </w:r>
          </w:p>
        </w:tc>
      </w:tr>
      <w:tr w:rsidR="00335619" w:rsidRPr="0023367D" w14:paraId="798BA6EA"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1CB29357" w14:textId="77777777" w:rsidR="00335619" w:rsidRPr="0023367D" w:rsidRDefault="00335619" w:rsidP="00335619">
            <w:pPr>
              <w:jc w:val="center"/>
              <w:rPr>
                <w:color w:val="000000"/>
                <w:sz w:val="19"/>
                <w:szCs w:val="19"/>
              </w:rPr>
            </w:pPr>
            <w:r w:rsidRPr="0023367D">
              <w:rPr>
                <w:bCs/>
                <w:color w:val="000000"/>
                <w:sz w:val="19"/>
                <w:szCs w:val="19"/>
                <w:lang w:bidi="he-IL"/>
              </w:rPr>
              <w:t>1991</w:t>
            </w:r>
          </w:p>
        </w:tc>
        <w:tc>
          <w:tcPr>
            <w:tcW w:w="1012" w:type="dxa"/>
            <w:tcBorders>
              <w:top w:val="nil"/>
              <w:left w:val="nil"/>
              <w:bottom w:val="single" w:sz="8" w:space="0" w:color="auto"/>
              <w:right w:val="single" w:sz="8" w:space="0" w:color="auto"/>
            </w:tcBorders>
            <w:shd w:val="clear" w:color="auto" w:fill="auto"/>
            <w:noWrap/>
            <w:vAlign w:val="center"/>
          </w:tcPr>
          <w:p w14:paraId="09CB3877" w14:textId="77777777" w:rsidR="00335619" w:rsidRPr="0023367D" w:rsidRDefault="00335619" w:rsidP="00335619">
            <w:pPr>
              <w:jc w:val="center"/>
              <w:rPr>
                <w:color w:val="000000"/>
                <w:sz w:val="19"/>
                <w:szCs w:val="19"/>
              </w:rPr>
            </w:pPr>
            <w:r w:rsidRPr="0023367D">
              <w:rPr>
                <w:color w:val="000000"/>
                <w:sz w:val="19"/>
                <w:szCs w:val="19"/>
              </w:rPr>
              <w:t>483</w:t>
            </w:r>
          </w:p>
        </w:tc>
        <w:tc>
          <w:tcPr>
            <w:tcW w:w="909" w:type="dxa"/>
            <w:tcBorders>
              <w:top w:val="nil"/>
              <w:left w:val="nil"/>
              <w:bottom w:val="single" w:sz="8" w:space="0" w:color="auto"/>
              <w:right w:val="single" w:sz="8" w:space="0" w:color="auto"/>
            </w:tcBorders>
            <w:shd w:val="clear" w:color="auto" w:fill="auto"/>
            <w:noWrap/>
            <w:vAlign w:val="center"/>
          </w:tcPr>
          <w:p w14:paraId="5441E820" w14:textId="77777777" w:rsidR="00335619" w:rsidRPr="0023367D" w:rsidRDefault="00335619" w:rsidP="00335619">
            <w:pPr>
              <w:jc w:val="center"/>
              <w:rPr>
                <w:color w:val="000000"/>
                <w:sz w:val="19"/>
                <w:szCs w:val="19"/>
              </w:rPr>
            </w:pPr>
            <w:r w:rsidRPr="0023367D">
              <w:rPr>
                <w:color w:val="000000"/>
                <w:sz w:val="19"/>
                <w:szCs w:val="19"/>
              </w:rPr>
              <w:t>21.1%</w:t>
            </w:r>
          </w:p>
        </w:tc>
        <w:tc>
          <w:tcPr>
            <w:tcW w:w="1067" w:type="dxa"/>
            <w:tcBorders>
              <w:top w:val="nil"/>
              <w:left w:val="nil"/>
              <w:bottom w:val="single" w:sz="8" w:space="0" w:color="auto"/>
              <w:right w:val="single" w:sz="8" w:space="0" w:color="auto"/>
            </w:tcBorders>
            <w:shd w:val="clear" w:color="auto" w:fill="auto"/>
            <w:vAlign w:val="center"/>
          </w:tcPr>
          <w:p w14:paraId="7F72E49E" w14:textId="77777777" w:rsidR="00335619" w:rsidRPr="0023367D" w:rsidRDefault="00335619" w:rsidP="00335619">
            <w:pPr>
              <w:jc w:val="center"/>
              <w:rPr>
                <w:color w:val="000000"/>
                <w:sz w:val="19"/>
                <w:szCs w:val="19"/>
              </w:rPr>
            </w:pPr>
            <w:r w:rsidRPr="0023367D">
              <w:rPr>
                <w:color w:val="000000"/>
                <w:sz w:val="19"/>
                <w:szCs w:val="19"/>
              </w:rPr>
              <w:t>13.3%</w:t>
            </w:r>
          </w:p>
        </w:tc>
        <w:tc>
          <w:tcPr>
            <w:tcW w:w="1591" w:type="dxa"/>
            <w:tcBorders>
              <w:top w:val="nil"/>
              <w:left w:val="nil"/>
              <w:bottom w:val="single" w:sz="8" w:space="0" w:color="auto"/>
              <w:right w:val="single" w:sz="12" w:space="0" w:color="auto"/>
            </w:tcBorders>
            <w:vAlign w:val="center"/>
          </w:tcPr>
          <w:p w14:paraId="75B98F29" w14:textId="77777777" w:rsidR="00335619" w:rsidRPr="0023367D" w:rsidRDefault="00335619" w:rsidP="00335619">
            <w:pPr>
              <w:jc w:val="center"/>
              <w:rPr>
                <w:color w:val="000000"/>
                <w:sz w:val="19"/>
                <w:szCs w:val="19"/>
              </w:rPr>
            </w:pPr>
            <w:r w:rsidRPr="0023367D">
              <w:rPr>
                <w:color w:val="000000"/>
                <w:sz w:val="19"/>
                <w:szCs w:val="19"/>
              </w:rPr>
              <w:t>11.4%</w:t>
            </w:r>
          </w:p>
        </w:tc>
        <w:tc>
          <w:tcPr>
            <w:tcW w:w="720" w:type="dxa"/>
            <w:tcBorders>
              <w:top w:val="nil"/>
              <w:left w:val="single" w:sz="12" w:space="0" w:color="auto"/>
              <w:bottom w:val="single" w:sz="8" w:space="0" w:color="auto"/>
              <w:right w:val="single" w:sz="8" w:space="0" w:color="auto"/>
            </w:tcBorders>
            <w:shd w:val="clear" w:color="auto" w:fill="auto"/>
            <w:vAlign w:val="center"/>
          </w:tcPr>
          <w:p w14:paraId="6AB60B35" w14:textId="77777777" w:rsidR="00335619" w:rsidRPr="0023367D" w:rsidRDefault="00335619" w:rsidP="00335619">
            <w:pPr>
              <w:jc w:val="center"/>
              <w:rPr>
                <w:color w:val="000000"/>
                <w:sz w:val="19"/>
                <w:szCs w:val="19"/>
              </w:rPr>
            </w:pPr>
            <w:r w:rsidRPr="0023367D">
              <w:rPr>
                <w:color w:val="000000"/>
                <w:sz w:val="19"/>
                <w:szCs w:val="19"/>
              </w:rPr>
              <w:t>139</w:t>
            </w:r>
          </w:p>
        </w:tc>
        <w:tc>
          <w:tcPr>
            <w:tcW w:w="990" w:type="dxa"/>
            <w:tcBorders>
              <w:top w:val="nil"/>
              <w:left w:val="nil"/>
              <w:bottom w:val="single" w:sz="8" w:space="0" w:color="auto"/>
              <w:right w:val="single" w:sz="8" w:space="0" w:color="auto"/>
            </w:tcBorders>
            <w:shd w:val="clear" w:color="auto" w:fill="auto"/>
            <w:vAlign w:val="center"/>
          </w:tcPr>
          <w:p w14:paraId="64D8DF12" w14:textId="77777777" w:rsidR="00335619" w:rsidRPr="0023367D" w:rsidRDefault="00335619" w:rsidP="00335619">
            <w:pPr>
              <w:jc w:val="center"/>
              <w:rPr>
                <w:color w:val="000000"/>
                <w:sz w:val="19"/>
                <w:szCs w:val="19"/>
              </w:rPr>
            </w:pPr>
            <w:r w:rsidRPr="0023367D">
              <w:rPr>
                <w:color w:val="000000"/>
                <w:sz w:val="19"/>
                <w:szCs w:val="19"/>
              </w:rPr>
              <w:t>22.3%</w:t>
            </w:r>
          </w:p>
        </w:tc>
        <w:tc>
          <w:tcPr>
            <w:tcW w:w="1006" w:type="dxa"/>
            <w:tcBorders>
              <w:top w:val="nil"/>
              <w:left w:val="nil"/>
              <w:bottom w:val="single" w:sz="8" w:space="0" w:color="auto"/>
              <w:right w:val="single" w:sz="8" w:space="0" w:color="auto"/>
            </w:tcBorders>
            <w:shd w:val="clear" w:color="auto" w:fill="auto"/>
            <w:vAlign w:val="center"/>
          </w:tcPr>
          <w:p w14:paraId="6EF2A82D" w14:textId="77777777" w:rsidR="00335619" w:rsidRPr="0023367D" w:rsidRDefault="00335619" w:rsidP="00335619">
            <w:pPr>
              <w:jc w:val="center"/>
              <w:rPr>
                <w:color w:val="000000"/>
                <w:sz w:val="19"/>
                <w:szCs w:val="19"/>
              </w:rPr>
            </w:pPr>
            <w:r w:rsidRPr="0023367D">
              <w:rPr>
                <w:color w:val="000000"/>
                <w:sz w:val="19"/>
                <w:szCs w:val="19"/>
              </w:rPr>
              <w:t>5.8%</w:t>
            </w:r>
          </w:p>
        </w:tc>
        <w:tc>
          <w:tcPr>
            <w:tcW w:w="1525" w:type="dxa"/>
            <w:gridSpan w:val="2"/>
            <w:tcBorders>
              <w:top w:val="nil"/>
              <w:left w:val="nil"/>
              <w:bottom w:val="single" w:sz="8" w:space="0" w:color="auto"/>
              <w:right w:val="single" w:sz="4" w:space="0" w:color="auto"/>
            </w:tcBorders>
            <w:shd w:val="clear" w:color="auto" w:fill="auto"/>
            <w:noWrap/>
            <w:vAlign w:val="center"/>
          </w:tcPr>
          <w:p w14:paraId="6E2AC31A" w14:textId="77777777" w:rsidR="00335619" w:rsidRPr="0023367D" w:rsidRDefault="00335619" w:rsidP="00335619">
            <w:pPr>
              <w:jc w:val="center"/>
              <w:rPr>
                <w:color w:val="000000"/>
                <w:sz w:val="19"/>
                <w:szCs w:val="19"/>
              </w:rPr>
            </w:pPr>
            <w:r w:rsidRPr="0023367D">
              <w:rPr>
                <w:color w:val="000000"/>
                <w:sz w:val="19"/>
                <w:szCs w:val="19"/>
              </w:rPr>
              <w:t>12.8%</w:t>
            </w:r>
          </w:p>
        </w:tc>
      </w:tr>
      <w:tr w:rsidR="00335619" w:rsidRPr="0023367D" w14:paraId="6BD0C505"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7D8F638D" w14:textId="77777777" w:rsidR="00335619" w:rsidRPr="0023367D" w:rsidRDefault="00335619" w:rsidP="00335619">
            <w:pPr>
              <w:jc w:val="center"/>
              <w:rPr>
                <w:color w:val="000000"/>
                <w:sz w:val="19"/>
                <w:szCs w:val="19"/>
              </w:rPr>
            </w:pPr>
            <w:r w:rsidRPr="0023367D">
              <w:rPr>
                <w:bCs/>
                <w:color w:val="000000"/>
                <w:sz w:val="19"/>
                <w:szCs w:val="19"/>
                <w:lang w:bidi="he-IL"/>
              </w:rPr>
              <w:t>1992</w:t>
            </w:r>
          </w:p>
        </w:tc>
        <w:tc>
          <w:tcPr>
            <w:tcW w:w="1012" w:type="dxa"/>
            <w:tcBorders>
              <w:top w:val="nil"/>
              <w:left w:val="nil"/>
              <w:bottom w:val="single" w:sz="8" w:space="0" w:color="auto"/>
              <w:right w:val="single" w:sz="8" w:space="0" w:color="auto"/>
            </w:tcBorders>
            <w:shd w:val="clear" w:color="auto" w:fill="auto"/>
            <w:noWrap/>
            <w:vAlign w:val="center"/>
          </w:tcPr>
          <w:p w14:paraId="00EB24DE" w14:textId="77777777" w:rsidR="00335619" w:rsidRPr="0023367D" w:rsidRDefault="00335619" w:rsidP="00335619">
            <w:pPr>
              <w:jc w:val="center"/>
              <w:rPr>
                <w:color w:val="000000"/>
                <w:sz w:val="19"/>
                <w:szCs w:val="19"/>
              </w:rPr>
            </w:pPr>
            <w:r w:rsidRPr="0023367D">
              <w:rPr>
                <w:color w:val="000000"/>
                <w:sz w:val="19"/>
                <w:szCs w:val="19"/>
              </w:rPr>
              <w:t>451</w:t>
            </w:r>
          </w:p>
        </w:tc>
        <w:tc>
          <w:tcPr>
            <w:tcW w:w="909" w:type="dxa"/>
            <w:tcBorders>
              <w:top w:val="nil"/>
              <w:left w:val="nil"/>
              <w:bottom w:val="single" w:sz="8" w:space="0" w:color="auto"/>
              <w:right w:val="single" w:sz="8" w:space="0" w:color="auto"/>
            </w:tcBorders>
            <w:shd w:val="clear" w:color="auto" w:fill="auto"/>
            <w:noWrap/>
            <w:vAlign w:val="center"/>
          </w:tcPr>
          <w:p w14:paraId="57F209E0" w14:textId="77777777" w:rsidR="00335619" w:rsidRPr="0023367D" w:rsidRDefault="00335619" w:rsidP="00335619">
            <w:pPr>
              <w:jc w:val="center"/>
              <w:rPr>
                <w:color w:val="000000"/>
                <w:sz w:val="19"/>
                <w:szCs w:val="19"/>
              </w:rPr>
            </w:pPr>
            <w:r w:rsidRPr="0023367D">
              <w:rPr>
                <w:color w:val="000000"/>
                <w:sz w:val="19"/>
                <w:szCs w:val="19"/>
              </w:rPr>
              <w:t>18.3%</w:t>
            </w:r>
          </w:p>
        </w:tc>
        <w:tc>
          <w:tcPr>
            <w:tcW w:w="1067" w:type="dxa"/>
            <w:tcBorders>
              <w:top w:val="nil"/>
              <w:left w:val="nil"/>
              <w:bottom w:val="single" w:sz="8" w:space="0" w:color="auto"/>
              <w:right w:val="single" w:sz="8" w:space="0" w:color="auto"/>
            </w:tcBorders>
            <w:shd w:val="clear" w:color="auto" w:fill="auto"/>
            <w:vAlign w:val="center"/>
          </w:tcPr>
          <w:p w14:paraId="7B71BD2D" w14:textId="77777777" w:rsidR="00335619" w:rsidRPr="0023367D" w:rsidRDefault="00335619" w:rsidP="00335619">
            <w:pPr>
              <w:jc w:val="center"/>
              <w:rPr>
                <w:color w:val="000000"/>
                <w:sz w:val="19"/>
                <w:szCs w:val="19"/>
              </w:rPr>
            </w:pPr>
            <w:r w:rsidRPr="0023367D">
              <w:rPr>
                <w:color w:val="000000"/>
                <w:sz w:val="19"/>
                <w:szCs w:val="19"/>
              </w:rPr>
              <w:t>10.5%</w:t>
            </w:r>
          </w:p>
        </w:tc>
        <w:tc>
          <w:tcPr>
            <w:tcW w:w="1591" w:type="dxa"/>
            <w:tcBorders>
              <w:top w:val="nil"/>
              <w:left w:val="nil"/>
              <w:bottom w:val="single" w:sz="8" w:space="0" w:color="auto"/>
              <w:right w:val="single" w:sz="12" w:space="0" w:color="auto"/>
            </w:tcBorders>
            <w:vAlign w:val="center"/>
          </w:tcPr>
          <w:p w14:paraId="557354BE" w14:textId="77777777" w:rsidR="00335619" w:rsidRPr="0023367D" w:rsidRDefault="00335619" w:rsidP="00335619">
            <w:pPr>
              <w:jc w:val="center"/>
              <w:rPr>
                <w:color w:val="000000"/>
                <w:sz w:val="19"/>
                <w:szCs w:val="19"/>
              </w:rPr>
            </w:pPr>
            <w:r w:rsidRPr="0023367D">
              <w:rPr>
                <w:color w:val="000000"/>
                <w:sz w:val="19"/>
                <w:szCs w:val="19"/>
              </w:rPr>
              <w:t>8.7%</w:t>
            </w:r>
          </w:p>
        </w:tc>
        <w:tc>
          <w:tcPr>
            <w:tcW w:w="720" w:type="dxa"/>
            <w:tcBorders>
              <w:top w:val="nil"/>
              <w:left w:val="single" w:sz="12" w:space="0" w:color="auto"/>
              <w:bottom w:val="single" w:sz="8" w:space="0" w:color="auto"/>
              <w:right w:val="single" w:sz="8" w:space="0" w:color="auto"/>
            </w:tcBorders>
            <w:shd w:val="clear" w:color="auto" w:fill="auto"/>
            <w:vAlign w:val="center"/>
          </w:tcPr>
          <w:p w14:paraId="4486DE5B" w14:textId="77777777" w:rsidR="00335619" w:rsidRPr="0023367D" w:rsidRDefault="00335619" w:rsidP="00335619">
            <w:pPr>
              <w:jc w:val="center"/>
              <w:rPr>
                <w:color w:val="000000"/>
                <w:sz w:val="19"/>
                <w:szCs w:val="19"/>
              </w:rPr>
            </w:pPr>
            <w:r w:rsidRPr="0023367D">
              <w:rPr>
                <w:color w:val="000000"/>
                <w:sz w:val="19"/>
                <w:szCs w:val="19"/>
              </w:rPr>
              <w:t>96</w:t>
            </w:r>
          </w:p>
        </w:tc>
        <w:tc>
          <w:tcPr>
            <w:tcW w:w="990" w:type="dxa"/>
            <w:tcBorders>
              <w:top w:val="nil"/>
              <w:left w:val="nil"/>
              <w:bottom w:val="single" w:sz="8" w:space="0" w:color="auto"/>
              <w:right w:val="single" w:sz="8" w:space="0" w:color="auto"/>
            </w:tcBorders>
            <w:shd w:val="clear" w:color="auto" w:fill="auto"/>
            <w:vAlign w:val="center"/>
          </w:tcPr>
          <w:p w14:paraId="050D2107" w14:textId="77777777" w:rsidR="00335619" w:rsidRPr="0023367D" w:rsidRDefault="00335619" w:rsidP="00335619">
            <w:pPr>
              <w:jc w:val="center"/>
              <w:rPr>
                <w:color w:val="000000"/>
                <w:sz w:val="19"/>
                <w:szCs w:val="19"/>
              </w:rPr>
            </w:pPr>
            <w:r w:rsidRPr="0023367D">
              <w:rPr>
                <w:color w:val="000000"/>
                <w:sz w:val="19"/>
                <w:szCs w:val="19"/>
              </w:rPr>
              <w:t>31.2%</w:t>
            </w:r>
          </w:p>
        </w:tc>
        <w:tc>
          <w:tcPr>
            <w:tcW w:w="1006" w:type="dxa"/>
            <w:tcBorders>
              <w:top w:val="nil"/>
              <w:left w:val="nil"/>
              <w:bottom w:val="single" w:sz="8" w:space="0" w:color="auto"/>
              <w:right w:val="single" w:sz="8" w:space="0" w:color="auto"/>
            </w:tcBorders>
            <w:shd w:val="clear" w:color="auto" w:fill="auto"/>
            <w:vAlign w:val="center"/>
          </w:tcPr>
          <w:p w14:paraId="63B8C675" w14:textId="77777777" w:rsidR="00335619" w:rsidRPr="0023367D" w:rsidRDefault="00335619" w:rsidP="00335619">
            <w:pPr>
              <w:jc w:val="center"/>
              <w:rPr>
                <w:color w:val="000000"/>
                <w:sz w:val="19"/>
                <w:szCs w:val="19"/>
              </w:rPr>
            </w:pPr>
            <w:r w:rsidRPr="0023367D">
              <w:rPr>
                <w:color w:val="000000"/>
                <w:sz w:val="19"/>
                <w:szCs w:val="19"/>
              </w:rPr>
              <w:t>13.1%</w:t>
            </w:r>
          </w:p>
        </w:tc>
        <w:tc>
          <w:tcPr>
            <w:tcW w:w="1525" w:type="dxa"/>
            <w:gridSpan w:val="2"/>
            <w:tcBorders>
              <w:top w:val="nil"/>
              <w:left w:val="nil"/>
              <w:bottom w:val="single" w:sz="8" w:space="0" w:color="auto"/>
              <w:right w:val="single" w:sz="4" w:space="0" w:color="auto"/>
            </w:tcBorders>
            <w:shd w:val="clear" w:color="auto" w:fill="auto"/>
            <w:noWrap/>
            <w:vAlign w:val="center"/>
          </w:tcPr>
          <w:p w14:paraId="42A26A31" w14:textId="77777777" w:rsidR="00335619" w:rsidRPr="0023367D" w:rsidRDefault="00335619" w:rsidP="00335619">
            <w:pPr>
              <w:jc w:val="center"/>
              <w:rPr>
                <w:color w:val="000000"/>
                <w:sz w:val="19"/>
                <w:szCs w:val="19"/>
              </w:rPr>
            </w:pPr>
            <w:r w:rsidRPr="0023367D">
              <w:rPr>
                <w:color w:val="000000"/>
                <w:sz w:val="19"/>
                <w:szCs w:val="19"/>
              </w:rPr>
              <w:t>14.1%</w:t>
            </w:r>
          </w:p>
        </w:tc>
      </w:tr>
      <w:tr w:rsidR="00335619" w:rsidRPr="0023367D" w14:paraId="4C641A1F"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43234E3F" w14:textId="77777777" w:rsidR="00335619" w:rsidRPr="0023367D" w:rsidRDefault="00335619" w:rsidP="00335619">
            <w:pPr>
              <w:jc w:val="center"/>
              <w:rPr>
                <w:color w:val="000000"/>
                <w:sz w:val="19"/>
                <w:szCs w:val="19"/>
              </w:rPr>
            </w:pPr>
            <w:r w:rsidRPr="0023367D">
              <w:rPr>
                <w:bCs/>
                <w:color w:val="000000"/>
                <w:sz w:val="19"/>
                <w:szCs w:val="19"/>
                <w:lang w:bidi="he-IL"/>
              </w:rPr>
              <w:t>1993</w:t>
            </w:r>
          </w:p>
        </w:tc>
        <w:tc>
          <w:tcPr>
            <w:tcW w:w="1012" w:type="dxa"/>
            <w:tcBorders>
              <w:top w:val="nil"/>
              <w:left w:val="nil"/>
              <w:bottom w:val="single" w:sz="8" w:space="0" w:color="auto"/>
              <w:right w:val="single" w:sz="8" w:space="0" w:color="auto"/>
            </w:tcBorders>
            <w:shd w:val="clear" w:color="auto" w:fill="auto"/>
            <w:noWrap/>
            <w:vAlign w:val="center"/>
          </w:tcPr>
          <w:p w14:paraId="3C7DA36C" w14:textId="77777777" w:rsidR="00335619" w:rsidRPr="0023367D" w:rsidRDefault="00335619" w:rsidP="00335619">
            <w:pPr>
              <w:jc w:val="center"/>
              <w:rPr>
                <w:color w:val="000000"/>
                <w:sz w:val="19"/>
                <w:szCs w:val="19"/>
              </w:rPr>
            </w:pPr>
            <w:r w:rsidRPr="0023367D">
              <w:rPr>
                <w:color w:val="000000"/>
                <w:sz w:val="19"/>
                <w:szCs w:val="19"/>
              </w:rPr>
              <w:t>445</w:t>
            </w:r>
          </w:p>
        </w:tc>
        <w:tc>
          <w:tcPr>
            <w:tcW w:w="909" w:type="dxa"/>
            <w:tcBorders>
              <w:top w:val="nil"/>
              <w:left w:val="nil"/>
              <w:bottom w:val="single" w:sz="8" w:space="0" w:color="auto"/>
              <w:right w:val="single" w:sz="8" w:space="0" w:color="auto"/>
            </w:tcBorders>
            <w:shd w:val="clear" w:color="auto" w:fill="auto"/>
            <w:noWrap/>
            <w:vAlign w:val="center"/>
          </w:tcPr>
          <w:p w14:paraId="3AF34C96" w14:textId="77777777" w:rsidR="00335619" w:rsidRPr="0023367D" w:rsidRDefault="00335619" w:rsidP="00335619">
            <w:pPr>
              <w:jc w:val="center"/>
              <w:rPr>
                <w:color w:val="000000"/>
                <w:sz w:val="19"/>
                <w:szCs w:val="19"/>
              </w:rPr>
            </w:pPr>
            <w:r w:rsidRPr="0023367D">
              <w:rPr>
                <w:color w:val="000000"/>
                <w:sz w:val="19"/>
                <w:szCs w:val="19"/>
              </w:rPr>
              <w:t>14.2%</w:t>
            </w:r>
          </w:p>
        </w:tc>
        <w:tc>
          <w:tcPr>
            <w:tcW w:w="1067" w:type="dxa"/>
            <w:tcBorders>
              <w:top w:val="nil"/>
              <w:left w:val="nil"/>
              <w:bottom w:val="single" w:sz="8" w:space="0" w:color="auto"/>
              <w:right w:val="single" w:sz="8" w:space="0" w:color="auto"/>
            </w:tcBorders>
            <w:shd w:val="clear" w:color="auto" w:fill="auto"/>
            <w:vAlign w:val="center"/>
          </w:tcPr>
          <w:p w14:paraId="22CDF4FB" w14:textId="77777777" w:rsidR="00335619" w:rsidRPr="0023367D" w:rsidRDefault="00335619" w:rsidP="00335619">
            <w:pPr>
              <w:jc w:val="center"/>
              <w:rPr>
                <w:color w:val="000000"/>
                <w:sz w:val="19"/>
                <w:szCs w:val="19"/>
              </w:rPr>
            </w:pPr>
            <w:r w:rsidRPr="0023367D">
              <w:rPr>
                <w:color w:val="000000"/>
                <w:sz w:val="19"/>
                <w:szCs w:val="19"/>
              </w:rPr>
              <w:t>8.6%</w:t>
            </w:r>
          </w:p>
        </w:tc>
        <w:tc>
          <w:tcPr>
            <w:tcW w:w="1591" w:type="dxa"/>
            <w:tcBorders>
              <w:top w:val="nil"/>
              <w:left w:val="nil"/>
              <w:bottom w:val="single" w:sz="8" w:space="0" w:color="auto"/>
              <w:right w:val="single" w:sz="12" w:space="0" w:color="auto"/>
            </w:tcBorders>
            <w:vAlign w:val="center"/>
          </w:tcPr>
          <w:p w14:paraId="523BF688" w14:textId="77777777" w:rsidR="00335619" w:rsidRPr="0023367D" w:rsidRDefault="00335619" w:rsidP="00335619">
            <w:pPr>
              <w:jc w:val="center"/>
              <w:rPr>
                <w:color w:val="000000"/>
                <w:sz w:val="19"/>
                <w:szCs w:val="19"/>
              </w:rPr>
            </w:pPr>
            <w:r w:rsidRPr="0023367D">
              <w:rPr>
                <w:color w:val="000000"/>
                <w:sz w:val="19"/>
                <w:szCs w:val="19"/>
              </w:rPr>
              <w:t>7.1%</w:t>
            </w:r>
          </w:p>
        </w:tc>
        <w:tc>
          <w:tcPr>
            <w:tcW w:w="720" w:type="dxa"/>
            <w:tcBorders>
              <w:top w:val="nil"/>
              <w:left w:val="single" w:sz="12" w:space="0" w:color="auto"/>
              <w:bottom w:val="single" w:sz="8" w:space="0" w:color="auto"/>
              <w:right w:val="single" w:sz="8" w:space="0" w:color="auto"/>
            </w:tcBorders>
            <w:shd w:val="clear" w:color="auto" w:fill="auto"/>
            <w:vAlign w:val="center"/>
          </w:tcPr>
          <w:p w14:paraId="616DA5D5" w14:textId="77777777" w:rsidR="00335619" w:rsidRPr="0023367D" w:rsidRDefault="00335619" w:rsidP="00335619">
            <w:pPr>
              <w:jc w:val="center"/>
              <w:rPr>
                <w:color w:val="000000"/>
                <w:sz w:val="19"/>
                <w:szCs w:val="19"/>
              </w:rPr>
            </w:pPr>
            <w:r w:rsidRPr="0023367D">
              <w:rPr>
                <w:color w:val="000000"/>
                <w:sz w:val="19"/>
                <w:szCs w:val="19"/>
              </w:rPr>
              <w:t>78</w:t>
            </w:r>
          </w:p>
        </w:tc>
        <w:tc>
          <w:tcPr>
            <w:tcW w:w="990" w:type="dxa"/>
            <w:tcBorders>
              <w:top w:val="nil"/>
              <w:left w:val="nil"/>
              <w:bottom w:val="single" w:sz="8" w:space="0" w:color="auto"/>
              <w:right w:val="single" w:sz="8" w:space="0" w:color="auto"/>
            </w:tcBorders>
            <w:shd w:val="clear" w:color="auto" w:fill="auto"/>
            <w:vAlign w:val="center"/>
          </w:tcPr>
          <w:p w14:paraId="467FC1D5" w14:textId="77777777" w:rsidR="00335619" w:rsidRPr="0023367D" w:rsidRDefault="00335619" w:rsidP="00335619">
            <w:pPr>
              <w:jc w:val="center"/>
              <w:rPr>
                <w:color w:val="000000"/>
                <w:sz w:val="19"/>
                <w:szCs w:val="19"/>
              </w:rPr>
            </w:pPr>
            <w:r w:rsidRPr="0023367D">
              <w:rPr>
                <w:color w:val="000000"/>
                <w:sz w:val="19"/>
                <w:szCs w:val="19"/>
              </w:rPr>
              <w:t>35.5%</w:t>
            </w:r>
          </w:p>
        </w:tc>
        <w:tc>
          <w:tcPr>
            <w:tcW w:w="1006" w:type="dxa"/>
            <w:tcBorders>
              <w:top w:val="nil"/>
              <w:left w:val="nil"/>
              <w:bottom w:val="single" w:sz="8" w:space="0" w:color="auto"/>
              <w:right w:val="single" w:sz="8" w:space="0" w:color="auto"/>
            </w:tcBorders>
            <w:shd w:val="clear" w:color="auto" w:fill="auto"/>
            <w:vAlign w:val="center"/>
          </w:tcPr>
          <w:p w14:paraId="2E3BDFF9" w14:textId="77777777" w:rsidR="00335619" w:rsidRPr="0023367D" w:rsidRDefault="00335619" w:rsidP="00335619">
            <w:pPr>
              <w:jc w:val="center"/>
              <w:rPr>
                <w:color w:val="000000"/>
                <w:sz w:val="19"/>
                <w:szCs w:val="19"/>
              </w:rPr>
            </w:pPr>
            <w:r w:rsidRPr="0023367D">
              <w:rPr>
                <w:color w:val="000000"/>
                <w:sz w:val="19"/>
                <w:szCs w:val="19"/>
              </w:rPr>
              <w:t>21.0%</w:t>
            </w:r>
          </w:p>
        </w:tc>
        <w:tc>
          <w:tcPr>
            <w:tcW w:w="1525" w:type="dxa"/>
            <w:gridSpan w:val="2"/>
            <w:tcBorders>
              <w:top w:val="nil"/>
              <w:left w:val="nil"/>
              <w:bottom w:val="single" w:sz="8" w:space="0" w:color="auto"/>
              <w:right w:val="single" w:sz="4" w:space="0" w:color="auto"/>
            </w:tcBorders>
            <w:shd w:val="clear" w:color="auto" w:fill="auto"/>
            <w:noWrap/>
            <w:vAlign w:val="center"/>
          </w:tcPr>
          <w:p w14:paraId="4A0C13E5" w14:textId="77777777" w:rsidR="00335619" w:rsidRPr="0023367D" w:rsidRDefault="00335619" w:rsidP="00335619">
            <w:pPr>
              <w:jc w:val="center"/>
              <w:rPr>
                <w:color w:val="000000"/>
                <w:sz w:val="19"/>
                <w:szCs w:val="19"/>
              </w:rPr>
            </w:pPr>
            <w:r w:rsidRPr="0023367D">
              <w:rPr>
                <w:color w:val="000000"/>
                <w:sz w:val="19"/>
                <w:szCs w:val="19"/>
              </w:rPr>
              <w:t>10.8%</w:t>
            </w:r>
          </w:p>
        </w:tc>
      </w:tr>
      <w:tr w:rsidR="00335619" w:rsidRPr="0023367D" w14:paraId="2538B4BB"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374B009D" w14:textId="77777777" w:rsidR="00335619" w:rsidRPr="0023367D" w:rsidRDefault="00335619" w:rsidP="00335619">
            <w:pPr>
              <w:jc w:val="center"/>
              <w:rPr>
                <w:color w:val="000000"/>
                <w:sz w:val="19"/>
                <w:szCs w:val="19"/>
              </w:rPr>
            </w:pPr>
            <w:r w:rsidRPr="0023367D">
              <w:rPr>
                <w:bCs/>
                <w:color w:val="000000"/>
                <w:sz w:val="19"/>
                <w:szCs w:val="19"/>
                <w:lang w:bidi="he-IL"/>
              </w:rPr>
              <w:t>1994</w:t>
            </w:r>
          </w:p>
        </w:tc>
        <w:tc>
          <w:tcPr>
            <w:tcW w:w="1012" w:type="dxa"/>
            <w:tcBorders>
              <w:top w:val="nil"/>
              <w:left w:val="nil"/>
              <w:bottom w:val="single" w:sz="8" w:space="0" w:color="auto"/>
              <w:right w:val="single" w:sz="8" w:space="0" w:color="auto"/>
            </w:tcBorders>
            <w:shd w:val="clear" w:color="auto" w:fill="auto"/>
            <w:noWrap/>
            <w:vAlign w:val="center"/>
          </w:tcPr>
          <w:p w14:paraId="53634959" w14:textId="77777777" w:rsidR="00335619" w:rsidRPr="0023367D" w:rsidRDefault="00335619" w:rsidP="00335619">
            <w:pPr>
              <w:jc w:val="center"/>
              <w:rPr>
                <w:color w:val="000000"/>
                <w:sz w:val="19"/>
                <w:szCs w:val="19"/>
              </w:rPr>
            </w:pPr>
            <w:r w:rsidRPr="0023367D">
              <w:rPr>
                <w:color w:val="000000"/>
                <w:sz w:val="19"/>
                <w:szCs w:val="19"/>
              </w:rPr>
              <w:t>476</w:t>
            </w:r>
          </w:p>
        </w:tc>
        <w:tc>
          <w:tcPr>
            <w:tcW w:w="909" w:type="dxa"/>
            <w:tcBorders>
              <w:top w:val="nil"/>
              <w:left w:val="nil"/>
              <w:bottom w:val="single" w:sz="8" w:space="0" w:color="auto"/>
              <w:right w:val="single" w:sz="8" w:space="0" w:color="auto"/>
            </w:tcBorders>
            <w:shd w:val="clear" w:color="auto" w:fill="auto"/>
            <w:noWrap/>
            <w:vAlign w:val="center"/>
          </w:tcPr>
          <w:p w14:paraId="2301ABA8" w14:textId="77777777" w:rsidR="00335619" w:rsidRPr="0023367D" w:rsidRDefault="00335619" w:rsidP="00335619">
            <w:pPr>
              <w:jc w:val="center"/>
              <w:rPr>
                <w:color w:val="000000"/>
                <w:sz w:val="19"/>
                <w:szCs w:val="19"/>
              </w:rPr>
            </w:pPr>
            <w:r w:rsidRPr="0023367D">
              <w:rPr>
                <w:color w:val="000000"/>
                <w:sz w:val="19"/>
                <w:szCs w:val="19"/>
              </w:rPr>
              <w:t>13.0%</w:t>
            </w:r>
          </w:p>
        </w:tc>
        <w:tc>
          <w:tcPr>
            <w:tcW w:w="1067" w:type="dxa"/>
            <w:tcBorders>
              <w:top w:val="nil"/>
              <w:left w:val="nil"/>
              <w:bottom w:val="single" w:sz="8" w:space="0" w:color="auto"/>
              <w:right w:val="single" w:sz="8" w:space="0" w:color="auto"/>
            </w:tcBorders>
            <w:shd w:val="clear" w:color="auto" w:fill="auto"/>
            <w:vAlign w:val="center"/>
          </w:tcPr>
          <w:p w14:paraId="12231B15" w14:textId="77777777" w:rsidR="00335619" w:rsidRPr="0023367D" w:rsidRDefault="00335619" w:rsidP="00335619">
            <w:pPr>
              <w:jc w:val="center"/>
              <w:rPr>
                <w:color w:val="000000"/>
                <w:sz w:val="19"/>
                <w:szCs w:val="19"/>
              </w:rPr>
            </w:pPr>
            <w:r w:rsidRPr="0023367D">
              <w:rPr>
                <w:color w:val="000000"/>
                <w:sz w:val="19"/>
                <w:szCs w:val="19"/>
              </w:rPr>
              <w:t>8.9%</w:t>
            </w:r>
          </w:p>
        </w:tc>
        <w:tc>
          <w:tcPr>
            <w:tcW w:w="1591" w:type="dxa"/>
            <w:tcBorders>
              <w:top w:val="nil"/>
              <w:left w:val="nil"/>
              <w:bottom w:val="single" w:sz="8" w:space="0" w:color="auto"/>
              <w:right w:val="single" w:sz="12" w:space="0" w:color="auto"/>
            </w:tcBorders>
            <w:vAlign w:val="center"/>
          </w:tcPr>
          <w:p w14:paraId="67D2C04E" w14:textId="77777777" w:rsidR="00335619" w:rsidRPr="0023367D" w:rsidRDefault="00335619" w:rsidP="00335619">
            <w:pPr>
              <w:jc w:val="center"/>
              <w:rPr>
                <w:color w:val="000000"/>
                <w:sz w:val="19"/>
                <w:szCs w:val="19"/>
              </w:rPr>
            </w:pPr>
            <w:r w:rsidRPr="0023367D">
              <w:rPr>
                <w:color w:val="000000"/>
                <w:sz w:val="19"/>
                <w:szCs w:val="19"/>
              </w:rPr>
              <w:t>9.7%</w:t>
            </w:r>
          </w:p>
        </w:tc>
        <w:tc>
          <w:tcPr>
            <w:tcW w:w="720" w:type="dxa"/>
            <w:tcBorders>
              <w:top w:val="nil"/>
              <w:left w:val="single" w:sz="12" w:space="0" w:color="auto"/>
              <w:bottom w:val="single" w:sz="8" w:space="0" w:color="auto"/>
              <w:right w:val="single" w:sz="8" w:space="0" w:color="auto"/>
            </w:tcBorders>
            <w:shd w:val="clear" w:color="auto" w:fill="auto"/>
            <w:vAlign w:val="center"/>
          </w:tcPr>
          <w:p w14:paraId="1B285BB6" w14:textId="77777777" w:rsidR="00335619" w:rsidRPr="0023367D" w:rsidRDefault="00335619" w:rsidP="00335619">
            <w:pPr>
              <w:jc w:val="center"/>
              <w:rPr>
                <w:color w:val="000000"/>
                <w:sz w:val="19"/>
                <w:szCs w:val="19"/>
              </w:rPr>
            </w:pPr>
            <w:r w:rsidRPr="0023367D">
              <w:rPr>
                <w:color w:val="000000"/>
                <w:sz w:val="19"/>
                <w:szCs w:val="19"/>
              </w:rPr>
              <w:t>80</w:t>
            </w:r>
          </w:p>
        </w:tc>
        <w:tc>
          <w:tcPr>
            <w:tcW w:w="990" w:type="dxa"/>
            <w:tcBorders>
              <w:top w:val="nil"/>
              <w:left w:val="nil"/>
              <w:bottom w:val="single" w:sz="8" w:space="0" w:color="auto"/>
              <w:right w:val="single" w:sz="8" w:space="0" w:color="auto"/>
            </w:tcBorders>
            <w:shd w:val="clear" w:color="auto" w:fill="auto"/>
            <w:vAlign w:val="center"/>
          </w:tcPr>
          <w:p w14:paraId="765313C1" w14:textId="77777777" w:rsidR="00335619" w:rsidRPr="0023367D" w:rsidRDefault="00335619" w:rsidP="00335619">
            <w:pPr>
              <w:jc w:val="center"/>
              <w:rPr>
                <w:color w:val="000000"/>
                <w:sz w:val="19"/>
                <w:szCs w:val="19"/>
              </w:rPr>
            </w:pPr>
            <w:r w:rsidRPr="0023367D">
              <w:rPr>
                <w:color w:val="000000"/>
                <w:sz w:val="19"/>
                <w:szCs w:val="19"/>
              </w:rPr>
              <w:t>29.2%</w:t>
            </w:r>
          </w:p>
        </w:tc>
        <w:tc>
          <w:tcPr>
            <w:tcW w:w="1006" w:type="dxa"/>
            <w:tcBorders>
              <w:top w:val="nil"/>
              <w:left w:val="nil"/>
              <w:bottom w:val="single" w:sz="8" w:space="0" w:color="auto"/>
              <w:right w:val="single" w:sz="8" w:space="0" w:color="auto"/>
            </w:tcBorders>
            <w:shd w:val="clear" w:color="auto" w:fill="auto"/>
            <w:vAlign w:val="center"/>
          </w:tcPr>
          <w:p w14:paraId="6C29CD9E" w14:textId="77777777" w:rsidR="00335619" w:rsidRPr="0023367D" w:rsidRDefault="00335619" w:rsidP="00335619">
            <w:pPr>
              <w:jc w:val="center"/>
              <w:rPr>
                <w:color w:val="000000"/>
                <w:sz w:val="19"/>
                <w:szCs w:val="19"/>
              </w:rPr>
            </w:pPr>
            <w:r w:rsidRPr="0023367D">
              <w:rPr>
                <w:color w:val="000000"/>
                <w:sz w:val="19"/>
                <w:szCs w:val="19"/>
              </w:rPr>
              <w:t>22.3%</w:t>
            </w:r>
          </w:p>
        </w:tc>
        <w:tc>
          <w:tcPr>
            <w:tcW w:w="1525" w:type="dxa"/>
            <w:gridSpan w:val="2"/>
            <w:tcBorders>
              <w:top w:val="nil"/>
              <w:left w:val="nil"/>
              <w:bottom w:val="single" w:sz="8" w:space="0" w:color="auto"/>
              <w:right w:val="single" w:sz="4" w:space="0" w:color="auto"/>
            </w:tcBorders>
            <w:shd w:val="clear" w:color="auto" w:fill="auto"/>
            <w:noWrap/>
            <w:vAlign w:val="center"/>
          </w:tcPr>
          <w:p w14:paraId="1AC22601" w14:textId="77777777" w:rsidR="00335619" w:rsidRPr="0023367D" w:rsidRDefault="00335619" w:rsidP="00335619">
            <w:pPr>
              <w:jc w:val="center"/>
              <w:rPr>
                <w:color w:val="000000"/>
                <w:sz w:val="19"/>
                <w:szCs w:val="19"/>
              </w:rPr>
            </w:pPr>
            <w:r w:rsidRPr="0023367D">
              <w:rPr>
                <w:color w:val="000000"/>
                <w:sz w:val="19"/>
                <w:szCs w:val="19"/>
              </w:rPr>
              <w:t>15.4%</w:t>
            </w:r>
          </w:p>
        </w:tc>
      </w:tr>
      <w:tr w:rsidR="00335619" w:rsidRPr="0023367D" w14:paraId="5FBF46FB"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0B7A1E89" w14:textId="77777777" w:rsidR="00335619" w:rsidRPr="0023367D" w:rsidRDefault="00335619" w:rsidP="00335619">
            <w:pPr>
              <w:jc w:val="center"/>
              <w:rPr>
                <w:color w:val="000000"/>
                <w:sz w:val="19"/>
                <w:szCs w:val="19"/>
              </w:rPr>
            </w:pPr>
            <w:r w:rsidRPr="0023367D">
              <w:rPr>
                <w:bCs/>
                <w:color w:val="000000"/>
                <w:sz w:val="19"/>
                <w:szCs w:val="19"/>
                <w:lang w:bidi="he-IL"/>
              </w:rPr>
              <w:t>1995</w:t>
            </w:r>
          </w:p>
        </w:tc>
        <w:tc>
          <w:tcPr>
            <w:tcW w:w="1012" w:type="dxa"/>
            <w:tcBorders>
              <w:top w:val="nil"/>
              <w:left w:val="nil"/>
              <w:bottom w:val="single" w:sz="8" w:space="0" w:color="auto"/>
              <w:right w:val="single" w:sz="8" w:space="0" w:color="auto"/>
            </w:tcBorders>
            <w:shd w:val="clear" w:color="auto" w:fill="auto"/>
            <w:noWrap/>
            <w:vAlign w:val="center"/>
          </w:tcPr>
          <w:p w14:paraId="66F234E0" w14:textId="77777777" w:rsidR="00335619" w:rsidRPr="0023367D" w:rsidRDefault="00335619" w:rsidP="00335619">
            <w:pPr>
              <w:jc w:val="center"/>
              <w:rPr>
                <w:color w:val="000000"/>
                <w:sz w:val="19"/>
                <w:szCs w:val="19"/>
              </w:rPr>
            </w:pPr>
            <w:r w:rsidRPr="0023367D">
              <w:rPr>
                <w:color w:val="000000"/>
                <w:sz w:val="19"/>
                <w:szCs w:val="19"/>
              </w:rPr>
              <w:t>513</w:t>
            </w:r>
          </w:p>
        </w:tc>
        <w:tc>
          <w:tcPr>
            <w:tcW w:w="909" w:type="dxa"/>
            <w:tcBorders>
              <w:top w:val="nil"/>
              <w:left w:val="nil"/>
              <w:bottom w:val="single" w:sz="8" w:space="0" w:color="auto"/>
              <w:right w:val="single" w:sz="8" w:space="0" w:color="auto"/>
            </w:tcBorders>
            <w:shd w:val="clear" w:color="auto" w:fill="auto"/>
            <w:noWrap/>
            <w:vAlign w:val="center"/>
          </w:tcPr>
          <w:p w14:paraId="74E35DAC" w14:textId="77777777" w:rsidR="00335619" w:rsidRPr="0023367D" w:rsidRDefault="00335619" w:rsidP="00335619">
            <w:pPr>
              <w:jc w:val="center"/>
              <w:rPr>
                <w:color w:val="000000"/>
                <w:sz w:val="19"/>
                <w:szCs w:val="19"/>
              </w:rPr>
            </w:pPr>
            <w:r w:rsidRPr="0023367D">
              <w:rPr>
                <w:color w:val="000000"/>
                <w:sz w:val="19"/>
                <w:szCs w:val="19"/>
              </w:rPr>
              <w:t>14.5%</w:t>
            </w:r>
          </w:p>
        </w:tc>
        <w:tc>
          <w:tcPr>
            <w:tcW w:w="1067" w:type="dxa"/>
            <w:tcBorders>
              <w:top w:val="nil"/>
              <w:left w:val="nil"/>
              <w:bottom w:val="single" w:sz="8" w:space="0" w:color="auto"/>
              <w:right w:val="single" w:sz="8" w:space="0" w:color="auto"/>
            </w:tcBorders>
            <w:shd w:val="clear" w:color="auto" w:fill="auto"/>
            <w:vAlign w:val="center"/>
          </w:tcPr>
          <w:p w14:paraId="518D89B1" w14:textId="77777777" w:rsidR="00335619" w:rsidRPr="0023367D" w:rsidRDefault="00335619" w:rsidP="00335619">
            <w:pPr>
              <w:jc w:val="center"/>
              <w:rPr>
                <w:color w:val="000000"/>
                <w:sz w:val="19"/>
                <w:szCs w:val="19"/>
              </w:rPr>
            </w:pPr>
            <w:r w:rsidRPr="0023367D">
              <w:rPr>
                <w:color w:val="000000"/>
                <w:sz w:val="19"/>
                <w:szCs w:val="19"/>
              </w:rPr>
              <w:t>10.1%</w:t>
            </w:r>
          </w:p>
        </w:tc>
        <w:tc>
          <w:tcPr>
            <w:tcW w:w="1591" w:type="dxa"/>
            <w:tcBorders>
              <w:top w:val="nil"/>
              <w:left w:val="nil"/>
              <w:bottom w:val="single" w:sz="8" w:space="0" w:color="auto"/>
              <w:right w:val="single" w:sz="12" w:space="0" w:color="auto"/>
            </w:tcBorders>
            <w:vAlign w:val="center"/>
          </w:tcPr>
          <w:p w14:paraId="3DE82F08" w14:textId="77777777" w:rsidR="00335619" w:rsidRPr="0023367D" w:rsidRDefault="00335619" w:rsidP="00335619">
            <w:pPr>
              <w:jc w:val="center"/>
              <w:rPr>
                <w:color w:val="000000"/>
                <w:sz w:val="19"/>
                <w:szCs w:val="19"/>
              </w:rPr>
            </w:pPr>
            <w:r w:rsidRPr="0023367D">
              <w:rPr>
                <w:color w:val="000000"/>
                <w:sz w:val="19"/>
                <w:szCs w:val="19"/>
              </w:rPr>
              <w:t>9.2%</w:t>
            </w:r>
          </w:p>
        </w:tc>
        <w:tc>
          <w:tcPr>
            <w:tcW w:w="720" w:type="dxa"/>
            <w:tcBorders>
              <w:top w:val="nil"/>
              <w:left w:val="single" w:sz="12" w:space="0" w:color="auto"/>
              <w:bottom w:val="single" w:sz="8" w:space="0" w:color="auto"/>
              <w:right w:val="single" w:sz="8" w:space="0" w:color="auto"/>
            </w:tcBorders>
            <w:shd w:val="clear" w:color="auto" w:fill="auto"/>
            <w:vAlign w:val="center"/>
          </w:tcPr>
          <w:p w14:paraId="0F6116AF" w14:textId="77777777" w:rsidR="00335619" w:rsidRPr="0023367D" w:rsidRDefault="00335619" w:rsidP="00335619">
            <w:pPr>
              <w:jc w:val="center"/>
              <w:rPr>
                <w:color w:val="000000"/>
                <w:sz w:val="19"/>
                <w:szCs w:val="19"/>
              </w:rPr>
            </w:pPr>
            <w:r w:rsidRPr="0023367D">
              <w:rPr>
                <w:color w:val="000000"/>
                <w:sz w:val="19"/>
                <w:szCs w:val="19"/>
              </w:rPr>
              <w:t>79</w:t>
            </w:r>
          </w:p>
        </w:tc>
        <w:tc>
          <w:tcPr>
            <w:tcW w:w="990" w:type="dxa"/>
            <w:tcBorders>
              <w:top w:val="nil"/>
              <w:left w:val="nil"/>
              <w:bottom w:val="single" w:sz="8" w:space="0" w:color="auto"/>
              <w:right w:val="single" w:sz="8" w:space="0" w:color="auto"/>
            </w:tcBorders>
            <w:shd w:val="clear" w:color="auto" w:fill="auto"/>
            <w:vAlign w:val="center"/>
          </w:tcPr>
          <w:p w14:paraId="1AAFE3B6" w14:textId="77777777" w:rsidR="00335619" w:rsidRPr="0023367D" w:rsidRDefault="00335619" w:rsidP="00335619">
            <w:pPr>
              <w:jc w:val="center"/>
              <w:rPr>
                <w:color w:val="000000"/>
                <w:sz w:val="19"/>
                <w:szCs w:val="19"/>
              </w:rPr>
            </w:pPr>
            <w:r w:rsidRPr="0023367D">
              <w:rPr>
                <w:color w:val="000000"/>
                <w:sz w:val="19"/>
                <w:szCs w:val="19"/>
              </w:rPr>
              <w:t>33.9%</w:t>
            </w:r>
          </w:p>
        </w:tc>
        <w:tc>
          <w:tcPr>
            <w:tcW w:w="1006" w:type="dxa"/>
            <w:tcBorders>
              <w:top w:val="nil"/>
              <w:left w:val="nil"/>
              <w:bottom w:val="single" w:sz="8" w:space="0" w:color="auto"/>
              <w:right w:val="single" w:sz="8" w:space="0" w:color="auto"/>
            </w:tcBorders>
            <w:shd w:val="clear" w:color="auto" w:fill="auto"/>
            <w:vAlign w:val="center"/>
          </w:tcPr>
          <w:p w14:paraId="68BF7011" w14:textId="77777777" w:rsidR="00335619" w:rsidRPr="0023367D" w:rsidRDefault="00335619" w:rsidP="00335619">
            <w:pPr>
              <w:jc w:val="center"/>
              <w:rPr>
                <w:color w:val="000000"/>
                <w:sz w:val="19"/>
                <w:szCs w:val="19"/>
              </w:rPr>
            </w:pPr>
            <w:r w:rsidRPr="0023367D">
              <w:rPr>
                <w:color w:val="000000"/>
                <w:sz w:val="19"/>
                <w:szCs w:val="19"/>
              </w:rPr>
              <w:t>28.9%</w:t>
            </w:r>
          </w:p>
        </w:tc>
        <w:tc>
          <w:tcPr>
            <w:tcW w:w="1525" w:type="dxa"/>
            <w:gridSpan w:val="2"/>
            <w:tcBorders>
              <w:top w:val="nil"/>
              <w:left w:val="nil"/>
              <w:bottom w:val="single" w:sz="8" w:space="0" w:color="auto"/>
              <w:right w:val="single" w:sz="4" w:space="0" w:color="auto"/>
            </w:tcBorders>
            <w:shd w:val="clear" w:color="auto" w:fill="auto"/>
            <w:noWrap/>
            <w:vAlign w:val="center"/>
          </w:tcPr>
          <w:p w14:paraId="133B29CD" w14:textId="77777777" w:rsidR="00335619" w:rsidRPr="0023367D" w:rsidRDefault="00335619" w:rsidP="00335619">
            <w:pPr>
              <w:jc w:val="center"/>
              <w:rPr>
                <w:color w:val="000000"/>
                <w:sz w:val="19"/>
                <w:szCs w:val="19"/>
              </w:rPr>
            </w:pPr>
            <w:r w:rsidRPr="0023367D">
              <w:rPr>
                <w:color w:val="000000"/>
                <w:sz w:val="19"/>
                <w:szCs w:val="19"/>
              </w:rPr>
              <w:t>16.7%</w:t>
            </w:r>
          </w:p>
        </w:tc>
      </w:tr>
      <w:tr w:rsidR="00335619" w:rsidRPr="0023367D" w14:paraId="238CE9C4"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4812FD26" w14:textId="77777777" w:rsidR="00335619" w:rsidRPr="0023367D" w:rsidRDefault="00335619" w:rsidP="00335619">
            <w:pPr>
              <w:jc w:val="center"/>
              <w:rPr>
                <w:color w:val="000000"/>
                <w:sz w:val="19"/>
                <w:szCs w:val="19"/>
              </w:rPr>
            </w:pPr>
            <w:r w:rsidRPr="0023367D">
              <w:rPr>
                <w:bCs/>
                <w:color w:val="000000"/>
                <w:sz w:val="19"/>
                <w:szCs w:val="19"/>
                <w:lang w:bidi="he-IL"/>
              </w:rPr>
              <w:t>1996</w:t>
            </w:r>
          </w:p>
        </w:tc>
        <w:tc>
          <w:tcPr>
            <w:tcW w:w="1012" w:type="dxa"/>
            <w:tcBorders>
              <w:top w:val="nil"/>
              <w:left w:val="nil"/>
              <w:bottom w:val="single" w:sz="8" w:space="0" w:color="auto"/>
              <w:right w:val="single" w:sz="8" w:space="0" w:color="auto"/>
            </w:tcBorders>
            <w:shd w:val="clear" w:color="auto" w:fill="auto"/>
            <w:noWrap/>
            <w:vAlign w:val="center"/>
          </w:tcPr>
          <w:p w14:paraId="1B867F36" w14:textId="77777777" w:rsidR="00335619" w:rsidRPr="0023367D" w:rsidRDefault="00335619" w:rsidP="00335619">
            <w:pPr>
              <w:jc w:val="center"/>
              <w:rPr>
                <w:color w:val="000000"/>
                <w:sz w:val="19"/>
                <w:szCs w:val="19"/>
              </w:rPr>
            </w:pPr>
            <w:r w:rsidRPr="0023367D">
              <w:rPr>
                <w:color w:val="000000"/>
                <w:sz w:val="19"/>
                <w:szCs w:val="19"/>
              </w:rPr>
              <w:t>557</w:t>
            </w:r>
          </w:p>
        </w:tc>
        <w:tc>
          <w:tcPr>
            <w:tcW w:w="909" w:type="dxa"/>
            <w:tcBorders>
              <w:top w:val="nil"/>
              <w:left w:val="nil"/>
              <w:bottom w:val="single" w:sz="8" w:space="0" w:color="auto"/>
              <w:right w:val="single" w:sz="8" w:space="0" w:color="auto"/>
            </w:tcBorders>
            <w:shd w:val="clear" w:color="auto" w:fill="auto"/>
            <w:noWrap/>
            <w:vAlign w:val="center"/>
          </w:tcPr>
          <w:p w14:paraId="11CAFD62" w14:textId="77777777" w:rsidR="00335619" w:rsidRPr="0023367D" w:rsidRDefault="00335619" w:rsidP="00335619">
            <w:pPr>
              <w:jc w:val="center"/>
              <w:rPr>
                <w:color w:val="000000"/>
                <w:sz w:val="19"/>
                <w:szCs w:val="19"/>
              </w:rPr>
            </w:pPr>
            <w:r w:rsidRPr="0023367D">
              <w:rPr>
                <w:color w:val="000000"/>
                <w:sz w:val="19"/>
                <w:szCs w:val="19"/>
              </w:rPr>
              <w:t>17.2%</w:t>
            </w:r>
          </w:p>
        </w:tc>
        <w:tc>
          <w:tcPr>
            <w:tcW w:w="1067" w:type="dxa"/>
            <w:tcBorders>
              <w:top w:val="nil"/>
              <w:left w:val="nil"/>
              <w:bottom w:val="single" w:sz="8" w:space="0" w:color="auto"/>
              <w:right w:val="single" w:sz="8" w:space="0" w:color="auto"/>
            </w:tcBorders>
            <w:shd w:val="clear" w:color="auto" w:fill="auto"/>
            <w:vAlign w:val="center"/>
          </w:tcPr>
          <w:p w14:paraId="33674602" w14:textId="77777777" w:rsidR="00335619" w:rsidRPr="0023367D" w:rsidRDefault="00335619" w:rsidP="00335619">
            <w:pPr>
              <w:jc w:val="center"/>
              <w:rPr>
                <w:color w:val="000000"/>
                <w:sz w:val="19"/>
                <w:szCs w:val="19"/>
              </w:rPr>
            </w:pPr>
            <w:r w:rsidRPr="0023367D">
              <w:rPr>
                <w:color w:val="000000"/>
                <w:sz w:val="19"/>
                <w:szCs w:val="19"/>
              </w:rPr>
              <w:t>12.1%</w:t>
            </w:r>
          </w:p>
        </w:tc>
        <w:tc>
          <w:tcPr>
            <w:tcW w:w="1591" w:type="dxa"/>
            <w:tcBorders>
              <w:top w:val="nil"/>
              <w:left w:val="nil"/>
              <w:bottom w:val="single" w:sz="8" w:space="0" w:color="auto"/>
              <w:right w:val="single" w:sz="12" w:space="0" w:color="auto"/>
            </w:tcBorders>
            <w:vAlign w:val="center"/>
          </w:tcPr>
          <w:p w14:paraId="1BF5976A" w14:textId="77777777" w:rsidR="00335619" w:rsidRPr="0023367D" w:rsidRDefault="00335619" w:rsidP="00335619">
            <w:pPr>
              <w:jc w:val="center"/>
              <w:rPr>
                <w:color w:val="000000"/>
                <w:sz w:val="19"/>
                <w:szCs w:val="19"/>
              </w:rPr>
            </w:pPr>
            <w:r w:rsidRPr="0023367D">
              <w:rPr>
                <w:color w:val="000000"/>
                <w:sz w:val="19"/>
                <w:szCs w:val="19"/>
              </w:rPr>
              <w:t>10.5%</w:t>
            </w:r>
          </w:p>
        </w:tc>
        <w:tc>
          <w:tcPr>
            <w:tcW w:w="720" w:type="dxa"/>
            <w:tcBorders>
              <w:top w:val="nil"/>
              <w:left w:val="single" w:sz="12" w:space="0" w:color="auto"/>
              <w:bottom w:val="single" w:sz="8" w:space="0" w:color="auto"/>
              <w:right w:val="single" w:sz="8" w:space="0" w:color="auto"/>
            </w:tcBorders>
            <w:shd w:val="clear" w:color="auto" w:fill="auto"/>
            <w:vAlign w:val="center"/>
          </w:tcPr>
          <w:p w14:paraId="37BE8B6F" w14:textId="77777777" w:rsidR="00335619" w:rsidRPr="0023367D" w:rsidRDefault="00335619" w:rsidP="00335619">
            <w:pPr>
              <w:jc w:val="center"/>
              <w:rPr>
                <w:color w:val="000000"/>
                <w:sz w:val="19"/>
                <w:szCs w:val="19"/>
              </w:rPr>
            </w:pPr>
            <w:r w:rsidRPr="0023367D">
              <w:rPr>
                <w:color w:val="000000"/>
                <w:sz w:val="19"/>
                <w:szCs w:val="19"/>
              </w:rPr>
              <w:t>95</w:t>
            </w:r>
          </w:p>
        </w:tc>
        <w:tc>
          <w:tcPr>
            <w:tcW w:w="990" w:type="dxa"/>
            <w:tcBorders>
              <w:top w:val="nil"/>
              <w:left w:val="nil"/>
              <w:bottom w:val="single" w:sz="8" w:space="0" w:color="auto"/>
              <w:right w:val="single" w:sz="8" w:space="0" w:color="auto"/>
            </w:tcBorders>
            <w:shd w:val="clear" w:color="auto" w:fill="auto"/>
            <w:vAlign w:val="center"/>
          </w:tcPr>
          <w:p w14:paraId="23F7F792" w14:textId="77777777" w:rsidR="00335619" w:rsidRPr="0023367D" w:rsidRDefault="00335619" w:rsidP="00335619">
            <w:pPr>
              <w:jc w:val="center"/>
              <w:rPr>
                <w:color w:val="000000"/>
                <w:sz w:val="19"/>
                <w:szCs w:val="19"/>
              </w:rPr>
            </w:pPr>
            <w:r w:rsidRPr="0023367D">
              <w:rPr>
                <w:color w:val="000000"/>
                <w:sz w:val="19"/>
                <w:szCs w:val="19"/>
              </w:rPr>
              <w:t>42.8%</w:t>
            </w:r>
          </w:p>
        </w:tc>
        <w:tc>
          <w:tcPr>
            <w:tcW w:w="1006" w:type="dxa"/>
            <w:tcBorders>
              <w:top w:val="nil"/>
              <w:left w:val="nil"/>
              <w:bottom w:val="single" w:sz="8" w:space="0" w:color="auto"/>
              <w:right w:val="single" w:sz="8" w:space="0" w:color="auto"/>
            </w:tcBorders>
            <w:shd w:val="clear" w:color="auto" w:fill="auto"/>
            <w:vAlign w:val="center"/>
          </w:tcPr>
          <w:p w14:paraId="7AE15222" w14:textId="77777777" w:rsidR="00335619" w:rsidRPr="0023367D" w:rsidRDefault="00335619" w:rsidP="00335619">
            <w:pPr>
              <w:jc w:val="center"/>
              <w:rPr>
                <w:color w:val="000000"/>
                <w:sz w:val="19"/>
                <w:szCs w:val="19"/>
              </w:rPr>
            </w:pPr>
            <w:r w:rsidRPr="0023367D">
              <w:rPr>
                <w:color w:val="000000"/>
                <w:sz w:val="19"/>
                <w:szCs w:val="19"/>
              </w:rPr>
              <w:t>30.1%</w:t>
            </w:r>
          </w:p>
        </w:tc>
        <w:tc>
          <w:tcPr>
            <w:tcW w:w="1525" w:type="dxa"/>
            <w:gridSpan w:val="2"/>
            <w:tcBorders>
              <w:top w:val="nil"/>
              <w:left w:val="nil"/>
              <w:bottom w:val="single" w:sz="8" w:space="0" w:color="auto"/>
              <w:right w:val="single" w:sz="4" w:space="0" w:color="auto"/>
            </w:tcBorders>
            <w:shd w:val="clear" w:color="auto" w:fill="auto"/>
            <w:noWrap/>
            <w:vAlign w:val="center"/>
          </w:tcPr>
          <w:p w14:paraId="3118E81A" w14:textId="77777777" w:rsidR="00335619" w:rsidRPr="0023367D" w:rsidRDefault="00335619" w:rsidP="00335619">
            <w:pPr>
              <w:jc w:val="center"/>
              <w:rPr>
                <w:color w:val="000000"/>
                <w:sz w:val="19"/>
                <w:szCs w:val="19"/>
              </w:rPr>
            </w:pPr>
            <w:r w:rsidRPr="0023367D">
              <w:rPr>
                <w:color w:val="000000"/>
                <w:sz w:val="19"/>
                <w:szCs w:val="19"/>
              </w:rPr>
              <w:t>14.6%</w:t>
            </w:r>
          </w:p>
        </w:tc>
      </w:tr>
      <w:tr w:rsidR="00335619" w:rsidRPr="0023367D" w14:paraId="1A687F90"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6FF0C025" w14:textId="77777777" w:rsidR="00335619" w:rsidRPr="0023367D" w:rsidRDefault="00335619" w:rsidP="00335619">
            <w:pPr>
              <w:jc w:val="center"/>
              <w:rPr>
                <w:color w:val="000000"/>
                <w:sz w:val="19"/>
                <w:szCs w:val="19"/>
              </w:rPr>
            </w:pPr>
            <w:r w:rsidRPr="0023367D">
              <w:rPr>
                <w:bCs/>
                <w:color w:val="000000"/>
                <w:sz w:val="19"/>
                <w:szCs w:val="19"/>
                <w:lang w:bidi="he-IL"/>
              </w:rPr>
              <w:t>1997</w:t>
            </w:r>
          </w:p>
        </w:tc>
        <w:tc>
          <w:tcPr>
            <w:tcW w:w="1012" w:type="dxa"/>
            <w:tcBorders>
              <w:top w:val="nil"/>
              <w:left w:val="nil"/>
              <w:bottom w:val="single" w:sz="8" w:space="0" w:color="auto"/>
              <w:right w:val="single" w:sz="8" w:space="0" w:color="auto"/>
            </w:tcBorders>
            <w:shd w:val="clear" w:color="auto" w:fill="auto"/>
            <w:noWrap/>
            <w:vAlign w:val="center"/>
          </w:tcPr>
          <w:p w14:paraId="02083146" w14:textId="77777777" w:rsidR="00335619" w:rsidRPr="0023367D" w:rsidRDefault="00335619" w:rsidP="00335619">
            <w:pPr>
              <w:jc w:val="center"/>
              <w:rPr>
                <w:color w:val="000000"/>
                <w:sz w:val="19"/>
                <w:szCs w:val="19"/>
              </w:rPr>
            </w:pPr>
            <w:r w:rsidRPr="0023367D">
              <w:rPr>
                <w:color w:val="000000"/>
                <w:sz w:val="19"/>
                <w:szCs w:val="19"/>
              </w:rPr>
              <w:t>589</w:t>
            </w:r>
          </w:p>
        </w:tc>
        <w:tc>
          <w:tcPr>
            <w:tcW w:w="909" w:type="dxa"/>
            <w:tcBorders>
              <w:top w:val="nil"/>
              <w:left w:val="nil"/>
              <w:bottom w:val="single" w:sz="8" w:space="0" w:color="auto"/>
              <w:right w:val="single" w:sz="8" w:space="0" w:color="auto"/>
            </w:tcBorders>
            <w:shd w:val="clear" w:color="auto" w:fill="auto"/>
            <w:noWrap/>
            <w:vAlign w:val="center"/>
          </w:tcPr>
          <w:p w14:paraId="0F56F837" w14:textId="77777777" w:rsidR="00335619" w:rsidRPr="0023367D" w:rsidRDefault="00335619" w:rsidP="00335619">
            <w:pPr>
              <w:jc w:val="center"/>
              <w:rPr>
                <w:color w:val="000000"/>
                <w:sz w:val="19"/>
                <w:szCs w:val="19"/>
              </w:rPr>
            </w:pPr>
            <w:r w:rsidRPr="0023367D">
              <w:rPr>
                <w:color w:val="000000"/>
                <w:sz w:val="19"/>
                <w:szCs w:val="19"/>
              </w:rPr>
              <w:t>16.2%</w:t>
            </w:r>
          </w:p>
        </w:tc>
        <w:tc>
          <w:tcPr>
            <w:tcW w:w="1067" w:type="dxa"/>
            <w:tcBorders>
              <w:top w:val="nil"/>
              <w:left w:val="nil"/>
              <w:bottom w:val="single" w:sz="8" w:space="0" w:color="auto"/>
              <w:right w:val="single" w:sz="8" w:space="0" w:color="auto"/>
            </w:tcBorders>
            <w:shd w:val="clear" w:color="auto" w:fill="auto"/>
            <w:vAlign w:val="center"/>
          </w:tcPr>
          <w:p w14:paraId="167D08C9" w14:textId="77777777" w:rsidR="00335619" w:rsidRPr="0023367D" w:rsidRDefault="00335619" w:rsidP="00335619">
            <w:pPr>
              <w:jc w:val="center"/>
              <w:rPr>
                <w:color w:val="000000"/>
                <w:sz w:val="19"/>
                <w:szCs w:val="19"/>
              </w:rPr>
            </w:pPr>
            <w:r w:rsidRPr="0023367D">
              <w:rPr>
                <w:color w:val="000000"/>
                <w:sz w:val="19"/>
                <w:szCs w:val="19"/>
              </w:rPr>
              <w:t>11.6%</w:t>
            </w:r>
          </w:p>
        </w:tc>
        <w:tc>
          <w:tcPr>
            <w:tcW w:w="1591" w:type="dxa"/>
            <w:tcBorders>
              <w:top w:val="nil"/>
              <w:left w:val="nil"/>
              <w:bottom w:val="single" w:sz="8" w:space="0" w:color="auto"/>
              <w:right w:val="single" w:sz="12" w:space="0" w:color="auto"/>
            </w:tcBorders>
            <w:vAlign w:val="center"/>
          </w:tcPr>
          <w:p w14:paraId="55C6D757" w14:textId="77777777" w:rsidR="00335619" w:rsidRPr="0023367D" w:rsidRDefault="00335619" w:rsidP="00335619">
            <w:pPr>
              <w:jc w:val="center"/>
              <w:rPr>
                <w:color w:val="000000"/>
                <w:sz w:val="19"/>
                <w:szCs w:val="19"/>
              </w:rPr>
            </w:pPr>
            <w:r w:rsidRPr="0023367D">
              <w:rPr>
                <w:color w:val="000000"/>
                <w:sz w:val="19"/>
                <w:szCs w:val="19"/>
              </w:rPr>
              <w:t>9.8%</w:t>
            </w:r>
          </w:p>
        </w:tc>
        <w:tc>
          <w:tcPr>
            <w:tcW w:w="720" w:type="dxa"/>
            <w:tcBorders>
              <w:top w:val="nil"/>
              <w:left w:val="single" w:sz="12" w:space="0" w:color="auto"/>
              <w:bottom w:val="single" w:sz="8" w:space="0" w:color="auto"/>
              <w:right w:val="single" w:sz="8" w:space="0" w:color="auto"/>
            </w:tcBorders>
            <w:shd w:val="clear" w:color="auto" w:fill="auto"/>
            <w:vAlign w:val="center"/>
          </w:tcPr>
          <w:p w14:paraId="48401A05" w14:textId="77777777" w:rsidR="00335619" w:rsidRPr="0023367D" w:rsidRDefault="00335619" w:rsidP="00335619">
            <w:pPr>
              <w:jc w:val="center"/>
              <w:rPr>
                <w:color w:val="000000"/>
                <w:sz w:val="19"/>
                <w:szCs w:val="19"/>
              </w:rPr>
            </w:pPr>
            <w:r w:rsidRPr="0023367D">
              <w:rPr>
                <w:color w:val="000000"/>
                <w:sz w:val="19"/>
                <w:szCs w:val="19"/>
              </w:rPr>
              <w:t>109</w:t>
            </w:r>
          </w:p>
        </w:tc>
        <w:tc>
          <w:tcPr>
            <w:tcW w:w="990" w:type="dxa"/>
            <w:tcBorders>
              <w:top w:val="nil"/>
              <w:left w:val="nil"/>
              <w:bottom w:val="single" w:sz="8" w:space="0" w:color="auto"/>
              <w:right w:val="single" w:sz="8" w:space="0" w:color="auto"/>
            </w:tcBorders>
            <w:shd w:val="clear" w:color="auto" w:fill="auto"/>
            <w:vAlign w:val="center"/>
          </w:tcPr>
          <w:p w14:paraId="5E32FD7E" w14:textId="77777777" w:rsidR="00335619" w:rsidRPr="0023367D" w:rsidRDefault="00335619" w:rsidP="00335619">
            <w:pPr>
              <w:jc w:val="center"/>
              <w:rPr>
                <w:color w:val="000000"/>
                <w:sz w:val="19"/>
                <w:szCs w:val="19"/>
              </w:rPr>
            </w:pPr>
            <w:r w:rsidRPr="0023367D">
              <w:rPr>
                <w:color w:val="000000"/>
                <w:sz w:val="19"/>
                <w:szCs w:val="19"/>
              </w:rPr>
              <w:t>36.0%</w:t>
            </w:r>
          </w:p>
        </w:tc>
        <w:tc>
          <w:tcPr>
            <w:tcW w:w="1006" w:type="dxa"/>
            <w:tcBorders>
              <w:top w:val="nil"/>
              <w:left w:val="nil"/>
              <w:bottom w:val="single" w:sz="8" w:space="0" w:color="auto"/>
              <w:right w:val="single" w:sz="8" w:space="0" w:color="auto"/>
            </w:tcBorders>
            <w:shd w:val="clear" w:color="auto" w:fill="auto"/>
            <w:vAlign w:val="center"/>
          </w:tcPr>
          <w:p w14:paraId="6533B625" w14:textId="77777777" w:rsidR="00335619" w:rsidRPr="0023367D" w:rsidRDefault="00335619" w:rsidP="00335619">
            <w:pPr>
              <w:jc w:val="center"/>
              <w:rPr>
                <w:color w:val="000000"/>
                <w:sz w:val="19"/>
                <w:szCs w:val="19"/>
              </w:rPr>
            </w:pPr>
            <w:r w:rsidRPr="0023367D">
              <w:rPr>
                <w:color w:val="000000"/>
                <w:sz w:val="19"/>
                <w:szCs w:val="19"/>
              </w:rPr>
              <w:t>22.9%</w:t>
            </w:r>
          </w:p>
        </w:tc>
        <w:tc>
          <w:tcPr>
            <w:tcW w:w="1525" w:type="dxa"/>
            <w:gridSpan w:val="2"/>
            <w:tcBorders>
              <w:top w:val="nil"/>
              <w:left w:val="nil"/>
              <w:bottom w:val="single" w:sz="8" w:space="0" w:color="auto"/>
              <w:right w:val="single" w:sz="4" w:space="0" w:color="auto"/>
            </w:tcBorders>
            <w:shd w:val="clear" w:color="auto" w:fill="auto"/>
            <w:noWrap/>
            <w:vAlign w:val="center"/>
          </w:tcPr>
          <w:p w14:paraId="0BDF8E73" w14:textId="77777777" w:rsidR="00335619" w:rsidRPr="0023367D" w:rsidRDefault="00335619" w:rsidP="00335619">
            <w:pPr>
              <w:jc w:val="center"/>
              <w:rPr>
                <w:color w:val="000000"/>
                <w:sz w:val="19"/>
                <w:szCs w:val="19"/>
              </w:rPr>
            </w:pPr>
            <w:r w:rsidRPr="0023367D">
              <w:rPr>
                <w:color w:val="000000"/>
                <w:sz w:val="19"/>
                <w:szCs w:val="19"/>
              </w:rPr>
              <w:t>12.2%</w:t>
            </w:r>
          </w:p>
        </w:tc>
      </w:tr>
      <w:tr w:rsidR="00335619" w:rsidRPr="0023367D" w14:paraId="5A583907"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35F26A1D" w14:textId="77777777" w:rsidR="00335619" w:rsidRPr="0023367D" w:rsidRDefault="00335619" w:rsidP="00335619">
            <w:pPr>
              <w:jc w:val="center"/>
              <w:rPr>
                <w:color w:val="000000"/>
                <w:sz w:val="19"/>
                <w:szCs w:val="19"/>
              </w:rPr>
            </w:pPr>
            <w:r w:rsidRPr="0023367D">
              <w:rPr>
                <w:bCs/>
                <w:color w:val="000000"/>
                <w:sz w:val="19"/>
                <w:szCs w:val="19"/>
                <w:lang w:bidi="he-IL"/>
              </w:rPr>
              <w:t>1998</w:t>
            </w:r>
          </w:p>
        </w:tc>
        <w:tc>
          <w:tcPr>
            <w:tcW w:w="1012" w:type="dxa"/>
            <w:tcBorders>
              <w:top w:val="nil"/>
              <w:left w:val="nil"/>
              <w:bottom w:val="single" w:sz="8" w:space="0" w:color="auto"/>
              <w:right w:val="single" w:sz="8" w:space="0" w:color="auto"/>
            </w:tcBorders>
            <w:shd w:val="clear" w:color="auto" w:fill="auto"/>
            <w:noWrap/>
            <w:vAlign w:val="center"/>
          </w:tcPr>
          <w:p w14:paraId="2FDDBA38" w14:textId="77777777" w:rsidR="00335619" w:rsidRPr="0023367D" w:rsidRDefault="00335619" w:rsidP="00335619">
            <w:pPr>
              <w:jc w:val="center"/>
              <w:rPr>
                <w:color w:val="000000"/>
                <w:sz w:val="19"/>
                <w:szCs w:val="19"/>
              </w:rPr>
            </w:pPr>
            <w:r w:rsidRPr="0023367D">
              <w:rPr>
                <w:color w:val="000000"/>
                <w:sz w:val="19"/>
                <w:szCs w:val="19"/>
              </w:rPr>
              <w:t>668</w:t>
            </w:r>
          </w:p>
        </w:tc>
        <w:tc>
          <w:tcPr>
            <w:tcW w:w="909" w:type="dxa"/>
            <w:tcBorders>
              <w:top w:val="nil"/>
              <w:left w:val="nil"/>
              <w:bottom w:val="single" w:sz="8" w:space="0" w:color="auto"/>
              <w:right w:val="single" w:sz="8" w:space="0" w:color="auto"/>
            </w:tcBorders>
            <w:shd w:val="clear" w:color="auto" w:fill="auto"/>
            <w:noWrap/>
            <w:vAlign w:val="center"/>
          </w:tcPr>
          <w:p w14:paraId="683DCE75" w14:textId="77777777" w:rsidR="00335619" w:rsidRPr="0023367D" w:rsidRDefault="00335619" w:rsidP="00335619">
            <w:pPr>
              <w:jc w:val="center"/>
              <w:rPr>
                <w:color w:val="000000"/>
                <w:sz w:val="19"/>
                <w:szCs w:val="19"/>
              </w:rPr>
            </w:pPr>
            <w:r w:rsidRPr="0023367D">
              <w:rPr>
                <w:color w:val="000000"/>
                <w:sz w:val="19"/>
                <w:szCs w:val="19"/>
              </w:rPr>
              <w:t>19.3%</w:t>
            </w:r>
          </w:p>
        </w:tc>
        <w:tc>
          <w:tcPr>
            <w:tcW w:w="1067" w:type="dxa"/>
            <w:tcBorders>
              <w:top w:val="nil"/>
              <w:left w:val="nil"/>
              <w:bottom w:val="single" w:sz="8" w:space="0" w:color="auto"/>
              <w:right w:val="single" w:sz="8" w:space="0" w:color="auto"/>
            </w:tcBorders>
            <w:shd w:val="clear" w:color="auto" w:fill="auto"/>
            <w:vAlign w:val="center"/>
          </w:tcPr>
          <w:p w14:paraId="26264FB9" w14:textId="77777777" w:rsidR="00335619" w:rsidRPr="0023367D" w:rsidRDefault="00335619" w:rsidP="00335619">
            <w:pPr>
              <w:jc w:val="center"/>
              <w:rPr>
                <w:color w:val="000000"/>
                <w:sz w:val="19"/>
                <w:szCs w:val="19"/>
              </w:rPr>
            </w:pPr>
            <w:r w:rsidRPr="0023367D">
              <w:rPr>
                <w:color w:val="000000"/>
                <w:sz w:val="19"/>
                <w:szCs w:val="19"/>
              </w:rPr>
              <w:t>12.5%</w:t>
            </w:r>
          </w:p>
        </w:tc>
        <w:tc>
          <w:tcPr>
            <w:tcW w:w="1591" w:type="dxa"/>
            <w:tcBorders>
              <w:top w:val="nil"/>
              <w:left w:val="nil"/>
              <w:bottom w:val="single" w:sz="8" w:space="0" w:color="auto"/>
              <w:right w:val="single" w:sz="12" w:space="0" w:color="auto"/>
            </w:tcBorders>
            <w:vAlign w:val="center"/>
          </w:tcPr>
          <w:p w14:paraId="26CD314B" w14:textId="77777777" w:rsidR="00335619" w:rsidRPr="0023367D" w:rsidRDefault="00335619" w:rsidP="00335619">
            <w:pPr>
              <w:jc w:val="center"/>
              <w:rPr>
                <w:color w:val="000000"/>
                <w:sz w:val="19"/>
                <w:szCs w:val="19"/>
              </w:rPr>
            </w:pPr>
            <w:r w:rsidRPr="0023367D">
              <w:rPr>
                <w:color w:val="000000"/>
                <w:sz w:val="19"/>
                <w:szCs w:val="19"/>
              </w:rPr>
              <w:t>11.6%</w:t>
            </w:r>
          </w:p>
        </w:tc>
        <w:tc>
          <w:tcPr>
            <w:tcW w:w="720" w:type="dxa"/>
            <w:tcBorders>
              <w:top w:val="nil"/>
              <w:left w:val="single" w:sz="12" w:space="0" w:color="auto"/>
              <w:bottom w:val="single" w:sz="8" w:space="0" w:color="auto"/>
              <w:right w:val="single" w:sz="8" w:space="0" w:color="auto"/>
            </w:tcBorders>
            <w:shd w:val="clear" w:color="auto" w:fill="auto"/>
            <w:vAlign w:val="center"/>
          </w:tcPr>
          <w:p w14:paraId="28E8CFDB" w14:textId="77777777" w:rsidR="00335619" w:rsidRPr="0023367D" w:rsidRDefault="00335619" w:rsidP="00335619">
            <w:pPr>
              <w:jc w:val="center"/>
              <w:rPr>
                <w:color w:val="000000"/>
                <w:sz w:val="19"/>
                <w:szCs w:val="19"/>
              </w:rPr>
            </w:pPr>
            <w:r w:rsidRPr="0023367D">
              <w:rPr>
                <w:color w:val="000000"/>
                <w:sz w:val="19"/>
                <w:szCs w:val="19"/>
              </w:rPr>
              <w:t>172</w:t>
            </w:r>
          </w:p>
        </w:tc>
        <w:tc>
          <w:tcPr>
            <w:tcW w:w="990" w:type="dxa"/>
            <w:tcBorders>
              <w:top w:val="nil"/>
              <w:left w:val="nil"/>
              <w:bottom w:val="single" w:sz="8" w:space="0" w:color="auto"/>
              <w:right w:val="single" w:sz="8" w:space="0" w:color="auto"/>
            </w:tcBorders>
            <w:shd w:val="clear" w:color="auto" w:fill="auto"/>
            <w:vAlign w:val="center"/>
          </w:tcPr>
          <w:p w14:paraId="067AD496" w14:textId="77777777" w:rsidR="00335619" w:rsidRPr="0023367D" w:rsidRDefault="00335619" w:rsidP="00335619">
            <w:pPr>
              <w:jc w:val="center"/>
              <w:rPr>
                <w:color w:val="000000"/>
                <w:sz w:val="19"/>
                <w:szCs w:val="19"/>
              </w:rPr>
            </w:pPr>
            <w:r w:rsidRPr="0023367D">
              <w:rPr>
                <w:color w:val="000000"/>
                <w:sz w:val="19"/>
                <w:szCs w:val="19"/>
              </w:rPr>
              <w:t>36.7%</w:t>
            </w:r>
          </w:p>
        </w:tc>
        <w:tc>
          <w:tcPr>
            <w:tcW w:w="1006" w:type="dxa"/>
            <w:tcBorders>
              <w:top w:val="nil"/>
              <w:left w:val="nil"/>
              <w:bottom w:val="single" w:sz="8" w:space="0" w:color="auto"/>
              <w:right w:val="single" w:sz="8" w:space="0" w:color="auto"/>
            </w:tcBorders>
            <w:shd w:val="clear" w:color="auto" w:fill="auto"/>
            <w:vAlign w:val="center"/>
          </w:tcPr>
          <w:p w14:paraId="313A31AB" w14:textId="77777777" w:rsidR="00335619" w:rsidRPr="0023367D" w:rsidRDefault="00335619" w:rsidP="00335619">
            <w:pPr>
              <w:jc w:val="center"/>
              <w:rPr>
                <w:color w:val="000000"/>
                <w:sz w:val="19"/>
                <w:szCs w:val="19"/>
              </w:rPr>
            </w:pPr>
            <w:r w:rsidRPr="0023367D">
              <w:rPr>
                <w:color w:val="000000"/>
                <w:sz w:val="19"/>
                <w:szCs w:val="19"/>
              </w:rPr>
              <w:t>20.2%</w:t>
            </w:r>
          </w:p>
        </w:tc>
        <w:tc>
          <w:tcPr>
            <w:tcW w:w="1525" w:type="dxa"/>
            <w:gridSpan w:val="2"/>
            <w:tcBorders>
              <w:top w:val="nil"/>
              <w:left w:val="nil"/>
              <w:bottom w:val="single" w:sz="8" w:space="0" w:color="auto"/>
              <w:right w:val="single" w:sz="4" w:space="0" w:color="auto"/>
            </w:tcBorders>
            <w:shd w:val="clear" w:color="auto" w:fill="auto"/>
            <w:noWrap/>
            <w:vAlign w:val="center"/>
          </w:tcPr>
          <w:p w14:paraId="20904949" w14:textId="77777777" w:rsidR="00335619" w:rsidRPr="0023367D" w:rsidRDefault="00335619" w:rsidP="00335619">
            <w:pPr>
              <w:jc w:val="center"/>
              <w:rPr>
                <w:color w:val="000000"/>
                <w:sz w:val="19"/>
                <w:szCs w:val="19"/>
              </w:rPr>
            </w:pPr>
            <w:r w:rsidRPr="0023367D">
              <w:rPr>
                <w:color w:val="000000"/>
                <w:sz w:val="19"/>
                <w:szCs w:val="19"/>
              </w:rPr>
              <w:t>16.3%</w:t>
            </w:r>
          </w:p>
        </w:tc>
      </w:tr>
      <w:tr w:rsidR="00335619" w:rsidRPr="0023367D" w14:paraId="4E1489E3"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0590B4A3" w14:textId="77777777" w:rsidR="00335619" w:rsidRPr="0023367D" w:rsidRDefault="00335619" w:rsidP="00335619">
            <w:pPr>
              <w:jc w:val="center"/>
              <w:rPr>
                <w:color w:val="000000"/>
                <w:sz w:val="19"/>
                <w:szCs w:val="19"/>
              </w:rPr>
            </w:pPr>
            <w:r w:rsidRPr="0023367D">
              <w:rPr>
                <w:bCs/>
                <w:color w:val="000000"/>
                <w:sz w:val="19"/>
                <w:szCs w:val="19"/>
                <w:lang w:bidi="he-IL"/>
              </w:rPr>
              <w:t>1999</w:t>
            </w:r>
          </w:p>
        </w:tc>
        <w:tc>
          <w:tcPr>
            <w:tcW w:w="1012" w:type="dxa"/>
            <w:tcBorders>
              <w:top w:val="nil"/>
              <w:left w:val="nil"/>
              <w:bottom w:val="single" w:sz="8" w:space="0" w:color="auto"/>
              <w:right w:val="single" w:sz="8" w:space="0" w:color="auto"/>
            </w:tcBorders>
            <w:shd w:val="clear" w:color="auto" w:fill="auto"/>
            <w:noWrap/>
            <w:vAlign w:val="center"/>
          </w:tcPr>
          <w:p w14:paraId="1B6E84B1" w14:textId="77777777" w:rsidR="00335619" w:rsidRPr="0023367D" w:rsidRDefault="00335619" w:rsidP="00335619">
            <w:pPr>
              <w:jc w:val="center"/>
              <w:rPr>
                <w:color w:val="000000"/>
                <w:sz w:val="19"/>
                <w:szCs w:val="19"/>
              </w:rPr>
            </w:pPr>
            <w:r w:rsidRPr="0023367D">
              <w:rPr>
                <w:color w:val="000000"/>
                <w:sz w:val="19"/>
                <w:szCs w:val="19"/>
              </w:rPr>
              <w:t>720</w:t>
            </w:r>
          </w:p>
        </w:tc>
        <w:tc>
          <w:tcPr>
            <w:tcW w:w="909" w:type="dxa"/>
            <w:tcBorders>
              <w:top w:val="nil"/>
              <w:left w:val="nil"/>
              <w:bottom w:val="single" w:sz="8" w:space="0" w:color="auto"/>
              <w:right w:val="single" w:sz="8" w:space="0" w:color="auto"/>
            </w:tcBorders>
            <w:shd w:val="clear" w:color="auto" w:fill="auto"/>
            <w:noWrap/>
            <w:vAlign w:val="center"/>
          </w:tcPr>
          <w:p w14:paraId="79E54BF8" w14:textId="77777777" w:rsidR="00335619" w:rsidRPr="0023367D" w:rsidRDefault="00335619" w:rsidP="00335619">
            <w:pPr>
              <w:jc w:val="center"/>
              <w:rPr>
                <w:color w:val="000000"/>
                <w:sz w:val="19"/>
                <w:szCs w:val="19"/>
              </w:rPr>
            </w:pPr>
            <w:r w:rsidRPr="0023367D">
              <w:rPr>
                <w:color w:val="000000"/>
                <w:sz w:val="19"/>
                <w:szCs w:val="19"/>
              </w:rPr>
              <w:t>20.1%</w:t>
            </w:r>
          </w:p>
        </w:tc>
        <w:tc>
          <w:tcPr>
            <w:tcW w:w="1067" w:type="dxa"/>
            <w:tcBorders>
              <w:top w:val="nil"/>
              <w:left w:val="nil"/>
              <w:bottom w:val="single" w:sz="8" w:space="0" w:color="auto"/>
              <w:right w:val="single" w:sz="8" w:space="0" w:color="auto"/>
            </w:tcBorders>
            <w:shd w:val="clear" w:color="auto" w:fill="auto"/>
            <w:vAlign w:val="center"/>
          </w:tcPr>
          <w:p w14:paraId="6CA068D8" w14:textId="77777777" w:rsidR="00335619" w:rsidRPr="0023367D" w:rsidRDefault="00335619" w:rsidP="00335619">
            <w:pPr>
              <w:jc w:val="center"/>
              <w:rPr>
                <w:color w:val="000000"/>
                <w:sz w:val="19"/>
                <w:szCs w:val="19"/>
              </w:rPr>
            </w:pPr>
            <w:r w:rsidRPr="0023367D">
              <w:rPr>
                <w:color w:val="000000"/>
                <w:sz w:val="19"/>
                <w:szCs w:val="19"/>
              </w:rPr>
              <w:t>11.5%</w:t>
            </w:r>
          </w:p>
        </w:tc>
        <w:tc>
          <w:tcPr>
            <w:tcW w:w="1591" w:type="dxa"/>
            <w:tcBorders>
              <w:top w:val="nil"/>
              <w:left w:val="nil"/>
              <w:bottom w:val="single" w:sz="8" w:space="0" w:color="auto"/>
              <w:right w:val="single" w:sz="12" w:space="0" w:color="auto"/>
            </w:tcBorders>
            <w:vAlign w:val="center"/>
          </w:tcPr>
          <w:p w14:paraId="60E31B21" w14:textId="77777777" w:rsidR="00335619" w:rsidRPr="0023367D" w:rsidRDefault="00335619" w:rsidP="00335619">
            <w:pPr>
              <w:jc w:val="center"/>
              <w:rPr>
                <w:color w:val="000000"/>
                <w:sz w:val="19"/>
                <w:szCs w:val="19"/>
              </w:rPr>
            </w:pPr>
            <w:r w:rsidRPr="0023367D">
              <w:rPr>
                <w:color w:val="000000"/>
                <w:sz w:val="19"/>
                <w:szCs w:val="19"/>
              </w:rPr>
              <w:t>9.3%</w:t>
            </w:r>
          </w:p>
        </w:tc>
        <w:tc>
          <w:tcPr>
            <w:tcW w:w="720" w:type="dxa"/>
            <w:tcBorders>
              <w:top w:val="nil"/>
              <w:left w:val="single" w:sz="12" w:space="0" w:color="auto"/>
              <w:bottom w:val="single" w:sz="8" w:space="0" w:color="auto"/>
              <w:right w:val="single" w:sz="8" w:space="0" w:color="auto"/>
            </w:tcBorders>
            <w:shd w:val="clear" w:color="auto" w:fill="auto"/>
            <w:vAlign w:val="center"/>
          </w:tcPr>
          <w:p w14:paraId="0394BA27" w14:textId="77777777" w:rsidR="00335619" w:rsidRPr="0023367D" w:rsidRDefault="00335619" w:rsidP="00335619">
            <w:pPr>
              <w:jc w:val="center"/>
              <w:rPr>
                <w:color w:val="000000"/>
                <w:sz w:val="19"/>
                <w:szCs w:val="19"/>
              </w:rPr>
            </w:pPr>
            <w:r w:rsidRPr="0023367D">
              <w:rPr>
                <w:color w:val="000000"/>
                <w:sz w:val="19"/>
                <w:szCs w:val="19"/>
              </w:rPr>
              <w:t>239</w:t>
            </w:r>
          </w:p>
        </w:tc>
        <w:tc>
          <w:tcPr>
            <w:tcW w:w="990" w:type="dxa"/>
            <w:tcBorders>
              <w:top w:val="nil"/>
              <w:left w:val="nil"/>
              <w:bottom w:val="single" w:sz="8" w:space="0" w:color="auto"/>
              <w:right w:val="single" w:sz="8" w:space="0" w:color="auto"/>
            </w:tcBorders>
            <w:shd w:val="clear" w:color="auto" w:fill="auto"/>
            <w:vAlign w:val="center"/>
          </w:tcPr>
          <w:p w14:paraId="7BB612A0" w14:textId="77777777" w:rsidR="00335619" w:rsidRPr="0023367D" w:rsidRDefault="00335619" w:rsidP="00335619">
            <w:pPr>
              <w:jc w:val="center"/>
              <w:rPr>
                <w:color w:val="000000"/>
                <w:sz w:val="19"/>
                <w:szCs w:val="19"/>
              </w:rPr>
            </w:pPr>
            <w:r w:rsidRPr="0023367D">
              <w:rPr>
                <w:color w:val="000000"/>
                <w:sz w:val="19"/>
                <w:szCs w:val="19"/>
              </w:rPr>
              <w:t>34.6%</w:t>
            </w:r>
          </w:p>
        </w:tc>
        <w:tc>
          <w:tcPr>
            <w:tcW w:w="1006" w:type="dxa"/>
            <w:tcBorders>
              <w:top w:val="nil"/>
              <w:left w:val="nil"/>
              <w:bottom w:val="single" w:sz="8" w:space="0" w:color="auto"/>
              <w:right w:val="single" w:sz="8" w:space="0" w:color="auto"/>
            </w:tcBorders>
            <w:shd w:val="clear" w:color="auto" w:fill="auto"/>
            <w:vAlign w:val="center"/>
          </w:tcPr>
          <w:p w14:paraId="12F587A1" w14:textId="77777777" w:rsidR="00335619" w:rsidRPr="0023367D" w:rsidRDefault="00335619" w:rsidP="00335619">
            <w:pPr>
              <w:jc w:val="center"/>
              <w:rPr>
                <w:color w:val="000000"/>
                <w:sz w:val="19"/>
                <w:szCs w:val="19"/>
              </w:rPr>
            </w:pPr>
            <w:r w:rsidRPr="0023367D">
              <w:rPr>
                <w:color w:val="000000"/>
                <w:sz w:val="19"/>
                <w:szCs w:val="19"/>
              </w:rPr>
              <w:t>17.1%</w:t>
            </w:r>
          </w:p>
        </w:tc>
        <w:tc>
          <w:tcPr>
            <w:tcW w:w="1525" w:type="dxa"/>
            <w:gridSpan w:val="2"/>
            <w:tcBorders>
              <w:top w:val="nil"/>
              <w:left w:val="nil"/>
              <w:bottom w:val="single" w:sz="8" w:space="0" w:color="auto"/>
              <w:right w:val="single" w:sz="4" w:space="0" w:color="auto"/>
            </w:tcBorders>
            <w:shd w:val="clear" w:color="auto" w:fill="auto"/>
            <w:noWrap/>
            <w:vAlign w:val="center"/>
          </w:tcPr>
          <w:p w14:paraId="7060D692" w14:textId="77777777" w:rsidR="00335619" w:rsidRPr="0023367D" w:rsidRDefault="00335619" w:rsidP="00335619">
            <w:pPr>
              <w:jc w:val="center"/>
              <w:rPr>
                <w:color w:val="000000"/>
                <w:sz w:val="19"/>
                <w:szCs w:val="19"/>
              </w:rPr>
            </w:pPr>
            <w:r w:rsidRPr="0023367D">
              <w:rPr>
                <w:color w:val="000000"/>
                <w:sz w:val="19"/>
                <w:szCs w:val="19"/>
              </w:rPr>
              <w:t>13.4%</w:t>
            </w:r>
          </w:p>
        </w:tc>
      </w:tr>
      <w:tr w:rsidR="00335619" w:rsidRPr="0023367D" w14:paraId="789DF777"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04FAA435" w14:textId="77777777" w:rsidR="00335619" w:rsidRPr="0023367D" w:rsidRDefault="00335619" w:rsidP="00335619">
            <w:pPr>
              <w:jc w:val="center"/>
              <w:rPr>
                <w:color w:val="000000"/>
                <w:sz w:val="19"/>
                <w:szCs w:val="19"/>
              </w:rPr>
            </w:pPr>
            <w:r w:rsidRPr="0023367D">
              <w:rPr>
                <w:bCs/>
                <w:color w:val="000000"/>
                <w:sz w:val="19"/>
                <w:szCs w:val="19"/>
                <w:lang w:bidi="he-IL"/>
              </w:rPr>
              <w:t>2000</w:t>
            </w:r>
          </w:p>
        </w:tc>
        <w:tc>
          <w:tcPr>
            <w:tcW w:w="1012" w:type="dxa"/>
            <w:tcBorders>
              <w:top w:val="nil"/>
              <w:left w:val="nil"/>
              <w:bottom w:val="single" w:sz="8" w:space="0" w:color="auto"/>
              <w:right w:val="single" w:sz="8" w:space="0" w:color="auto"/>
            </w:tcBorders>
            <w:shd w:val="clear" w:color="auto" w:fill="auto"/>
            <w:noWrap/>
            <w:vAlign w:val="center"/>
          </w:tcPr>
          <w:p w14:paraId="1E7A3775" w14:textId="77777777" w:rsidR="00335619" w:rsidRPr="0023367D" w:rsidRDefault="00335619" w:rsidP="00335619">
            <w:pPr>
              <w:jc w:val="center"/>
              <w:rPr>
                <w:color w:val="000000"/>
                <w:sz w:val="19"/>
                <w:szCs w:val="19"/>
              </w:rPr>
            </w:pPr>
            <w:r w:rsidRPr="0023367D">
              <w:rPr>
                <w:color w:val="000000"/>
                <w:sz w:val="19"/>
                <w:szCs w:val="19"/>
              </w:rPr>
              <w:t>742</w:t>
            </w:r>
          </w:p>
        </w:tc>
        <w:tc>
          <w:tcPr>
            <w:tcW w:w="909" w:type="dxa"/>
            <w:tcBorders>
              <w:top w:val="nil"/>
              <w:left w:val="nil"/>
              <w:bottom w:val="single" w:sz="8" w:space="0" w:color="auto"/>
              <w:right w:val="single" w:sz="8" w:space="0" w:color="auto"/>
            </w:tcBorders>
            <w:shd w:val="clear" w:color="auto" w:fill="auto"/>
            <w:noWrap/>
            <w:vAlign w:val="center"/>
          </w:tcPr>
          <w:p w14:paraId="51AE51CE" w14:textId="77777777" w:rsidR="00335619" w:rsidRPr="0023367D" w:rsidRDefault="00335619" w:rsidP="00335619">
            <w:pPr>
              <w:jc w:val="center"/>
              <w:rPr>
                <w:color w:val="000000"/>
                <w:sz w:val="19"/>
                <w:szCs w:val="19"/>
              </w:rPr>
            </w:pPr>
            <w:r w:rsidRPr="0023367D">
              <w:rPr>
                <w:color w:val="000000"/>
                <w:sz w:val="19"/>
                <w:szCs w:val="19"/>
              </w:rPr>
              <w:t>20.5%</w:t>
            </w:r>
          </w:p>
        </w:tc>
        <w:tc>
          <w:tcPr>
            <w:tcW w:w="1067" w:type="dxa"/>
            <w:tcBorders>
              <w:top w:val="nil"/>
              <w:left w:val="nil"/>
              <w:bottom w:val="single" w:sz="8" w:space="0" w:color="auto"/>
              <w:right w:val="single" w:sz="8" w:space="0" w:color="auto"/>
            </w:tcBorders>
            <w:shd w:val="clear" w:color="auto" w:fill="auto"/>
            <w:vAlign w:val="center"/>
          </w:tcPr>
          <w:p w14:paraId="27851E8F" w14:textId="77777777" w:rsidR="00335619" w:rsidRPr="0023367D" w:rsidRDefault="00335619" w:rsidP="00335619">
            <w:pPr>
              <w:jc w:val="center"/>
              <w:rPr>
                <w:color w:val="000000"/>
                <w:sz w:val="19"/>
                <w:szCs w:val="19"/>
              </w:rPr>
            </w:pPr>
            <w:r w:rsidRPr="0023367D">
              <w:rPr>
                <w:color w:val="000000"/>
                <w:sz w:val="19"/>
                <w:szCs w:val="19"/>
              </w:rPr>
              <w:t>9.9%</w:t>
            </w:r>
          </w:p>
        </w:tc>
        <w:tc>
          <w:tcPr>
            <w:tcW w:w="1591" w:type="dxa"/>
            <w:tcBorders>
              <w:top w:val="nil"/>
              <w:left w:val="nil"/>
              <w:bottom w:val="single" w:sz="8" w:space="0" w:color="auto"/>
              <w:right w:val="single" w:sz="12" w:space="0" w:color="auto"/>
            </w:tcBorders>
            <w:vAlign w:val="center"/>
          </w:tcPr>
          <w:p w14:paraId="38F21BCE" w14:textId="77777777" w:rsidR="00335619" w:rsidRPr="0023367D" w:rsidRDefault="00335619" w:rsidP="00335619">
            <w:pPr>
              <w:jc w:val="center"/>
              <w:rPr>
                <w:color w:val="000000"/>
                <w:sz w:val="19"/>
                <w:szCs w:val="19"/>
              </w:rPr>
            </w:pPr>
            <w:r w:rsidRPr="0023367D">
              <w:rPr>
                <w:color w:val="000000"/>
                <w:sz w:val="19"/>
                <w:szCs w:val="19"/>
              </w:rPr>
              <w:t>12.5%</w:t>
            </w:r>
          </w:p>
        </w:tc>
        <w:tc>
          <w:tcPr>
            <w:tcW w:w="720" w:type="dxa"/>
            <w:tcBorders>
              <w:top w:val="nil"/>
              <w:left w:val="single" w:sz="12" w:space="0" w:color="auto"/>
              <w:bottom w:val="single" w:sz="8" w:space="0" w:color="auto"/>
              <w:right w:val="single" w:sz="8" w:space="0" w:color="auto"/>
            </w:tcBorders>
            <w:shd w:val="clear" w:color="auto" w:fill="auto"/>
            <w:vAlign w:val="center"/>
          </w:tcPr>
          <w:p w14:paraId="3B218F18" w14:textId="77777777" w:rsidR="00335619" w:rsidRPr="0023367D" w:rsidRDefault="00335619" w:rsidP="00335619">
            <w:pPr>
              <w:jc w:val="center"/>
              <w:rPr>
                <w:color w:val="000000"/>
                <w:sz w:val="19"/>
                <w:szCs w:val="19"/>
              </w:rPr>
            </w:pPr>
            <w:r w:rsidRPr="0023367D">
              <w:rPr>
                <w:color w:val="000000"/>
                <w:sz w:val="19"/>
                <w:szCs w:val="19"/>
              </w:rPr>
              <w:t>230</w:t>
            </w:r>
          </w:p>
        </w:tc>
        <w:tc>
          <w:tcPr>
            <w:tcW w:w="990" w:type="dxa"/>
            <w:tcBorders>
              <w:top w:val="nil"/>
              <w:left w:val="nil"/>
              <w:bottom w:val="single" w:sz="8" w:space="0" w:color="auto"/>
              <w:right w:val="single" w:sz="8" w:space="0" w:color="auto"/>
            </w:tcBorders>
            <w:shd w:val="clear" w:color="auto" w:fill="auto"/>
            <w:vAlign w:val="center"/>
          </w:tcPr>
          <w:p w14:paraId="117B5CB8" w14:textId="77777777" w:rsidR="00335619" w:rsidRPr="0023367D" w:rsidRDefault="00335619" w:rsidP="00335619">
            <w:pPr>
              <w:jc w:val="center"/>
              <w:rPr>
                <w:color w:val="000000"/>
                <w:sz w:val="19"/>
                <w:szCs w:val="19"/>
              </w:rPr>
            </w:pPr>
            <w:r w:rsidRPr="0023367D">
              <w:rPr>
                <w:color w:val="000000"/>
                <w:sz w:val="19"/>
                <w:szCs w:val="19"/>
              </w:rPr>
              <w:t>34.3%</w:t>
            </w:r>
          </w:p>
        </w:tc>
        <w:tc>
          <w:tcPr>
            <w:tcW w:w="1006" w:type="dxa"/>
            <w:tcBorders>
              <w:top w:val="nil"/>
              <w:left w:val="nil"/>
              <w:bottom w:val="single" w:sz="8" w:space="0" w:color="auto"/>
              <w:right w:val="single" w:sz="8" w:space="0" w:color="auto"/>
            </w:tcBorders>
            <w:shd w:val="clear" w:color="auto" w:fill="auto"/>
            <w:vAlign w:val="center"/>
          </w:tcPr>
          <w:p w14:paraId="44A0BFE2" w14:textId="77777777" w:rsidR="00335619" w:rsidRPr="0023367D" w:rsidRDefault="00335619" w:rsidP="00335619">
            <w:pPr>
              <w:jc w:val="center"/>
              <w:rPr>
                <w:color w:val="000000"/>
                <w:sz w:val="19"/>
                <w:szCs w:val="19"/>
              </w:rPr>
            </w:pPr>
            <w:r w:rsidRPr="0023367D">
              <w:rPr>
                <w:color w:val="000000"/>
                <w:sz w:val="19"/>
                <w:szCs w:val="19"/>
              </w:rPr>
              <w:t>13.7%</w:t>
            </w:r>
          </w:p>
        </w:tc>
        <w:tc>
          <w:tcPr>
            <w:tcW w:w="1525" w:type="dxa"/>
            <w:gridSpan w:val="2"/>
            <w:tcBorders>
              <w:top w:val="nil"/>
              <w:left w:val="nil"/>
              <w:bottom w:val="single" w:sz="8" w:space="0" w:color="auto"/>
              <w:right w:val="single" w:sz="4" w:space="0" w:color="auto"/>
            </w:tcBorders>
            <w:shd w:val="clear" w:color="auto" w:fill="auto"/>
            <w:noWrap/>
            <w:vAlign w:val="center"/>
          </w:tcPr>
          <w:p w14:paraId="65EE0E0D" w14:textId="77777777" w:rsidR="00335619" w:rsidRPr="0023367D" w:rsidRDefault="00335619" w:rsidP="00335619">
            <w:pPr>
              <w:jc w:val="center"/>
              <w:rPr>
                <w:color w:val="000000"/>
                <w:sz w:val="19"/>
                <w:szCs w:val="19"/>
              </w:rPr>
            </w:pPr>
            <w:r w:rsidRPr="0023367D">
              <w:rPr>
                <w:color w:val="000000"/>
                <w:sz w:val="19"/>
                <w:szCs w:val="19"/>
              </w:rPr>
              <w:t>16.7%</w:t>
            </w:r>
          </w:p>
        </w:tc>
      </w:tr>
      <w:tr w:rsidR="00335619" w:rsidRPr="0023367D" w14:paraId="7D931E9C"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5F2B7BE7" w14:textId="77777777" w:rsidR="00335619" w:rsidRPr="0023367D" w:rsidRDefault="00335619" w:rsidP="00335619">
            <w:pPr>
              <w:jc w:val="center"/>
              <w:rPr>
                <w:color w:val="000000"/>
                <w:sz w:val="19"/>
                <w:szCs w:val="19"/>
              </w:rPr>
            </w:pPr>
            <w:r w:rsidRPr="0023367D">
              <w:rPr>
                <w:bCs/>
                <w:color w:val="000000"/>
                <w:sz w:val="19"/>
                <w:szCs w:val="19"/>
                <w:lang w:bidi="he-IL"/>
              </w:rPr>
              <w:t>2001</w:t>
            </w:r>
          </w:p>
        </w:tc>
        <w:tc>
          <w:tcPr>
            <w:tcW w:w="1012" w:type="dxa"/>
            <w:tcBorders>
              <w:top w:val="nil"/>
              <w:left w:val="nil"/>
              <w:bottom w:val="single" w:sz="8" w:space="0" w:color="auto"/>
              <w:right w:val="single" w:sz="8" w:space="0" w:color="auto"/>
            </w:tcBorders>
            <w:shd w:val="clear" w:color="auto" w:fill="auto"/>
            <w:noWrap/>
            <w:vAlign w:val="center"/>
          </w:tcPr>
          <w:p w14:paraId="223D2782" w14:textId="77777777" w:rsidR="00335619" w:rsidRPr="0023367D" w:rsidRDefault="00335619" w:rsidP="00335619">
            <w:pPr>
              <w:jc w:val="center"/>
              <w:rPr>
                <w:color w:val="000000"/>
                <w:sz w:val="19"/>
                <w:szCs w:val="19"/>
              </w:rPr>
            </w:pPr>
            <w:r w:rsidRPr="0023367D">
              <w:rPr>
                <w:color w:val="000000"/>
                <w:sz w:val="19"/>
                <w:szCs w:val="19"/>
              </w:rPr>
              <w:t>718</w:t>
            </w:r>
          </w:p>
        </w:tc>
        <w:tc>
          <w:tcPr>
            <w:tcW w:w="909" w:type="dxa"/>
            <w:tcBorders>
              <w:top w:val="nil"/>
              <w:left w:val="nil"/>
              <w:bottom w:val="single" w:sz="8" w:space="0" w:color="auto"/>
              <w:right w:val="single" w:sz="8" w:space="0" w:color="auto"/>
            </w:tcBorders>
            <w:shd w:val="clear" w:color="auto" w:fill="auto"/>
            <w:noWrap/>
            <w:vAlign w:val="center"/>
          </w:tcPr>
          <w:p w14:paraId="1F2170DC" w14:textId="77777777" w:rsidR="00335619" w:rsidRPr="0023367D" w:rsidRDefault="00335619" w:rsidP="00335619">
            <w:pPr>
              <w:jc w:val="center"/>
              <w:rPr>
                <w:color w:val="000000"/>
                <w:sz w:val="19"/>
                <w:szCs w:val="19"/>
              </w:rPr>
            </w:pPr>
            <w:r w:rsidRPr="0023367D">
              <w:rPr>
                <w:color w:val="000000"/>
                <w:sz w:val="19"/>
                <w:szCs w:val="19"/>
              </w:rPr>
              <w:t>21.8%</w:t>
            </w:r>
          </w:p>
        </w:tc>
        <w:tc>
          <w:tcPr>
            <w:tcW w:w="1067" w:type="dxa"/>
            <w:tcBorders>
              <w:top w:val="nil"/>
              <w:left w:val="nil"/>
              <w:bottom w:val="single" w:sz="8" w:space="0" w:color="auto"/>
              <w:right w:val="single" w:sz="8" w:space="0" w:color="auto"/>
            </w:tcBorders>
            <w:shd w:val="clear" w:color="auto" w:fill="auto"/>
            <w:vAlign w:val="center"/>
          </w:tcPr>
          <w:p w14:paraId="60F35819" w14:textId="77777777" w:rsidR="00335619" w:rsidRPr="0023367D" w:rsidRDefault="00335619" w:rsidP="00335619">
            <w:pPr>
              <w:jc w:val="center"/>
              <w:rPr>
                <w:color w:val="000000"/>
                <w:sz w:val="19"/>
                <w:szCs w:val="19"/>
              </w:rPr>
            </w:pPr>
            <w:r w:rsidRPr="0023367D">
              <w:rPr>
                <w:color w:val="000000"/>
                <w:sz w:val="19"/>
                <w:szCs w:val="19"/>
              </w:rPr>
              <w:t>11.0%</w:t>
            </w:r>
          </w:p>
        </w:tc>
        <w:tc>
          <w:tcPr>
            <w:tcW w:w="1591" w:type="dxa"/>
            <w:tcBorders>
              <w:top w:val="nil"/>
              <w:left w:val="nil"/>
              <w:bottom w:val="single" w:sz="8" w:space="0" w:color="auto"/>
              <w:right w:val="single" w:sz="12" w:space="0" w:color="auto"/>
            </w:tcBorders>
            <w:vAlign w:val="center"/>
          </w:tcPr>
          <w:p w14:paraId="7287AF6A" w14:textId="77777777" w:rsidR="00335619" w:rsidRPr="0023367D" w:rsidRDefault="00335619" w:rsidP="00335619">
            <w:pPr>
              <w:jc w:val="center"/>
              <w:rPr>
                <w:color w:val="000000"/>
                <w:sz w:val="19"/>
                <w:szCs w:val="19"/>
              </w:rPr>
            </w:pPr>
            <w:r w:rsidRPr="0023367D">
              <w:rPr>
                <w:color w:val="000000"/>
                <w:sz w:val="19"/>
                <w:szCs w:val="19"/>
              </w:rPr>
              <w:t>10.5%</w:t>
            </w:r>
          </w:p>
        </w:tc>
        <w:tc>
          <w:tcPr>
            <w:tcW w:w="720" w:type="dxa"/>
            <w:tcBorders>
              <w:top w:val="nil"/>
              <w:left w:val="single" w:sz="12" w:space="0" w:color="auto"/>
              <w:bottom w:val="single" w:sz="8" w:space="0" w:color="auto"/>
              <w:right w:val="single" w:sz="8" w:space="0" w:color="auto"/>
            </w:tcBorders>
            <w:shd w:val="clear" w:color="auto" w:fill="auto"/>
            <w:vAlign w:val="center"/>
          </w:tcPr>
          <w:p w14:paraId="5A616AC5" w14:textId="77777777" w:rsidR="00335619" w:rsidRPr="0023367D" w:rsidRDefault="00335619" w:rsidP="00335619">
            <w:pPr>
              <w:jc w:val="center"/>
              <w:rPr>
                <w:color w:val="000000"/>
                <w:sz w:val="19"/>
                <w:szCs w:val="19"/>
              </w:rPr>
            </w:pPr>
            <w:r w:rsidRPr="0023367D">
              <w:rPr>
                <w:color w:val="000000"/>
                <w:sz w:val="19"/>
                <w:szCs w:val="19"/>
              </w:rPr>
              <w:t>218</w:t>
            </w:r>
          </w:p>
        </w:tc>
        <w:tc>
          <w:tcPr>
            <w:tcW w:w="990" w:type="dxa"/>
            <w:tcBorders>
              <w:top w:val="nil"/>
              <w:left w:val="nil"/>
              <w:bottom w:val="single" w:sz="8" w:space="0" w:color="auto"/>
              <w:right w:val="single" w:sz="8" w:space="0" w:color="auto"/>
            </w:tcBorders>
            <w:shd w:val="clear" w:color="auto" w:fill="auto"/>
            <w:vAlign w:val="center"/>
          </w:tcPr>
          <w:p w14:paraId="6649EBBE" w14:textId="77777777" w:rsidR="00335619" w:rsidRPr="0023367D" w:rsidRDefault="00335619" w:rsidP="00335619">
            <w:pPr>
              <w:jc w:val="center"/>
              <w:rPr>
                <w:color w:val="000000"/>
                <w:sz w:val="19"/>
                <w:szCs w:val="19"/>
              </w:rPr>
            </w:pPr>
            <w:r w:rsidRPr="0023367D">
              <w:rPr>
                <w:color w:val="000000"/>
                <w:sz w:val="19"/>
                <w:szCs w:val="19"/>
              </w:rPr>
              <w:t>26.7%</w:t>
            </w:r>
          </w:p>
        </w:tc>
        <w:tc>
          <w:tcPr>
            <w:tcW w:w="1006" w:type="dxa"/>
            <w:tcBorders>
              <w:top w:val="nil"/>
              <w:left w:val="nil"/>
              <w:bottom w:val="single" w:sz="8" w:space="0" w:color="auto"/>
              <w:right w:val="single" w:sz="8" w:space="0" w:color="auto"/>
            </w:tcBorders>
            <w:shd w:val="clear" w:color="auto" w:fill="auto"/>
            <w:vAlign w:val="center"/>
          </w:tcPr>
          <w:p w14:paraId="3CE5D29B" w14:textId="77777777" w:rsidR="00335619" w:rsidRPr="0023367D" w:rsidRDefault="00335619" w:rsidP="00335619">
            <w:pPr>
              <w:jc w:val="center"/>
              <w:rPr>
                <w:color w:val="000000"/>
                <w:sz w:val="19"/>
                <w:szCs w:val="19"/>
              </w:rPr>
            </w:pPr>
            <w:r w:rsidRPr="0023367D">
              <w:rPr>
                <w:color w:val="000000"/>
                <w:sz w:val="19"/>
                <w:szCs w:val="19"/>
              </w:rPr>
              <w:t>12.7%</w:t>
            </w:r>
          </w:p>
        </w:tc>
        <w:tc>
          <w:tcPr>
            <w:tcW w:w="1525" w:type="dxa"/>
            <w:gridSpan w:val="2"/>
            <w:tcBorders>
              <w:top w:val="nil"/>
              <w:left w:val="nil"/>
              <w:bottom w:val="single" w:sz="8" w:space="0" w:color="auto"/>
              <w:right w:val="single" w:sz="4" w:space="0" w:color="auto"/>
            </w:tcBorders>
            <w:shd w:val="clear" w:color="auto" w:fill="auto"/>
            <w:noWrap/>
            <w:vAlign w:val="center"/>
          </w:tcPr>
          <w:p w14:paraId="57CD6471" w14:textId="77777777" w:rsidR="00335619" w:rsidRPr="0023367D" w:rsidRDefault="00335619" w:rsidP="00335619">
            <w:pPr>
              <w:jc w:val="center"/>
              <w:rPr>
                <w:color w:val="000000"/>
                <w:sz w:val="19"/>
                <w:szCs w:val="19"/>
              </w:rPr>
            </w:pPr>
            <w:r w:rsidRPr="0023367D">
              <w:rPr>
                <w:color w:val="000000"/>
                <w:sz w:val="19"/>
                <w:szCs w:val="19"/>
              </w:rPr>
              <w:t>14.1%</w:t>
            </w:r>
          </w:p>
        </w:tc>
      </w:tr>
      <w:tr w:rsidR="00335619" w:rsidRPr="0023367D" w14:paraId="43C0754B"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100A4587" w14:textId="77777777" w:rsidR="00335619" w:rsidRPr="0023367D" w:rsidRDefault="00335619" w:rsidP="00335619">
            <w:pPr>
              <w:jc w:val="center"/>
              <w:rPr>
                <w:color w:val="000000"/>
                <w:sz w:val="19"/>
                <w:szCs w:val="19"/>
              </w:rPr>
            </w:pPr>
            <w:r w:rsidRPr="0023367D">
              <w:rPr>
                <w:bCs/>
                <w:color w:val="000000"/>
                <w:sz w:val="19"/>
                <w:szCs w:val="19"/>
                <w:lang w:bidi="he-IL"/>
              </w:rPr>
              <w:t>2002</w:t>
            </w:r>
          </w:p>
        </w:tc>
        <w:tc>
          <w:tcPr>
            <w:tcW w:w="1012" w:type="dxa"/>
            <w:tcBorders>
              <w:top w:val="nil"/>
              <w:left w:val="nil"/>
              <w:bottom w:val="single" w:sz="8" w:space="0" w:color="auto"/>
              <w:right w:val="single" w:sz="8" w:space="0" w:color="auto"/>
            </w:tcBorders>
            <w:shd w:val="clear" w:color="auto" w:fill="auto"/>
            <w:noWrap/>
            <w:vAlign w:val="center"/>
          </w:tcPr>
          <w:p w14:paraId="751A1372" w14:textId="77777777" w:rsidR="00335619" w:rsidRPr="0023367D" w:rsidRDefault="00335619" w:rsidP="00335619">
            <w:pPr>
              <w:jc w:val="center"/>
              <w:rPr>
                <w:color w:val="000000"/>
                <w:sz w:val="19"/>
                <w:szCs w:val="19"/>
              </w:rPr>
            </w:pPr>
            <w:r w:rsidRPr="0023367D">
              <w:rPr>
                <w:color w:val="000000"/>
                <w:sz w:val="19"/>
                <w:szCs w:val="19"/>
              </w:rPr>
              <w:t>762</w:t>
            </w:r>
          </w:p>
        </w:tc>
        <w:tc>
          <w:tcPr>
            <w:tcW w:w="909" w:type="dxa"/>
            <w:tcBorders>
              <w:top w:val="nil"/>
              <w:left w:val="nil"/>
              <w:bottom w:val="single" w:sz="8" w:space="0" w:color="auto"/>
              <w:right w:val="single" w:sz="8" w:space="0" w:color="auto"/>
            </w:tcBorders>
            <w:shd w:val="clear" w:color="auto" w:fill="auto"/>
            <w:noWrap/>
            <w:vAlign w:val="center"/>
          </w:tcPr>
          <w:p w14:paraId="04690097" w14:textId="77777777" w:rsidR="00335619" w:rsidRPr="0023367D" w:rsidRDefault="00335619" w:rsidP="00335619">
            <w:pPr>
              <w:jc w:val="center"/>
              <w:rPr>
                <w:color w:val="000000"/>
                <w:sz w:val="19"/>
                <w:szCs w:val="19"/>
              </w:rPr>
            </w:pPr>
            <w:r w:rsidRPr="0023367D">
              <w:rPr>
                <w:color w:val="000000"/>
                <w:sz w:val="19"/>
                <w:szCs w:val="19"/>
              </w:rPr>
              <w:t>21.8%</w:t>
            </w:r>
          </w:p>
        </w:tc>
        <w:tc>
          <w:tcPr>
            <w:tcW w:w="1067" w:type="dxa"/>
            <w:tcBorders>
              <w:top w:val="nil"/>
              <w:left w:val="nil"/>
              <w:bottom w:val="single" w:sz="8" w:space="0" w:color="auto"/>
              <w:right w:val="single" w:sz="8" w:space="0" w:color="auto"/>
            </w:tcBorders>
            <w:shd w:val="clear" w:color="auto" w:fill="auto"/>
            <w:vAlign w:val="center"/>
          </w:tcPr>
          <w:p w14:paraId="4B486437" w14:textId="77777777" w:rsidR="00335619" w:rsidRPr="0023367D" w:rsidRDefault="00335619" w:rsidP="00335619">
            <w:pPr>
              <w:jc w:val="center"/>
              <w:rPr>
                <w:color w:val="000000"/>
                <w:sz w:val="19"/>
                <w:szCs w:val="19"/>
              </w:rPr>
            </w:pPr>
            <w:r w:rsidRPr="0023367D">
              <w:rPr>
                <w:color w:val="000000"/>
                <w:sz w:val="19"/>
                <w:szCs w:val="19"/>
              </w:rPr>
              <w:t>10.9%</w:t>
            </w:r>
          </w:p>
        </w:tc>
        <w:tc>
          <w:tcPr>
            <w:tcW w:w="1591" w:type="dxa"/>
            <w:tcBorders>
              <w:top w:val="nil"/>
              <w:left w:val="nil"/>
              <w:bottom w:val="single" w:sz="8" w:space="0" w:color="auto"/>
              <w:right w:val="single" w:sz="12" w:space="0" w:color="auto"/>
            </w:tcBorders>
            <w:vAlign w:val="center"/>
          </w:tcPr>
          <w:p w14:paraId="33397723" w14:textId="77777777" w:rsidR="00335619" w:rsidRPr="0023367D" w:rsidRDefault="00335619" w:rsidP="00335619">
            <w:pPr>
              <w:jc w:val="center"/>
              <w:rPr>
                <w:color w:val="000000"/>
                <w:sz w:val="19"/>
                <w:szCs w:val="19"/>
              </w:rPr>
            </w:pPr>
            <w:r w:rsidRPr="0023367D">
              <w:rPr>
                <w:color w:val="000000"/>
                <w:sz w:val="19"/>
                <w:szCs w:val="19"/>
              </w:rPr>
              <w:t>13.7%</w:t>
            </w:r>
          </w:p>
        </w:tc>
        <w:tc>
          <w:tcPr>
            <w:tcW w:w="720" w:type="dxa"/>
            <w:tcBorders>
              <w:top w:val="nil"/>
              <w:left w:val="single" w:sz="12" w:space="0" w:color="auto"/>
              <w:bottom w:val="single" w:sz="8" w:space="0" w:color="auto"/>
              <w:right w:val="single" w:sz="8" w:space="0" w:color="auto"/>
            </w:tcBorders>
            <w:shd w:val="clear" w:color="auto" w:fill="auto"/>
            <w:vAlign w:val="center"/>
          </w:tcPr>
          <w:p w14:paraId="3E9C356F" w14:textId="77777777" w:rsidR="00335619" w:rsidRPr="0023367D" w:rsidRDefault="00335619" w:rsidP="00335619">
            <w:pPr>
              <w:jc w:val="center"/>
              <w:rPr>
                <w:color w:val="000000"/>
                <w:sz w:val="19"/>
                <w:szCs w:val="19"/>
              </w:rPr>
            </w:pPr>
            <w:r w:rsidRPr="0023367D">
              <w:rPr>
                <w:color w:val="000000"/>
                <w:sz w:val="19"/>
                <w:szCs w:val="19"/>
              </w:rPr>
              <w:t>232</w:t>
            </w:r>
          </w:p>
        </w:tc>
        <w:tc>
          <w:tcPr>
            <w:tcW w:w="990" w:type="dxa"/>
            <w:tcBorders>
              <w:top w:val="nil"/>
              <w:left w:val="nil"/>
              <w:bottom w:val="single" w:sz="8" w:space="0" w:color="auto"/>
              <w:right w:val="single" w:sz="8" w:space="0" w:color="auto"/>
            </w:tcBorders>
            <w:shd w:val="clear" w:color="auto" w:fill="auto"/>
            <w:vAlign w:val="center"/>
          </w:tcPr>
          <w:p w14:paraId="09BAB440" w14:textId="77777777" w:rsidR="00335619" w:rsidRPr="0023367D" w:rsidRDefault="00335619" w:rsidP="00335619">
            <w:pPr>
              <w:jc w:val="center"/>
              <w:rPr>
                <w:color w:val="000000"/>
                <w:sz w:val="19"/>
                <w:szCs w:val="19"/>
              </w:rPr>
            </w:pPr>
            <w:r w:rsidRPr="0023367D">
              <w:rPr>
                <w:color w:val="000000"/>
                <w:sz w:val="19"/>
                <w:szCs w:val="19"/>
              </w:rPr>
              <w:t>26.7%</w:t>
            </w:r>
          </w:p>
        </w:tc>
        <w:tc>
          <w:tcPr>
            <w:tcW w:w="1006" w:type="dxa"/>
            <w:tcBorders>
              <w:top w:val="nil"/>
              <w:left w:val="nil"/>
              <w:bottom w:val="single" w:sz="8" w:space="0" w:color="auto"/>
              <w:right w:val="single" w:sz="8" w:space="0" w:color="auto"/>
            </w:tcBorders>
            <w:shd w:val="clear" w:color="auto" w:fill="auto"/>
            <w:vAlign w:val="center"/>
          </w:tcPr>
          <w:p w14:paraId="5AA1B551" w14:textId="77777777" w:rsidR="00335619" w:rsidRPr="0023367D" w:rsidRDefault="00335619" w:rsidP="00335619">
            <w:pPr>
              <w:jc w:val="center"/>
              <w:rPr>
                <w:color w:val="000000"/>
                <w:sz w:val="19"/>
                <w:szCs w:val="19"/>
              </w:rPr>
            </w:pPr>
            <w:r w:rsidRPr="0023367D">
              <w:rPr>
                <w:color w:val="000000"/>
                <w:sz w:val="19"/>
                <w:szCs w:val="19"/>
              </w:rPr>
              <w:t>14.6%</w:t>
            </w:r>
          </w:p>
        </w:tc>
        <w:tc>
          <w:tcPr>
            <w:tcW w:w="1525" w:type="dxa"/>
            <w:gridSpan w:val="2"/>
            <w:tcBorders>
              <w:top w:val="nil"/>
              <w:left w:val="nil"/>
              <w:bottom w:val="single" w:sz="8" w:space="0" w:color="auto"/>
              <w:right w:val="single" w:sz="4" w:space="0" w:color="auto"/>
            </w:tcBorders>
            <w:shd w:val="clear" w:color="auto" w:fill="auto"/>
            <w:noWrap/>
            <w:vAlign w:val="center"/>
          </w:tcPr>
          <w:p w14:paraId="08B5DBDD" w14:textId="77777777" w:rsidR="00335619" w:rsidRPr="0023367D" w:rsidRDefault="00335619" w:rsidP="00335619">
            <w:pPr>
              <w:jc w:val="center"/>
              <w:rPr>
                <w:color w:val="000000"/>
                <w:sz w:val="19"/>
                <w:szCs w:val="19"/>
              </w:rPr>
            </w:pPr>
            <w:r w:rsidRPr="0023367D">
              <w:rPr>
                <w:color w:val="000000"/>
                <w:sz w:val="19"/>
                <w:szCs w:val="19"/>
              </w:rPr>
              <w:t>16.8%</w:t>
            </w:r>
          </w:p>
        </w:tc>
      </w:tr>
      <w:tr w:rsidR="00335619" w:rsidRPr="0023367D" w14:paraId="6CAE2B47"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49608713" w14:textId="77777777" w:rsidR="00335619" w:rsidRPr="0023367D" w:rsidRDefault="00335619" w:rsidP="00335619">
            <w:pPr>
              <w:jc w:val="center"/>
              <w:rPr>
                <w:color w:val="000000"/>
                <w:sz w:val="19"/>
                <w:szCs w:val="19"/>
              </w:rPr>
            </w:pPr>
            <w:r w:rsidRPr="0023367D">
              <w:rPr>
                <w:bCs/>
                <w:color w:val="000000"/>
                <w:sz w:val="19"/>
                <w:szCs w:val="19"/>
                <w:lang w:bidi="he-IL"/>
              </w:rPr>
              <w:t>2003</w:t>
            </w:r>
          </w:p>
        </w:tc>
        <w:tc>
          <w:tcPr>
            <w:tcW w:w="1012" w:type="dxa"/>
            <w:tcBorders>
              <w:top w:val="nil"/>
              <w:left w:val="nil"/>
              <w:bottom w:val="single" w:sz="8" w:space="0" w:color="auto"/>
              <w:right w:val="single" w:sz="8" w:space="0" w:color="auto"/>
            </w:tcBorders>
            <w:shd w:val="clear" w:color="auto" w:fill="auto"/>
            <w:noWrap/>
            <w:vAlign w:val="center"/>
          </w:tcPr>
          <w:p w14:paraId="172AD306" w14:textId="77777777" w:rsidR="00335619" w:rsidRPr="0023367D" w:rsidRDefault="00335619" w:rsidP="00335619">
            <w:pPr>
              <w:jc w:val="center"/>
              <w:rPr>
                <w:color w:val="000000"/>
                <w:sz w:val="19"/>
                <w:szCs w:val="19"/>
              </w:rPr>
            </w:pPr>
            <w:r w:rsidRPr="0023367D">
              <w:rPr>
                <w:color w:val="000000"/>
                <w:sz w:val="19"/>
                <w:szCs w:val="19"/>
              </w:rPr>
              <w:t>764</w:t>
            </w:r>
          </w:p>
        </w:tc>
        <w:tc>
          <w:tcPr>
            <w:tcW w:w="909" w:type="dxa"/>
            <w:tcBorders>
              <w:top w:val="nil"/>
              <w:left w:val="nil"/>
              <w:bottom w:val="single" w:sz="8" w:space="0" w:color="auto"/>
              <w:right w:val="single" w:sz="8" w:space="0" w:color="auto"/>
            </w:tcBorders>
            <w:shd w:val="clear" w:color="auto" w:fill="auto"/>
            <w:noWrap/>
            <w:vAlign w:val="center"/>
          </w:tcPr>
          <w:p w14:paraId="60EE4EF7" w14:textId="77777777" w:rsidR="00335619" w:rsidRPr="0023367D" w:rsidRDefault="00335619" w:rsidP="00335619">
            <w:pPr>
              <w:jc w:val="center"/>
              <w:rPr>
                <w:color w:val="000000"/>
                <w:sz w:val="19"/>
                <w:szCs w:val="19"/>
              </w:rPr>
            </w:pPr>
            <w:r w:rsidRPr="0023367D">
              <w:rPr>
                <w:color w:val="000000"/>
                <w:sz w:val="19"/>
                <w:szCs w:val="19"/>
              </w:rPr>
              <w:t>17.8%</w:t>
            </w:r>
          </w:p>
        </w:tc>
        <w:tc>
          <w:tcPr>
            <w:tcW w:w="1067" w:type="dxa"/>
            <w:tcBorders>
              <w:top w:val="nil"/>
              <w:left w:val="nil"/>
              <w:bottom w:val="single" w:sz="8" w:space="0" w:color="auto"/>
              <w:right w:val="single" w:sz="8" w:space="0" w:color="auto"/>
            </w:tcBorders>
            <w:shd w:val="clear" w:color="auto" w:fill="auto"/>
            <w:vAlign w:val="center"/>
          </w:tcPr>
          <w:p w14:paraId="31584601" w14:textId="77777777" w:rsidR="00335619" w:rsidRPr="0023367D" w:rsidRDefault="00335619" w:rsidP="00335619">
            <w:pPr>
              <w:jc w:val="center"/>
              <w:rPr>
                <w:color w:val="000000"/>
                <w:sz w:val="19"/>
                <w:szCs w:val="19"/>
              </w:rPr>
            </w:pPr>
            <w:r w:rsidRPr="0023367D">
              <w:rPr>
                <w:color w:val="000000"/>
                <w:sz w:val="19"/>
                <w:szCs w:val="19"/>
              </w:rPr>
              <w:t>8.8%</w:t>
            </w:r>
          </w:p>
        </w:tc>
        <w:tc>
          <w:tcPr>
            <w:tcW w:w="1591" w:type="dxa"/>
            <w:tcBorders>
              <w:top w:val="nil"/>
              <w:left w:val="nil"/>
              <w:bottom w:val="single" w:sz="8" w:space="0" w:color="auto"/>
              <w:right w:val="single" w:sz="12" w:space="0" w:color="auto"/>
            </w:tcBorders>
            <w:vAlign w:val="center"/>
          </w:tcPr>
          <w:p w14:paraId="228259E6" w14:textId="77777777" w:rsidR="00335619" w:rsidRPr="0023367D" w:rsidRDefault="00335619" w:rsidP="00335619">
            <w:pPr>
              <w:jc w:val="center"/>
              <w:rPr>
                <w:color w:val="000000"/>
                <w:sz w:val="19"/>
                <w:szCs w:val="19"/>
              </w:rPr>
            </w:pPr>
            <w:r w:rsidRPr="0023367D">
              <w:rPr>
                <w:color w:val="000000"/>
                <w:sz w:val="19"/>
                <w:szCs w:val="19"/>
              </w:rPr>
              <w:t>11.3%</w:t>
            </w:r>
          </w:p>
        </w:tc>
        <w:tc>
          <w:tcPr>
            <w:tcW w:w="720" w:type="dxa"/>
            <w:tcBorders>
              <w:top w:val="nil"/>
              <w:left w:val="single" w:sz="12" w:space="0" w:color="auto"/>
              <w:bottom w:val="single" w:sz="8" w:space="0" w:color="auto"/>
              <w:right w:val="single" w:sz="8" w:space="0" w:color="auto"/>
            </w:tcBorders>
            <w:shd w:val="clear" w:color="auto" w:fill="auto"/>
            <w:vAlign w:val="center"/>
          </w:tcPr>
          <w:p w14:paraId="7DBF959B" w14:textId="77777777" w:rsidR="00335619" w:rsidRPr="0023367D" w:rsidRDefault="00335619" w:rsidP="00335619">
            <w:pPr>
              <w:jc w:val="center"/>
              <w:rPr>
                <w:color w:val="000000"/>
                <w:sz w:val="19"/>
                <w:szCs w:val="19"/>
              </w:rPr>
            </w:pPr>
            <w:r w:rsidRPr="0023367D">
              <w:rPr>
                <w:color w:val="000000"/>
                <w:sz w:val="19"/>
                <w:szCs w:val="19"/>
              </w:rPr>
              <w:t>265</w:t>
            </w:r>
          </w:p>
        </w:tc>
        <w:tc>
          <w:tcPr>
            <w:tcW w:w="990" w:type="dxa"/>
            <w:tcBorders>
              <w:top w:val="nil"/>
              <w:left w:val="nil"/>
              <w:bottom w:val="single" w:sz="8" w:space="0" w:color="auto"/>
              <w:right w:val="single" w:sz="8" w:space="0" w:color="auto"/>
            </w:tcBorders>
            <w:shd w:val="clear" w:color="auto" w:fill="auto"/>
            <w:vAlign w:val="center"/>
          </w:tcPr>
          <w:p w14:paraId="39DB5F55" w14:textId="77777777" w:rsidR="00335619" w:rsidRPr="0023367D" w:rsidRDefault="00335619" w:rsidP="00335619">
            <w:pPr>
              <w:jc w:val="center"/>
              <w:rPr>
                <w:color w:val="000000"/>
                <w:sz w:val="19"/>
                <w:szCs w:val="19"/>
              </w:rPr>
            </w:pPr>
            <w:r w:rsidRPr="0023367D">
              <w:rPr>
                <w:color w:val="000000"/>
                <w:sz w:val="19"/>
                <w:szCs w:val="19"/>
              </w:rPr>
              <w:t>22.4%</w:t>
            </w:r>
          </w:p>
        </w:tc>
        <w:tc>
          <w:tcPr>
            <w:tcW w:w="1006" w:type="dxa"/>
            <w:tcBorders>
              <w:top w:val="nil"/>
              <w:left w:val="nil"/>
              <w:bottom w:val="single" w:sz="8" w:space="0" w:color="auto"/>
              <w:right w:val="single" w:sz="8" w:space="0" w:color="auto"/>
            </w:tcBorders>
            <w:shd w:val="clear" w:color="auto" w:fill="auto"/>
            <w:vAlign w:val="center"/>
          </w:tcPr>
          <w:p w14:paraId="2FE51BD1" w14:textId="77777777" w:rsidR="00335619" w:rsidRPr="0023367D" w:rsidRDefault="00335619" w:rsidP="00335619">
            <w:pPr>
              <w:jc w:val="center"/>
              <w:rPr>
                <w:color w:val="000000"/>
                <w:sz w:val="19"/>
                <w:szCs w:val="19"/>
              </w:rPr>
            </w:pPr>
            <w:r w:rsidRPr="0023367D">
              <w:rPr>
                <w:color w:val="000000"/>
                <w:sz w:val="19"/>
                <w:szCs w:val="19"/>
              </w:rPr>
              <w:t>12.9%</w:t>
            </w:r>
          </w:p>
        </w:tc>
        <w:tc>
          <w:tcPr>
            <w:tcW w:w="1525" w:type="dxa"/>
            <w:gridSpan w:val="2"/>
            <w:tcBorders>
              <w:top w:val="nil"/>
              <w:left w:val="nil"/>
              <w:bottom w:val="single" w:sz="8" w:space="0" w:color="auto"/>
              <w:right w:val="single" w:sz="4" w:space="0" w:color="auto"/>
            </w:tcBorders>
            <w:shd w:val="clear" w:color="auto" w:fill="auto"/>
            <w:noWrap/>
            <w:vAlign w:val="center"/>
          </w:tcPr>
          <w:p w14:paraId="0368F5E6" w14:textId="77777777" w:rsidR="00335619" w:rsidRPr="0023367D" w:rsidRDefault="00335619" w:rsidP="00335619">
            <w:pPr>
              <w:jc w:val="center"/>
              <w:rPr>
                <w:color w:val="000000"/>
                <w:sz w:val="19"/>
                <w:szCs w:val="19"/>
              </w:rPr>
            </w:pPr>
            <w:r w:rsidRPr="0023367D">
              <w:rPr>
                <w:color w:val="000000"/>
                <w:sz w:val="19"/>
                <w:szCs w:val="19"/>
              </w:rPr>
              <w:t>14.9%</w:t>
            </w:r>
          </w:p>
        </w:tc>
      </w:tr>
      <w:tr w:rsidR="00335619" w:rsidRPr="0023367D" w14:paraId="6F55A3D0"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70BF41DE" w14:textId="77777777" w:rsidR="00335619" w:rsidRPr="0023367D" w:rsidRDefault="00335619" w:rsidP="00335619">
            <w:pPr>
              <w:jc w:val="center"/>
              <w:rPr>
                <w:color w:val="000000"/>
                <w:sz w:val="19"/>
                <w:szCs w:val="19"/>
              </w:rPr>
            </w:pPr>
            <w:r w:rsidRPr="0023367D">
              <w:rPr>
                <w:bCs/>
                <w:color w:val="000000"/>
                <w:sz w:val="19"/>
                <w:szCs w:val="19"/>
                <w:lang w:bidi="he-IL"/>
              </w:rPr>
              <w:t>2004</w:t>
            </w:r>
          </w:p>
        </w:tc>
        <w:tc>
          <w:tcPr>
            <w:tcW w:w="1012" w:type="dxa"/>
            <w:tcBorders>
              <w:top w:val="nil"/>
              <w:left w:val="nil"/>
              <w:bottom w:val="single" w:sz="8" w:space="0" w:color="auto"/>
              <w:right w:val="single" w:sz="8" w:space="0" w:color="auto"/>
            </w:tcBorders>
            <w:shd w:val="clear" w:color="auto" w:fill="auto"/>
            <w:noWrap/>
            <w:vAlign w:val="center"/>
          </w:tcPr>
          <w:p w14:paraId="744EE43F" w14:textId="77777777" w:rsidR="00335619" w:rsidRPr="0023367D" w:rsidRDefault="00335619" w:rsidP="00335619">
            <w:pPr>
              <w:jc w:val="center"/>
              <w:rPr>
                <w:color w:val="000000"/>
                <w:sz w:val="19"/>
                <w:szCs w:val="19"/>
              </w:rPr>
            </w:pPr>
            <w:r w:rsidRPr="0023367D">
              <w:rPr>
                <w:color w:val="000000"/>
                <w:sz w:val="19"/>
                <w:szCs w:val="19"/>
              </w:rPr>
              <w:t>807</w:t>
            </w:r>
          </w:p>
        </w:tc>
        <w:tc>
          <w:tcPr>
            <w:tcW w:w="909" w:type="dxa"/>
            <w:tcBorders>
              <w:top w:val="nil"/>
              <w:left w:val="nil"/>
              <w:bottom w:val="single" w:sz="8" w:space="0" w:color="auto"/>
              <w:right w:val="single" w:sz="8" w:space="0" w:color="auto"/>
            </w:tcBorders>
            <w:shd w:val="clear" w:color="auto" w:fill="auto"/>
            <w:noWrap/>
            <w:vAlign w:val="center"/>
          </w:tcPr>
          <w:p w14:paraId="119735CF" w14:textId="77777777" w:rsidR="00335619" w:rsidRPr="0023367D" w:rsidRDefault="00335619" w:rsidP="00335619">
            <w:pPr>
              <w:jc w:val="center"/>
              <w:rPr>
                <w:color w:val="000000"/>
                <w:sz w:val="19"/>
                <w:szCs w:val="19"/>
              </w:rPr>
            </w:pPr>
            <w:r w:rsidRPr="0023367D">
              <w:rPr>
                <w:color w:val="000000"/>
                <w:sz w:val="19"/>
                <w:szCs w:val="19"/>
              </w:rPr>
              <w:t>14.7%</w:t>
            </w:r>
          </w:p>
        </w:tc>
        <w:tc>
          <w:tcPr>
            <w:tcW w:w="1067" w:type="dxa"/>
            <w:tcBorders>
              <w:top w:val="nil"/>
              <w:left w:val="nil"/>
              <w:bottom w:val="single" w:sz="8" w:space="0" w:color="auto"/>
              <w:right w:val="single" w:sz="8" w:space="0" w:color="auto"/>
            </w:tcBorders>
            <w:shd w:val="clear" w:color="auto" w:fill="auto"/>
            <w:vAlign w:val="center"/>
          </w:tcPr>
          <w:p w14:paraId="70F7EF7B" w14:textId="77777777" w:rsidR="00335619" w:rsidRPr="0023367D" w:rsidRDefault="00335619" w:rsidP="00335619">
            <w:pPr>
              <w:jc w:val="center"/>
              <w:rPr>
                <w:color w:val="000000"/>
                <w:sz w:val="19"/>
                <w:szCs w:val="19"/>
              </w:rPr>
            </w:pPr>
            <w:r w:rsidRPr="0023367D">
              <w:rPr>
                <w:color w:val="000000"/>
                <w:sz w:val="19"/>
                <w:szCs w:val="19"/>
              </w:rPr>
              <w:t>8.1%</w:t>
            </w:r>
          </w:p>
        </w:tc>
        <w:tc>
          <w:tcPr>
            <w:tcW w:w="1591" w:type="dxa"/>
            <w:tcBorders>
              <w:top w:val="nil"/>
              <w:left w:val="nil"/>
              <w:bottom w:val="single" w:sz="8" w:space="0" w:color="auto"/>
              <w:right w:val="single" w:sz="12" w:space="0" w:color="auto"/>
            </w:tcBorders>
            <w:vAlign w:val="center"/>
          </w:tcPr>
          <w:p w14:paraId="72AB451B" w14:textId="77777777" w:rsidR="00335619" w:rsidRPr="0023367D" w:rsidRDefault="00335619" w:rsidP="00335619">
            <w:pPr>
              <w:jc w:val="center"/>
              <w:rPr>
                <w:color w:val="000000"/>
                <w:sz w:val="19"/>
                <w:szCs w:val="19"/>
              </w:rPr>
            </w:pPr>
            <w:r w:rsidRPr="0023367D">
              <w:rPr>
                <w:color w:val="000000"/>
                <w:sz w:val="19"/>
                <w:szCs w:val="19"/>
              </w:rPr>
              <w:t>12.0%</w:t>
            </w:r>
          </w:p>
        </w:tc>
        <w:tc>
          <w:tcPr>
            <w:tcW w:w="720" w:type="dxa"/>
            <w:tcBorders>
              <w:top w:val="nil"/>
              <w:left w:val="single" w:sz="12" w:space="0" w:color="auto"/>
              <w:bottom w:val="single" w:sz="8" w:space="0" w:color="auto"/>
              <w:right w:val="single" w:sz="8" w:space="0" w:color="auto"/>
            </w:tcBorders>
            <w:shd w:val="clear" w:color="auto" w:fill="auto"/>
            <w:vAlign w:val="center"/>
          </w:tcPr>
          <w:p w14:paraId="2F870DBA" w14:textId="77777777" w:rsidR="00335619" w:rsidRPr="0023367D" w:rsidRDefault="00335619" w:rsidP="00335619">
            <w:pPr>
              <w:jc w:val="center"/>
              <w:rPr>
                <w:color w:val="000000"/>
                <w:sz w:val="19"/>
                <w:szCs w:val="19"/>
              </w:rPr>
            </w:pPr>
            <w:r w:rsidRPr="0023367D">
              <w:rPr>
                <w:color w:val="000000"/>
                <w:sz w:val="19"/>
                <w:szCs w:val="19"/>
              </w:rPr>
              <w:t>267</w:t>
            </w:r>
          </w:p>
        </w:tc>
        <w:tc>
          <w:tcPr>
            <w:tcW w:w="990" w:type="dxa"/>
            <w:tcBorders>
              <w:top w:val="nil"/>
              <w:left w:val="nil"/>
              <w:bottom w:val="single" w:sz="8" w:space="0" w:color="auto"/>
              <w:right w:val="single" w:sz="8" w:space="0" w:color="auto"/>
            </w:tcBorders>
            <w:shd w:val="clear" w:color="auto" w:fill="auto"/>
            <w:vAlign w:val="center"/>
          </w:tcPr>
          <w:p w14:paraId="6B266837" w14:textId="77777777" w:rsidR="00335619" w:rsidRPr="0023367D" w:rsidRDefault="00335619" w:rsidP="00335619">
            <w:pPr>
              <w:jc w:val="center"/>
              <w:rPr>
                <w:color w:val="000000"/>
                <w:sz w:val="19"/>
                <w:szCs w:val="19"/>
              </w:rPr>
            </w:pPr>
            <w:r w:rsidRPr="0023367D">
              <w:rPr>
                <w:color w:val="000000"/>
                <w:sz w:val="19"/>
                <w:szCs w:val="19"/>
              </w:rPr>
              <w:t>22.5%</w:t>
            </w:r>
          </w:p>
        </w:tc>
        <w:tc>
          <w:tcPr>
            <w:tcW w:w="1006" w:type="dxa"/>
            <w:tcBorders>
              <w:top w:val="nil"/>
              <w:left w:val="nil"/>
              <w:bottom w:val="single" w:sz="8" w:space="0" w:color="auto"/>
              <w:right w:val="single" w:sz="8" w:space="0" w:color="auto"/>
            </w:tcBorders>
            <w:shd w:val="clear" w:color="auto" w:fill="auto"/>
            <w:vAlign w:val="center"/>
          </w:tcPr>
          <w:p w14:paraId="3B790968" w14:textId="77777777" w:rsidR="00335619" w:rsidRPr="0023367D" w:rsidRDefault="00335619" w:rsidP="00335619">
            <w:pPr>
              <w:jc w:val="center"/>
              <w:rPr>
                <w:color w:val="000000"/>
                <w:sz w:val="19"/>
                <w:szCs w:val="19"/>
              </w:rPr>
            </w:pPr>
            <w:r w:rsidRPr="0023367D">
              <w:rPr>
                <w:color w:val="000000"/>
                <w:sz w:val="19"/>
                <w:szCs w:val="19"/>
              </w:rPr>
              <w:t>15.5%</w:t>
            </w:r>
          </w:p>
        </w:tc>
        <w:tc>
          <w:tcPr>
            <w:tcW w:w="1525" w:type="dxa"/>
            <w:gridSpan w:val="2"/>
            <w:tcBorders>
              <w:top w:val="nil"/>
              <w:left w:val="nil"/>
              <w:bottom w:val="single" w:sz="8" w:space="0" w:color="auto"/>
              <w:right w:val="single" w:sz="4" w:space="0" w:color="auto"/>
            </w:tcBorders>
            <w:shd w:val="clear" w:color="auto" w:fill="auto"/>
            <w:noWrap/>
            <w:vAlign w:val="center"/>
          </w:tcPr>
          <w:p w14:paraId="2D6AA556" w14:textId="77777777" w:rsidR="00335619" w:rsidRPr="0023367D" w:rsidRDefault="00335619" w:rsidP="00335619">
            <w:pPr>
              <w:jc w:val="center"/>
              <w:rPr>
                <w:color w:val="000000"/>
                <w:sz w:val="19"/>
                <w:szCs w:val="19"/>
              </w:rPr>
            </w:pPr>
            <w:r w:rsidRPr="0023367D">
              <w:rPr>
                <w:color w:val="000000"/>
                <w:sz w:val="19"/>
                <w:szCs w:val="19"/>
              </w:rPr>
              <w:t>15.7%</w:t>
            </w:r>
          </w:p>
        </w:tc>
      </w:tr>
      <w:tr w:rsidR="00335619" w:rsidRPr="0023367D" w14:paraId="5862C447"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437A5F05" w14:textId="77777777" w:rsidR="00335619" w:rsidRPr="0023367D" w:rsidRDefault="00335619" w:rsidP="00335619">
            <w:pPr>
              <w:jc w:val="center"/>
              <w:rPr>
                <w:color w:val="000000"/>
                <w:sz w:val="19"/>
                <w:szCs w:val="19"/>
              </w:rPr>
            </w:pPr>
            <w:r w:rsidRPr="0023367D">
              <w:rPr>
                <w:bCs/>
                <w:color w:val="000000"/>
                <w:sz w:val="19"/>
                <w:szCs w:val="19"/>
                <w:lang w:bidi="he-IL"/>
              </w:rPr>
              <w:t>2005</w:t>
            </w:r>
          </w:p>
        </w:tc>
        <w:tc>
          <w:tcPr>
            <w:tcW w:w="1012" w:type="dxa"/>
            <w:tcBorders>
              <w:top w:val="nil"/>
              <w:left w:val="nil"/>
              <w:bottom w:val="single" w:sz="8" w:space="0" w:color="auto"/>
              <w:right w:val="single" w:sz="8" w:space="0" w:color="auto"/>
            </w:tcBorders>
            <w:shd w:val="clear" w:color="auto" w:fill="auto"/>
            <w:noWrap/>
            <w:vAlign w:val="center"/>
          </w:tcPr>
          <w:p w14:paraId="489C116A" w14:textId="77777777" w:rsidR="00335619" w:rsidRPr="0023367D" w:rsidRDefault="00335619" w:rsidP="00335619">
            <w:pPr>
              <w:jc w:val="center"/>
              <w:rPr>
                <w:color w:val="000000"/>
                <w:sz w:val="19"/>
                <w:szCs w:val="19"/>
              </w:rPr>
            </w:pPr>
            <w:r w:rsidRPr="0023367D">
              <w:rPr>
                <w:color w:val="000000"/>
                <w:sz w:val="19"/>
                <w:szCs w:val="19"/>
              </w:rPr>
              <w:t>833</w:t>
            </w:r>
          </w:p>
        </w:tc>
        <w:tc>
          <w:tcPr>
            <w:tcW w:w="909" w:type="dxa"/>
            <w:tcBorders>
              <w:top w:val="nil"/>
              <w:left w:val="nil"/>
              <w:bottom w:val="single" w:sz="8" w:space="0" w:color="auto"/>
              <w:right w:val="single" w:sz="8" w:space="0" w:color="auto"/>
            </w:tcBorders>
            <w:shd w:val="clear" w:color="auto" w:fill="auto"/>
            <w:noWrap/>
            <w:vAlign w:val="center"/>
          </w:tcPr>
          <w:p w14:paraId="2654FE1B" w14:textId="77777777" w:rsidR="00335619" w:rsidRPr="0023367D" w:rsidRDefault="00335619" w:rsidP="00335619">
            <w:pPr>
              <w:jc w:val="center"/>
              <w:rPr>
                <w:color w:val="000000"/>
                <w:sz w:val="19"/>
                <w:szCs w:val="19"/>
              </w:rPr>
            </w:pPr>
            <w:r w:rsidRPr="0023367D">
              <w:rPr>
                <w:color w:val="000000"/>
                <w:sz w:val="19"/>
                <w:szCs w:val="19"/>
              </w:rPr>
              <w:t>13.4%</w:t>
            </w:r>
          </w:p>
        </w:tc>
        <w:tc>
          <w:tcPr>
            <w:tcW w:w="1067" w:type="dxa"/>
            <w:tcBorders>
              <w:top w:val="nil"/>
              <w:left w:val="nil"/>
              <w:bottom w:val="single" w:sz="8" w:space="0" w:color="auto"/>
              <w:right w:val="single" w:sz="8" w:space="0" w:color="auto"/>
            </w:tcBorders>
            <w:shd w:val="clear" w:color="auto" w:fill="auto"/>
            <w:vAlign w:val="center"/>
          </w:tcPr>
          <w:p w14:paraId="25A5092F" w14:textId="77777777" w:rsidR="00335619" w:rsidRPr="0023367D" w:rsidRDefault="00335619" w:rsidP="00335619">
            <w:pPr>
              <w:jc w:val="center"/>
              <w:rPr>
                <w:color w:val="000000"/>
                <w:sz w:val="19"/>
                <w:szCs w:val="19"/>
              </w:rPr>
            </w:pPr>
            <w:r w:rsidRPr="0023367D">
              <w:rPr>
                <w:color w:val="000000"/>
                <w:sz w:val="19"/>
                <w:szCs w:val="19"/>
              </w:rPr>
              <w:t>8.7%</w:t>
            </w:r>
          </w:p>
        </w:tc>
        <w:tc>
          <w:tcPr>
            <w:tcW w:w="1591" w:type="dxa"/>
            <w:tcBorders>
              <w:top w:val="nil"/>
              <w:left w:val="nil"/>
              <w:bottom w:val="single" w:sz="8" w:space="0" w:color="auto"/>
              <w:right w:val="single" w:sz="12" w:space="0" w:color="auto"/>
            </w:tcBorders>
            <w:vAlign w:val="center"/>
          </w:tcPr>
          <w:p w14:paraId="475E0C77" w14:textId="77777777" w:rsidR="00335619" w:rsidRPr="0023367D" w:rsidRDefault="00335619" w:rsidP="00335619">
            <w:pPr>
              <w:jc w:val="center"/>
              <w:rPr>
                <w:color w:val="000000"/>
                <w:sz w:val="19"/>
                <w:szCs w:val="19"/>
              </w:rPr>
            </w:pPr>
            <w:r w:rsidRPr="0023367D">
              <w:rPr>
                <w:color w:val="000000"/>
                <w:sz w:val="19"/>
                <w:szCs w:val="19"/>
              </w:rPr>
              <w:t>10.5%</w:t>
            </w:r>
          </w:p>
        </w:tc>
        <w:tc>
          <w:tcPr>
            <w:tcW w:w="720" w:type="dxa"/>
            <w:tcBorders>
              <w:top w:val="nil"/>
              <w:left w:val="single" w:sz="12" w:space="0" w:color="auto"/>
              <w:bottom w:val="single" w:sz="8" w:space="0" w:color="auto"/>
              <w:right w:val="single" w:sz="8" w:space="0" w:color="auto"/>
            </w:tcBorders>
            <w:shd w:val="clear" w:color="auto" w:fill="auto"/>
            <w:vAlign w:val="center"/>
          </w:tcPr>
          <w:p w14:paraId="7E111A80" w14:textId="77777777" w:rsidR="00335619" w:rsidRPr="0023367D" w:rsidRDefault="00335619" w:rsidP="00335619">
            <w:pPr>
              <w:jc w:val="center"/>
              <w:rPr>
                <w:color w:val="000000"/>
                <w:sz w:val="19"/>
                <w:szCs w:val="19"/>
              </w:rPr>
            </w:pPr>
            <w:r w:rsidRPr="0023367D">
              <w:rPr>
                <w:color w:val="000000"/>
                <w:sz w:val="19"/>
                <w:szCs w:val="19"/>
              </w:rPr>
              <w:t>266</w:t>
            </w:r>
          </w:p>
        </w:tc>
        <w:tc>
          <w:tcPr>
            <w:tcW w:w="990" w:type="dxa"/>
            <w:tcBorders>
              <w:top w:val="nil"/>
              <w:left w:val="nil"/>
              <w:bottom w:val="single" w:sz="8" w:space="0" w:color="auto"/>
              <w:right w:val="single" w:sz="8" w:space="0" w:color="auto"/>
            </w:tcBorders>
            <w:shd w:val="clear" w:color="auto" w:fill="auto"/>
            <w:vAlign w:val="center"/>
          </w:tcPr>
          <w:p w14:paraId="7132A891" w14:textId="77777777" w:rsidR="00335619" w:rsidRPr="0023367D" w:rsidRDefault="00335619" w:rsidP="00335619">
            <w:pPr>
              <w:jc w:val="center"/>
              <w:rPr>
                <w:color w:val="000000"/>
                <w:sz w:val="19"/>
                <w:szCs w:val="19"/>
              </w:rPr>
            </w:pPr>
            <w:r w:rsidRPr="0023367D">
              <w:rPr>
                <w:color w:val="000000"/>
                <w:sz w:val="19"/>
                <w:szCs w:val="19"/>
              </w:rPr>
              <w:t>20.6%</w:t>
            </w:r>
          </w:p>
        </w:tc>
        <w:tc>
          <w:tcPr>
            <w:tcW w:w="1006" w:type="dxa"/>
            <w:tcBorders>
              <w:top w:val="nil"/>
              <w:left w:val="nil"/>
              <w:bottom w:val="single" w:sz="8" w:space="0" w:color="auto"/>
              <w:right w:val="single" w:sz="8" w:space="0" w:color="auto"/>
            </w:tcBorders>
            <w:shd w:val="clear" w:color="auto" w:fill="auto"/>
            <w:vAlign w:val="center"/>
          </w:tcPr>
          <w:p w14:paraId="3F79BD7C" w14:textId="77777777" w:rsidR="00335619" w:rsidRPr="0023367D" w:rsidRDefault="00335619" w:rsidP="00335619">
            <w:pPr>
              <w:jc w:val="center"/>
              <w:rPr>
                <w:color w:val="000000"/>
                <w:sz w:val="19"/>
                <w:szCs w:val="19"/>
              </w:rPr>
            </w:pPr>
            <w:r w:rsidRPr="0023367D">
              <w:rPr>
                <w:color w:val="000000"/>
                <w:sz w:val="19"/>
                <w:szCs w:val="19"/>
              </w:rPr>
              <w:t>16.9%</w:t>
            </w:r>
          </w:p>
        </w:tc>
        <w:tc>
          <w:tcPr>
            <w:tcW w:w="1525" w:type="dxa"/>
            <w:gridSpan w:val="2"/>
            <w:tcBorders>
              <w:top w:val="nil"/>
              <w:left w:val="nil"/>
              <w:bottom w:val="single" w:sz="8" w:space="0" w:color="auto"/>
              <w:right w:val="single" w:sz="4" w:space="0" w:color="auto"/>
            </w:tcBorders>
            <w:shd w:val="clear" w:color="auto" w:fill="auto"/>
            <w:noWrap/>
            <w:vAlign w:val="center"/>
          </w:tcPr>
          <w:p w14:paraId="3C670CCC" w14:textId="77777777" w:rsidR="00335619" w:rsidRPr="0023367D" w:rsidRDefault="00335619" w:rsidP="00335619">
            <w:pPr>
              <w:jc w:val="center"/>
              <w:rPr>
                <w:color w:val="000000"/>
                <w:sz w:val="19"/>
                <w:szCs w:val="19"/>
              </w:rPr>
            </w:pPr>
            <w:r w:rsidRPr="0023367D">
              <w:rPr>
                <w:color w:val="000000"/>
                <w:sz w:val="19"/>
                <w:szCs w:val="19"/>
              </w:rPr>
              <w:t>13.8%</w:t>
            </w:r>
          </w:p>
        </w:tc>
      </w:tr>
      <w:tr w:rsidR="00335619" w:rsidRPr="0023367D" w14:paraId="2B464580"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6010AD49" w14:textId="77777777" w:rsidR="00335619" w:rsidRPr="0023367D" w:rsidRDefault="00335619" w:rsidP="00335619">
            <w:pPr>
              <w:jc w:val="center"/>
              <w:rPr>
                <w:color w:val="000000"/>
                <w:sz w:val="19"/>
                <w:szCs w:val="19"/>
              </w:rPr>
            </w:pPr>
            <w:r w:rsidRPr="0023367D">
              <w:rPr>
                <w:bCs/>
                <w:color w:val="000000"/>
                <w:sz w:val="19"/>
                <w:szCs w:val="19"/>
                <w:lang w:bidi="he-IL"/>
              </w:rPr>
              <w:t>2006</w:t>
            </w:r>
          </w:p>
        </w:tc>
        <w:tc>
          <w:tcPr>
            <w:tcW w:w="1012" w:type="dxa"/>
            <w:tcBorders>
              <w:top w:val="nil"/>
              <w:left w:val="nil"/>
              <w:bottom w:val="single" w:sz="8" w:space="0" w:color="auto"/>
              <w:right w:val="single" w:sz="8" w:space="0" w:color="auto"/>
            </w:tcBorders>
            <w:shd w:val="clear" w:color="auto" w:fill="auto"/>
            <w:noWrap/>
            <w:vAlign w:val="center"/>
          </w:tcPr>
          <w:p w14:paraId="7AD4AD05" w14:textId="77777777" w:rsidR="00335619" w:rsidRPr="0023367D" w:rsidRDefault="00335619" w:rsidP="00335619">
            <w:pPr>
              <w:jc w:val="center"/>
              <w:rPr>
                <w:color w:val="000000"/>
                <w:sz w:val="19"/>
                <w:szCs w:val="19"/>
              </w:rPr>
            </w:pPr>
            <w:r w:rsidRPr="0023367D">
              <w:rPr>
                <w:color w:val="000000"/>
                <w:sz w:val="19"/>
                <w:szCs w:val="19"/>
              </w:rPr>
              <w:t>791</w:t>
            </w:r>
          </w:p>
        </w:tc>
        <w:tc>
          <w:tcPr>
            <w:tcW w:w="909" w:type="dxa"/>
            <w:tcBorders>
              <w:top w:val="nil"/>
              <w:left w:val="nil"/>
              <w:bottom w:val="single" w:sz="8" w:space="0" w:color="auto"/>
              <w:right w:val="single" w:sz="8" w:space="0" w:color="auto"/>
            </w:tcBorders>
            <w:shd w:val="clear" w:color="auto" w:fill="auto"/>
            <w:noWrap/>
            <w:vAlign w:val="center"/>
          </w:tcPr>
          <w:p w14:paraId="4BFEA169" w14:textId="77777777" w:rsidR="00335619" w:rsidRPr="0023367D" w:rsidRDefault="00335619" w:rsidP="00335619">
            <w:pPr>
              <w:jc w:val="center"/>
              <w:rPr>
                <w:color w:val="000000"/>
                <w:sz w:val="19"/>
                <w:szCs w:val="19"/>
              </w:rPr>
            </w:pPr>
            <w:r w:rsidRPr="0023367D">
              <w:rPr>
                <w:color w:val="000000"/>
                <w:sz w:val="19"/>
                <w:szCs w:val="19"/>
              </w:rPr>
              <w:t>16.8%</w:t>
            </w:r>
          </w:p>
        </w:tc>
        <w:tc>
          <w:tcPr>
            <w:tcW w:w="1067" w:type="dxa"/>
            <w:tcBorders>
              <w:top w:val="nil"/>
              <w:left w:val="nil"/>
              <w:bottom w:val="single" w:sz="8" w:space="0" w:color="auto"/>
              <w:right w:val="single" w:sz="8" w:space="0" w:color="auto"/>
            </w:tcBorders>
            <w:shd w:val="clear" w:color="auto" w:fill="auto"/>
            <w:vAlign w:val="center"/>
          </w:tcPr>
          <w:p w14:paraId="02831815" w14:textId="77777777" w:rsidR="00335619" w:rsidRPr="0023367D" w:rsidRDefault="00335619" w:rsidP="00335619">
            <w:pPr>
              <w:jc w:val="center"/>
              <w:rPr>
                <w:color w:val="000000"/>
                <w:sz w:val="19"/>
                <w:szCs w:val="19"/>
              </w:rPr>
            </w:pPr>
            <w:r w:rsidRPr="0023367D">
              <w:rPr>
                <w:color w:val="000000"/>
                <w:sz w:val="19"/>
                <w:szCs w:val="19"/>
              </w:rPr>
              <w:t>8.9%</w:t>
            </w:r>
          </w:p>
        </w:tc>
        <w:tc>
          <w:tcPr>
            <w:tcW w:w="1591" w:type="dxa"/>
            <w:tcBorders>
              <w:top w:val="nil"/>
              <w:left w:val="nil"/>
              <w:bottom w:val="single" w:sz="8" w:space="0" w:color="auto"/>
              <w:right w:val="single" w:sz="12" w:space="0" w:color="auto"/>
            </w:tcBorders>
            <w:vAlign w:val="center"/>
          </w:tcPr>
          <w:p w14:paraId="7A3F966C" w14:textId="77777777" w:rsidR="00335619" w:rsidRPr="0023367D" w:rsidRDefault="00335619" w:rsidP="00335619">
            <w:pPr>
              <w:jc w:val="center"/>
              <w:rPr>
                <w:color w:val="000000"/>
                <w:sz w:val="19"/>
                <w:szCs w:val="19"/>
              </w:rPr>
            </w:pPr>
            <w:r w:rsidRPr="0023367D">
              <w:rPr>
                <w:color w:val="000000"/>
                <w:sz w:val="19"/>
                <w:szCs w:val="19"/>
              </w:rPr>
              <w:t>12.4%</w:t>
            </w:r>
          </w:p>
        </w:tc>
        <w:tc>
          <w:tcPr>
            <w:tcW w:w="720" w:type="dxa"/>
            <w:tcBorders>
              <w:top w:val="nil"/>
              <w:left w:val="single" w:sz="12" w:space="0" w:color="auto"/>
              <w:bottom w:val="single" w:sz="8" w:space="0" w:color="auto"/>
              <w:right w:val="single" w:sz="8" w:space="0" w:color="auto"/>
            </w:tcBorders>
            <w:shd w:val="clear" w:color="auto" w:fill="auto"/>
            <w:vAlign w:val="center"/>
          </w:tcPr>
          <w:p w14:paraId="747AA14C" w14:textId="77777777" w:rsidR="00335619" w:rsidRPr="0023367D" w:rsidRDefault="00335619" w:rsidP="00335619">
            <w:pPr>
              <w:jc w:val="center"/>
              <w:rPr>
                <w:color w:val="000000"/>
                <w:sz w:val="19"/>
                <w:szCs w:val="19"/>
              </w:rPr>
            </w:pPr>
            <w:r w:rsidRPr="0023367D">
              <w:rPr>
                <w:color w:val="000000"/>
                <w:sz w:val="19"/>
                <w:szCs w:val="19"/>
              </w:rPr>
              <w:t>257</w:t>
            </w:r>
          </w:p>
        </w:tc>
        <w:tc>
          <w:tcPr>
            <w:tcW w:w="990" w:type="dxa"/>
            <w:tcBorders>
              <w:top w:val="nil"/>
              <w:left w:val="nil"/>
              <w:bottom w:val="single" w:sz="8" w:space="0" w:color="auto"/>
              <w:right w:val="single" w:sz="8" w:space="0" w:color="auto"/>
            </w:tcBorders>
            <w:shd w:val="clear" w:color="auto" w:fill="auto"/>
            <w:vAlign w:val="center"/>
          </w:tcPr>
          <w:p w14:paraId="1F8ADF51" w14:textId="77777777" w:rsidR="00335619" w:rsidRPr="0023367D" w:rsidRDefault="00335619" w:rsidP="00335619">
            <w:pPr>
              <w:jc w:val="center"/>
              <w:rPr>
                <w:color w:val="000000"/>
                <w:sz w:val="19"/>
                <w:szCs w:val="19"/>
              </w:rPr>
            </w:pPr>
            <w:r w:rsidRPr="0023367D">
              <w:rPr>
                <w:color w:val="000000"/>
                <w:sz w:val="19"/>
                <w:szCs w:val="19"/>
              </w:rPr>
              <w:t>27.4%</w:t>
            </w:r>
          </w:p>
        </w:tc>
        <w:tc>
          <w:tcPr>
            <w:tcW w:w="1006" w:type="dxa"/>
            <w:tcBorders>
              <w:top w:val="nil"/>
              <w:left w:val="nil"/>
              <w:bottom w:val="single" w:sz="8" w:space="0" w:color="auto"/>
              <w:right w:val="single" w:sz="8" w:space="0" w:color="auto"/>
            </w:tcBorders>
            <w:shd w:val="clear" w:color="auto" w:fill="auto"/>
            <w:vAlign w:val="center"/>
          </w:tcPr>
          <w:p w14:paraId="2DA5DFE6" w14:textId="77777777" w:rsidR="00335619" w:rsidRPr="0023367D" w:rsidRDefault="00335619" w:rsidP="00335619">
            <w:pPr>
              <w:jc w:val="center"/>
              <w:rPr>
                <w:color w:val="000000"/>
                <w:sz w:val="19"/>
                <w:szCs w:val="19"/>
              </w:rPr>
            </w:pPr>
            <w:r w:rsidRPr="0023367D">
              <w:rPr>
                <w:color w:val="000000"/>
                <w:sz w:val="19"/>
                <w:szCs w:val="19"/>
              </w:rPr>
              <w:t>15.7%</w:t>
            </w:r>
          </w:p>
        </w:tc>
        <w:tc>
          <w:tcPr>
            <w:tcW w:w="1525" w:type="dxa"/>
            <w:gridSpan w:val="2"/>
            <w:tcBorders>
              <w:top w:val="nil"/>
              <w:left w:val="nil"/>
              <w:bottom w:val="single" w:sz="8" w:space="0" w:color="auto"/>
              <w:right w:val="single" w:sz="4" w:space="0" w:color="auto"/>
            </w:tcBorders>
            <w:shd w:val="clear" w:color="auto" w:fill="auto"/>
            <w:noWrap/>
            <w:vAlign w:val="center"/>
          </w:tcPr>
          <w:p w14:paraId="4F8B3A3E" w14:textId="77777777" w:rsidR="00335619" w:rsidRPr="0023367D" w:rsidRDefault="00335619" w:rsidP="00335619">
            <w:pPr>
              <w:jc w:val="center"/>
              <w:rPr>
                <w:color w:val="000000"/>
                <w:sz w:val="19"/>
                <w:szCs w:val="19"/>
              </w:rPr>
            </w:pPr>
            <w:r w:rsidRPr="0023367D">
              <w:rPr>
                <w:color w:val="000000"/>
                <w:sz w:val="19"/>
                <w:szCs w:val="19"/>
              </w:rPr>
              <w:t>15.1%</w:t>
            </w:r>
          </w:p>
        </w:tc>
      </w:tr>
      <w:tr w:rsidR="00335619" w:rsidRPr="0023367D" w14:paraId="72C61938"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41E50555" w14:textId="77777777" w:rsidR="00335619" w:rsidRPr="0023367D" w:rsidRDefault="00335619" w:rsidP="00335619">
            <w:pPr>
              <w:jc w:val="center"/>
              <w:rPr>
                <w:color w:val="000000"/>
                <w:sz w:val="19"/>
                <w:szCs w:val="19"/>
              </w:rPr>
            </w:pPr>
            <w:r w:rsidRPr="0023367D">
              <w:rPr>
                <w:bCs/>
                <w:color w:val="000000"/>
                <w:sz w:val="19"/>
                <w:szCs w:val="19"/>
                <w:lang w:bidi="he-IL"/>
              </w:rPr>
              <w:t>2007</w:t>
            </w:r>
          </w:p>
        </w:tc>
        <w:tc>
          <w:tcPr>
            <w:tcW w:w="1012" w:type="dxa"/>
            <w:tcBorders>
              <w:top w:val="nil"/>
              <w:left w:val="nil"/>
              <w:bottom w:val="single" w:sz="8" w:space="0" w:color="auto"/>
              <w:right w:val="single" w:sz="8" w:space="0" w:color="auto"/>
            </w:tcBorders>
            <w:shd w:val="clear" w:color="auto" w:fill="auto"/>
            <w:noWrap/>
            <w:vAlign w:val="center"/>
          </w:tcPr>
          <w:p w14:paraId="0A0A72D0" w14:textId="77777777" w:rsidR="00335619" w:rsidRPr="0023367D" w:rsidRDefault="00335619" w:rsidP="00335619">
            <w:pPr>
              <w:jc w:val="center"/>
              <w:rPr>
                <w:color w:val="000000"/>
                <w:sz w:val="19"/>
                <w:szCs w:val="19"/>
              </w:rPr>
            </w:pPr>
            <w:r w:rsidRPr="0023367D">
              <w:rPr>
                <w:color w:val="000000"/>
                <w:sz w:val="19"/>
                <w:szCs w:val="19"/>
              </w:rPr>
              <w:t>771</w:t>
            </w:r>
          </w:p>
        </w:tc>
        <w:tc>
          <w:tcPr>
            <w:tcW w:w="909" w:type="dxa"/>
            <w:tcBorders>
              <w:top w:val="nil"/>
              <w:left w:val="nil"/>
              <w:bottom w:val="single" w:sz="8" w:space="0" w:color="auto"/>
              <w:right w:val="single" w:sz="8" w:space="0" w:color="auto"/>
            </w:tcBorders>
            <w:shd w:val="clear" w:color="auto" w:fill="auto"/>
            <w:noWrap/>
            <w:vAlign w:val="center"/>
          </w:tcPr>
          <w:p w14:paraId="4DE33C60" w14:textId="77777777" w:rsidR="00335619" w:rsidRPr="0023367D" w:rsidRDefault="00335619" w:rsidP="00335619">
            <w:pPr>
              <w:jc w:val="center"/>
              <w:rPr>
                <w:color w:val="000000"/>
                <w:sz w:val="19"/>
                <w:szCs w:val="19"/>
              </w:rPr>
            </w:pPr>
            <w:r w:rsidRPr="0023367D">
              <w:rPr>
                <w:color w:val="000000"/>
                <w:sz w:val="19"/>
                <w:szCs w:val="19"/>
              </w:rPr>
              <w:t>25.7%</w:t>
            </w:r>
          </w:p>
        </w:tc>
        <w:tc>
          <w:tcPr>
            <w:tcW w:w="1067" w:type="dxa"/>
            <w:tcBorders>
              <w:top w:val="nil"/>
              <w:left w:val="nil"/>
              <w:bottom w:val="single" w:sz="8" w:space="0" w:color="auto"/>
              <w:right w:val="single" w:sz="8" w:space="0" w:color="auto"/>
            </w:tcBorders>
            <w:shd w:val="clear" w:color="auto" w:fill="auto"/>
            <w:vAlign w:val="center"/>
          </w:tcPr>
          <w:p w14:paraId="21900C2A" w14:textId="77777777" w:rsidR="00335619" w:rsidRPr="0023367D" w:rsidRDefault="00335619" w:rsidP="00335619">
            <w:pPr>
              <w:jc w:val="center"/>
              <w:rPr>
                <w:color w:val="000000"/>
                <w:sz w:val="19"/>
                <w:szCs w:val="19"/>
              </w:rPr>
            </w:pPr>
            <w:r w:rsidRPr="0023367D">
              <w:rPr>
                <w:color w:val="000000"/>
                <w:sz w:val="19"/>
                <w:szCs w:val="19"/>
              </w:rPr>
              <w:t>11.9%</w:t>
            </w:r>
          </w:p>
        </w:tc>
        <w:tc>
          <w:tcPr>
            <w:tcW w:w="1591" w:type="dxa"/>
            <w:tcBorders>
              <w:top w:val="nil"/>
              <w:left w:val="nil"/>
              <w:bottom w:val="single" w:sz="8" w:space="0" w:color="auto"/>
              <w:right w:val="single" w:sz="12" w:space="0" w:color="auto"/>
            </w:tcBorders>
            <w:vAlign w:val="center"/>
          </w:tcPr>
          <w:p w14:paraId="2E2F6034" w14:textId="77777777" w:rsidR="00335619" w:rsidRPr="0023367D" w:rsidRDefault="00335619" w:rsidP="00335619">
            <w:pPr>
              <w:jc w:val="center"/>
              <w:rPr>
                <w:color w:val="000000"/>
                <w:sz w:val="19"/>
                <w:szCs w:val="19"/>
              </w:rPr>
            </w:pPr>
            <w:r w:rsidRPr="0023367D">
              <w:rPr>
                <w:color w:val="000000"/>
                <w:sz w:val="19"/>
                <w:szCs w:val="19"/>
              </w:rPr>
              <w:t>10.1%</w:t>
            </w:r>
          </w:p>
        </w:tc>
        <w:tc>
          <w:tcPr>
            <w:tcW w:w="720" w:type="dxa"/>
            <w:tcBorders>
              <w:top w:val="nil"/>
              <w:left w:val="single" w:sz="12" w:space="0" w:color="auto"/>
              <w:bottom w:val="single" w:sz="8" w:space="0" w:color="auto"/>
              <w:right w:val="single" w:sz="8" w:space="0" w:color="auto"/>
            </w:tcBorders>
            <w:shd w:val="clear" w:color="auto" w:fill="auto"/>
            <w:vAlign w:val="center"/>
          </w:tcPr>
          <w:p w14:paraId="6A8A8687" w14:textId="77777777" w:rsidR="00335619" w:rsidRPr="0023367D" w:rsidRDefault="00335619" w:rsidP="00335619">
            <w:pPr>
              <w:jc w:val="center"/>
              <w:rPr>
                <w:color w:val="000000"/>
                <w:sz w:val="19"/>
                <w:szCs w:val="19"/>
              </w:rPr>
            </w:pPr>
            <w:r w:rsidRPr="0023367D">
              <w:rPr>
                <w:color w:val="000000"/>
                <w:sz w:val="19"/>
                <w:szCs w:val="19"/>
              </w:rPr>
              <w:t>268</w:t>
            </w:r>
          </w:p>
        </w:tc>
        <w:tc>
          <w:tcPr>
            <w:tcW w:w="990" w:type="dxa"/>
            <w:tcBorders>
              <w:top w:val="nil"/>
              <w:left w:val="nil"/>
              <w:bottom w:val="single" w:sz="8" w:space="0" w:color="auto"/>
              <w:right w:val="single" w:sz="8" w:space="0" w:color="auto"/>
            </w:tcBorders>
            <w:shd w:val="clear" w:color="auto" w:fill="auto"/>
            <w:vAlign w:val="center"/>
          </w:tcPr>
          <w:p w14:paraId="5F57C880" w14:textId="77777777" w:rsidR="00335619" w:rsidRPr="0023367D" w:rsidRDefault="00335619" w:rsidP="00335619">
            <w:pPr>
              <w:jc w:val="center"/>
              <w:rPr>
                <w:color w:val="000000"/>
                <w:sz w:val="19"/>
                <w:szCs w:val="19"/>
              </w:rPr>
            </w:pPr>
            <w:r w:rsidRPr="0023367D">
              <w:rPr>
                <w:color w:val="000000"/>
                <w:sz w:val="19"/>
                <w:szCs w:val="19"/>
              </w:rPr>
              <w:t>35.2%</w:t>
            </w:r>
          </w:p>
        </w:tc>
        <w:tc>
          <w:tcPr>
            <w:tcW w:w="1006" w:type="dxa"/>
            <w:tcBorders>
              <w:top w:val="nil"/>
              <w:left w:val="nil"/>
              <w:bottom w:val="single" w:sz="8" w:space="0" w:color="auto"/>
              <w:right w:val="single" w:sz="8" w:space="0" w:color="auto"/>
            </w:tcBorders>
            <w:shd w:val="clear" w:color="auto" w:fill="auto"/>
            <w:vAlign w:val="center"/>
          </w:tcPr>
          <w:p w14:paraId="45B3C013" w14:textId="77777777" w:rsidR="00335619" w:rsidRPr="0023367D" w:rsidRDefault="00335619" w:rsidP="00335619">
            <w:pPr>
              <w:jc w:val="center"/>
              <w:rPr>
                <w:color w:val="000000"/>
                <w:sz w:val="19"/>
                <w:szCs w:val="19"/>
              </w:rPr>
            </w:pPr>
            <w:r w:rsidRPr="0023367D">
              <w:rPr>
                <w:color w:val="000000"/>
                <w:sz w:val="19"/>
                <w:szCs w:val="19"/>
              </w:rPr>
              <w:t>16.4%</w:t>
            </w:r>
          </w:p>
        </w:tc>
        <w:tc>
          <w:tcPr>
            <w:tcW w:w="1525" w:type="dxa"/>
            <w:gridSpan w:val="2"/>
            <w:tcBorders>
              <w:top w:val="nil"/>
              <w:left w:val="nil"/>
              <w:bottom w:val="single" w:sz="8" w:space="0" w:color="auto"/>
              <w:right w:val="single" w:sz="4" w:space="0" w:color="auto"/>
            </w:tcBorders>
            <w:shd w:val="clear" w:color="auto" w:fill="auto"/>
            <w:noWrap/>
            <w:vAlign w:val="center"/>
          </w:tcPr>
          <w:p w14:paraId="1BDC701F" w14:textId="77777777" w:rsidR="00335619" w:rsidRPr="0023367D" w:rsidRDefault="00335619" w:rsidP="00335619">
            <w:pPr>
              <w:jc w:val="center"/>
              <w:rPr>
                <w:color w:val="000000"/>
                <w:sz w:val="19"/>
                <w:szCs w:val="19"/>
              </w:rPr>
            </w:pPr>
            <w:r w:rsidRPr="0023367D">
              <w:rPr>
                <w:color w:val="000000"/>
                <w:sz w:val="19"/>
                <w:szCs w:val="19"/>
              </w:rPr>
              <w:t>10.2%</w:t>
            </w:r>
          </w:p>
        </w:tc>
      </w:tr>
      <w:tr w:rsidR="00335619" w:rsidRPr="0023367D" w14:paraId="163A904E"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34C26FE2" w14:textId="77777777" w:rsidR="00335619" w:rsidRPr="0023367D" w:rsidRDefault="00335619" w:rsidP="00335619">
            <w:pPr>
              <w:jc w:val="center"/>
              <w:rPr>
                <w:color w:val="000000"/>
                <w:sz w:val="19"/>
                <w:szCs w:val="19"/>
              </w:rPr>
            </w:pPr>
            <w:r w:rsidRPr="0023367D">
              <w:rPr>
                <w:bCs/>
                <w:color w:val="000000"/>
                <w:sz w:val="19"/>
                <w:szCs w:val="19"/>
                <w:lang w:bidi="he-IL"/>
              </w:rPr>
              <w:t>2008</w:t>
            </w:r>
          </w:p>
        </w:tc>
        <w:tc>
          <w:tcPr>
            <w:tcW w:w="1012" w:type="dxa"/>
            <w:tcBorders>
              <w:top w:val="nil"/>
              <w:left w:val="nil"/>
              <w:bottom w:val="single" w:sz="8" w:space="0" w:color="auto"/>
              <w:right w:val="single" w:sz="8" w:space="0" w:color="auto"/>
            </w:tcBorders>
            <w:shd w:val="clear" w:color="auto" w:fill="auto"/>
            <w:noWrap/>
            <w:vAlign w:val="center"/>
          </w:tcPr>
          <w:p w14:paraId="224AF25E" w14:textId="77777777" w:rsidR="00335619" w:rsidRPr="0023367D" w:rsidRDefault="00335619" w:rsidP="00335619">
            <w:pPr>
              <w:jc w:val="center"/>
              <w:rPr>
                <w:color w:val="000000"/>
                <w:sz w:val="19"/>
                <w:szCs w:val="19"/>
              </w:rPr>
            </w:pPr>
            <w:r w:rsidRPr="0023367D">
              <w:rPr>
                <w:color w:val="000000"/>
                <w:sz w:val="19"/>
                <w:szCs w:val="19"/>
              </w:rPr>
              <w:t>369</w:t>
            </w:r>
          </w:p>
        </w:tc>
        <w:tc>
          <w:tcPr>
            <w:tcW w:w="909" w:type="dxa"/>
            <w:tcBorders>
              <w:top w:val="nil"/>
              <w:left w:val="nil"/>
              <w:bottom w:val="single" w:sz="8" w:space="0" w:color="auto"/>
              <w:right w:val="single" w:sz="8" w:space="0" w:color="auto"/>
            </w:tcBorders>
            <w:shd w:val="clear" w:color="auto" w:fill="auto"/>
            <w:noWrap/>
            <w:vAlign w:val="center"/>
          </w:tcPr>
          <w:p w14:paraId="3040BBA5" w14:textId="77777777" w:rsidR="00335619" w:rsidRPr="0023367D" w:rsidRDefault="00335619" w:rsidP="00335619">
            <w:pPr>
              <w:jc w:val="center"/>
              <w:rPr>
                <w:color w:val="000000"/>
                <w:sz w:val="19"/>
                <w:szCs w:val="19"/>
              </w:rPr>
            </w:pPr>
            <w:r w:rsidRPr="0023367D">
              <w:rPr>
                <w:color w:val="000000"/>
                <w:sz w:val="19"/>
                <w:szCs w:val="19"/>
              </w:rPr>
              <w:t>26.5%</w:t>
            </w:r>
          </w:p>
        </w:tc>
        <w:tc>
          <w:tcPr>
            <w:tcW w:w="1067" w:type="dxa"/>
            <w:tcBorders>
              <w:top w:val="nil"/>
              <w:left w:val="nil"/>
              <w:bottom w:val="single" w:sz="8" w:space="0" w:color="auto"/>
              <w:right w:val="single" w:sz="8" w:space="0" w:color="auto"/>
            </w:tcBorders>
            <w:shd w:val="clear" w:color="auto" w:fill="auto"/>
            <w:vAlign w:val="center"/>
          </w:tcPr>
          <w:p w14:paraId="3E6B64F6" w14:textId="77777777" w:rsidR="00335619" w:rsidRPr="0023367D" w:rsidRDefault="00335619" w:rsidP="00335619">
            <w:pPr>
              <w:jc w:val="center"/>
              <w:rPr>
                <w:color w:val="000000"/>
                <w:sz w:val="19"/>
                <w:szCs w:val="19"/>
              </w:rPr>
            </w:pPr>
            <w:r w:rsidRPr="0023367D">
              <w:rPr>
                <w:color w:val="000000"/>
                <w:sz w:val="19"/>
                <w:szCs w:val="19"/>
              </w:rPr>
              <w:t>13.0%</w:t>
            </w:r>
          </w:p>
        </w:tc>
        <w:tc>
          <w:tcPr>
            <w:tcW w:w="1591" w:type="dxa"/>
            <w:tcBorders>
              <w:top w:val="nil"/>
              <w:left w:val="nil"/>
              <w:bottom w:val="single" w:sz="8" w:space="0" w:color="auto"/>
              <w:right w:val="single" w:sz="12" w:space="0" w:color="auto"/>
            </w:tcBorders>
            <w:vAlign w:val="center"/>
          </w:tcPr>
          <w:p w14:paraId="390CF7CD" w14:textId="77777777" w:rsidR="00335619" w:rsidRPr="0023367D" w:rsidRDefault="00335619" w:rsidP="00335619">
            <w:pPr>
              <w:jc w:val="center"/>
              <w:rPr>
                <w:color w:val="000000"/>
                <w:sz w:val="19"/>
                <w:szCs w:val="19"/>
              </w:rPr>
            </w:pPr>
            <w:r w:rsidRPr="0023367D">
              <w:rPr>
                <w:color w:val="000000"/>
                <w:sz w:val="19"/>
                <w:szCs w:val="19"/>
              </w:rPr>
              <w:t>11.1%</w:t>
            </w:r>
          </w:p>
        </w:tc>
        <w:tc>
          <w:tcPr>
            <w:tcW w:w="720" w:type="dxa"/>
            <w:tcBorders>
              <w:top w:val="nil"/>
              <w:left w:val="single" w:sz="12" w:space="0" w:color="auto"/>
              <w:bottom w:val="single" w:sz="8" w:space="0" w:color="auto"/>
              <w:right w:val="single" w:sz="8" w:space="0" w:color="auto"/>
            </w:tcBorders>
            <w:shd w:val="clear" w:color="auto" w:fill="auto"/>
            <w:vAlign w:val="center"/>
          </w:tcPr>
          <w:p w14:paraId="418B436C" w14:textId="77777777" w:rsidR="00335619" w:rsidRPr="0023367D" w:rsidRDefault="00335619" w:rsidP="00335619">
            <w:pPr>
              <w:jc w:val="center"/>
              <w:rPr>
                <w:color w:val="000000"/>
                <w:sz w:val="19"/>
                <w:szCs w:val="19"/>
              </w:rPr>
            </w:pPr>
            <w:r w:rsidRPr="0023367D">
              <w:rPr>
                <w:color w:val="000000"/>
                <w:sz w:val="19"/>
                <w:szCs w:val="19"/>
              </w:rPr>
              <w:t>140</w:t>
            </w:r>
          </w:p>
        </w:tc>
        <w:tc>
          <w:tcPr>
            <w:tcW w:w="990" w:type="dxa"/>
            <w:tcBorders>
              <w:top w:val="nil"/>
              <w:left w:val="nil"/>
              <w:bottom w:val="single" w:sz="8" w:space="0" w:color="auto"/>
              <w:right w:val="single" w:sz="8" w:space="0" w:color="auto"/>
            </w:tcBorders>
            <w:shd w:val="clear" w:color="auto" w:fill="auto"/>
            <w:vAlign w:val="center"/>
          </w:tcPr>
          <w:p w14:paraId="16A658CF" w14:textId="77777777" w:rsidR="00335619" w:rsidRPr="0023367D" w:rsidRDefault="00335619" w:rsidP="00335619">
            <w:pPr>
              <w:jc w:val="center"/>
              <w:rPr>
                <w:color w:val="000000"/>
                <w:sz w:val="19"/>
                <w:szCs w:val="19"/>
              </w:rPr>
            </w:pPr>
            <w:r w:rsidRPr="0023367D">
              <w:rPr>
                <w:color w:val="000000"/>
                <w:sz w:val="19"/>
                <w:szCs w:val="19"/>
              </w:rPr>
              <w:t>33.6%</w:t>
            </w:r>
          </w:p>
        </w:tc>
        <w:tc>
          <w:tcPr>
            <w:tcW w:w="1006" w:type="dxa"/>
            <w:tcBorders>
              <w:top w:val="nil"/>
              <w:left w:val="nil"/>
              <w:bottom w:val="single" w:sz="8" w:space="0" w:color="auto"/>
              <w:right w:val="single" w:sz="8" w:space="0" w:color="auto"/>
            </w:tcBorders>
            <w:shd w:val="clear" w:color="auto" w:fill="auto"/>
            <w:vAlign w:val="center"/>
          </w:tcPr>
          <w:p w14:paraId="06A9B71F" w14:textId="77777777" w:rsidR="00335619" w:rsidRPr="0023367D" w:rsidRDefault="00335619" w:rsidP="00335619">
            <w:pPr>
              <w:jc w:val="center"/>
              <w:rPr>
                <w:color w:val="000000"/>
                <w:sz w:val="19"/>
                <w:szCs w:val="19"/>
              </w:rPr>
            </w:pPr>
            <w:r w:rsidRPr="0023367D">
              <w:rPr>
                <w:color w:val="000000"/>
                <w:sz w:val="19"/>
                <w:szCs w:val="19"/>
              </w:rPr>
              <w:t>16.0%</w:t>
            </w:r>
          </w:p>
        </w:tc>
        <w:tc>
          <w:tcPr>
            <w:tcW w:w="1525" w:type="dxa"/>
            <w:gridSpan w:val="2"/>
            <w:tcBorders>
              <w:top w:val="nil"/>
              <w:left w:val="nil"/>
              <w:bottom w:val="single" w:sz="8" w:space="0" w:color="auto"/>
              <w:right w:val="single" w:sz="4" w:space="0" w:color="auto"/>
            </w:tcBorders>
            <w:shd w:val="clear" w:color="auto" w:fill="auto"/>
            <w:noWrap/>
            <w:vAlign w:val="center"/>
          </w:tcPr>
          <w:p w14:paraId="37E2E366" w14:textId="77777777" w:rsidR="00335619" w:rsidRPr="0023367D" w:rsidRDefault="00335619" w:rsidP="00335619">
            <w:pPr>
              <w:jc w:val="center"/>
              <w:rPr>
                <w:color w:val="000000"/>
                <w:sz w:val="19"/>
                <w:szCs w:val="19"/>
              </w:rPr>
            </w:pPr>
            <w:r w:rsidRPr="0023367D">
              <w:rPr>
                <w:color w:val="000000"/>
                <w:sz w:val="19"/>
                <w:szCs w:val="19"/>
              </w:rPr>
              <w:t>9.4%</w:t>
            </w:r>
          </w:p>
        </w:tc>
      </w:tr>
      <w:tr w:rsidR="00335619" w:rsidRPr="0023367D" w14:paraId="5C728AF5"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5FBEC86A" w14:textId="77777777" w:rsidR="00335619" w:rsidRPr="0023367D" w:rsidRDefault="00335619" w:rsidP="00335619">
            <w:pPr>
              <w:jc w:val="center"/>
              <w:rPr>
                <w:color w:val="000000"/>
                <w:sz w:val="19"/>
                <w:szCs w:val="19"/>
              </w:rPr>
            </w:pPr>
            <w:r w:rsidRPr="0023367D">
              <w:rPr>
                <w:bCs/>
                <w:color w:val="000000"/>
                <w:sz w:val="19"/>
                <w:szCs w:val="19"/>
                <w:lang w:bidi="he-IL"/>
              </w:rPr>
              <w:t>2009</w:t>
            </w:r>
          </w:p>
        </w:tc>
        <w:tc>
          <w:tcPr>
            <w:tcW w:w="1012" w:type="dxa"/>
            <w:tcBorders>
              <w:top w:val="nil"/>
              <w:left w:val="nil"/>
              <w:bottom w:val="single" w:sz="8" w:space="0" w:color="auto"/>
              <w:right w:val="single" w:sz="8" w:space="0" w:color="auto"/>
            </w:tcBorders>
            <w:shd w:val="clear" w:color="auto" w:fill="auto"/>
            <w:noWrap/>
            <w:vAlign w:val="center"/>
          </w:tcPr>
          <w:p w14:paraId="351B80AC" w14:textId="77777777" w:rsidR="00335619" w:rsidRPr="0023367D" w:rsidRDefault="00335619" w:rsidP="00335619">
            <w:pPr>
              <w:jc w:val="center"/>
              <w:rPr>
                <w:color w:val="000000"/>
                <w:sz w:val="19"/>
                <w:szCs w:val="19"/>
              </w:rPr>
            </w:pPr>
            <w:r w:rsidRPr="0023367D">
              <w:rPr>
                <w:color w:val="000000"/>
                <w:sz w:val="19"/>
                <w:szCs w:val="19"/>
              </w:rPr>
              <w:t>373</w:t>
            </w:r>
          </w:p>
        </w:tc>
        <w:tc>
          <w:tcPr>
            <w:tcW w:w="909" w:type="dxa"/>
            <w:tcBorders>
              <w:top w:val="nil"/>
              <w:left w:val="nil"/>
              <w:bottom w:val="single" w:sz="8" w:space="0" w:color="auto"/>
              <w:right w:val="single" w:sz="8" w:space="0" w:color="auto"/>
            </w:tcBorders>
            <w:shd w:val="clear" w:color="auto" w:fill="auto"/>
            <w:noWrap/>
            <w:vAlign w:val="center"/>
          </w:tcPr>
          <w:p w14:paraId="7B240B1E" w14:textId="77777777" w:rsidR="00335619" w:rsidRPr="0023367D" w:rsidRDefault="00335619" w:rsidP="00335619">
            <w:pPr>
              <w:jc w:val="center"/>
              <w:rPr>
                <w:color w:val="000000"/>
                <w:sz w:val="19"/>
                <w:szCs w:val="19"/>
              </w:rPr>
            </w:pPr>
            <w:r w:rsidRPr="0023367D">
              <w:rPr>
                <w:color w:val="000000"/>
                <w:sz w:val="19"/>
                <w:szCs w:val="19"/>
              </w:rPr>
              <w:t>28.6%</w:t>
            </w:r>
          </w:p>
        </w:tc>
        <w:tc>
          <w:tcPr>
            <w:tcW w:w="1067" w:type="dxa"/>
            <w:tcBorders>
              <w:top w:val="nil"/>
              <w:left w:val="nil"/>
              <w:bottom w:val="single" w:sz="8" w:space="0" w:color="auto"/>
              <w:right w:val="single" w:sz="8" w:space="0" w:color="auto"/>
            </w:tcBorders>
            <w:shd w:val="clear" w:color="auto" w:fill="auto"/>
            <w:vAlign w:val="center"/>
          </w:tcPr>
          <w:p w14:paraId="30CB666D" w14:textId="77777777" w:rsidR="00335619" w:rsidRPr="0023367D" w:rsidRDefault="00335619" w:rsidP="00335619">
            <w:pPr>
              <w:jc w:val="center"/>
              <w:rPr>
                <w:color w:val="000000"/>
                <w:sz w:val="19"/>
                <w:szCs w:val="19"/>
              </w:rPr>
            </w:pPr>
            <w:r w:rsidRPr="0023367D">
              <w:rPr>
                <w:color w:val="000000"/>
                <w:sz w:val="19"/>
                <w:szCs w:val="19"/>
              </w:rPr>
              <w:t>14.4%</w:t>
            </w:r>
          </w:p>
        </w:tc>
        <w:tc>
          <w:tcPr>
            <w:tcW w:w="1591" w:type="dxa"/>
            <w:tcBorders>
              <w:top w:val="nil"/>
              <w:left w:val="nil"/>
              <w:bottom w:val="single" w:sz="8" w:space="0" w:color="auto"/>
              <w:right w:val="single" w:sz="12" w:space="0" w:color="auto"/>
            </w:tcBorders>
            <w:vAlign w:val="center"/>
          </w:tcPr>
          <w:p w14:paraId="06252610" w14:textId="77777777" w:rsidR="00335619" w:rsidRPr="0023367D" w:rsidRDefault="00335619" w:rsidP="00335619">
            <w:pPr>
              <w:jc w:val="center"/>
              <w:rPr>
                <w:color w:val="000000"/>
                <w:sz w:val="19"/>
                <w:szCs w:val="19"/>
              </w:rPr>
            </w:pPr>
            <w:r w:rsidRPr="0023367D">
              <w:rPr>
                <w:color w:val="000000"/>
                <w:sz w:val="19"/>
                <w:szCs w:val="19"/>
              </w:rPr>
              <w:t>11.5%</w:t>
            </w:r>
          </w:p>
        </w:tc>
        <w:tc>
          <w:tcPr>
            <w:tcW w:w="720" w:type="dxa"/>
            <w:tcBorders>
              <w:top w:val="nil"/>
              <w:left w:val="single" w:sz="12" w:space="0" w:color="auto"/>
              <w:bottom w:val="single" w:sz="8" w:space="0" w:color="auto"/>
              <w:right w:val="single" w:sz="8" w:space="0" w:color="auto"/>
            </w:tcBorders>
            <w:shd w:val="clear" w:color="auto" w:fill="auto"/>
            <w:vAlign w:val="center"/>
          </w:tcPr>
          <w:p w14:paraId="5A31EBB5" w14:textId="77777777" w:rsidR="00335619" w:rsidRPr="0023367D" w:rsidRDefault="00335619" w:rsidP="00335619">
            <w:pPr>
              <w:jc w:val="center"/>
              <w:rPr>
                <w:color w:val="000000"/>
                <w:sz w:val="19"/>
                <w:szCs w:val="19"/>
              </w:rPr>
            </w:pPr>
            <w:r w:rsidRPr="0023367D">
              <w:rPr>
                <w:color w:val="000000"/>
                <w:sz w:val="19"/>
                <w:szCs w:val="19"/>
              </w:rPr>
              <w:t>134</w:t>
            </w:r>
          </w:p>
        </w:tc>
        <w:tc>
          <w:tcPr>
            <w:tcW w:w="990" w:type="dxa"/>
            <w:tcBorders>
              <w:top w:val="nil"/>
              <w:left w:val="nil"/>
              <w:bottom w:val="single" w:sz="8" w:space="0" w:color="auto"/>
              <w:right w:val="single" w:sz="8" w:space="0" w:color="auto"/>
            </w:tcBorders>
            <w:shd w:val="clear" w:color="auto" w:fill="auto"/>
            <w:vAlign w:val="center"/>
          </w:tcPr>
          <w:p w14:paraId="482C6BED" w14:textId="77777777" w:rsidR="00335619" w:rsidRPr="0023367D" w:rsidRDefault="00335619" w:rsidP="00335619">
            <w:pPr>
              <w:jc w:val="center"/>
              <w:rPr>
                <w:color w:val="000000"/>
                <w:sz w:val="19"/>
                <w:szCs w:val="19"/>
              </w:rPr>
            </w:pPr>
            <w:r w:rsidRPr="0023367D">
              <w:rPr>
                <w:color w:val="000000"/>
                <w:sz w:val="19"/>
                <w:szCs w:val="19"/>
              </w:rPr>
              <w:t>36.9%</w:t>
            </w:r>
          </w:p>
        </w:tc>
        <w:tc>
          <w:tcPr>
            <w:tcW w:w="1006" w:type="dxa"/>
            <w:tcBorders>
              <w:top w:val="nil"/>
              <w:left w:val="nil"/>
              <w:bottom w:val="single" w:sz="8" w:space="0" w:color="auto"/>
              <w:right w:val="single" w:sz="8" w:space="0" w:color="auto"/>
            </w:tcBorders>
            <w:shd w:val="clear" w:color="auto" w:fill="auto"/>
            <w:vAlign w:val="center"/>
          </w:tcPr>
          <w:p w14:paraId="6B352F86" w14:textId="77777777" w:rsidR="00335619" w:rsidRPr="0023367D" w:rsidRDefault="00335619" w:rsidP="00335619">
            <w:pPr>
              <w:jc w:val="center"/>
              <w:rPr>
                <w:color w:val="000000"/>
                <w:sz w:val="19"/>
                <w:szCs w:val="19"/>
              </w:rPr>
            </w:pPr>
            <w:r w:rsidRPr="0023367D">
              <w:rPr>
                <w:color w:val="000000"/>
                <w:sz w:val="19"/>
                <w:szCs w:val="19"/>
              </w:rPr>
              <w:t>17.7%</w:t>
            </w:r>
          </w:p>
        </w:tc>
        <w:tc>
          <w:tcPr>
            <w:tcW w:w="1525" w:type="dxa"/>
            <w:gridSpan w:val="2"/>
            <w:tcBorders>
              <w:top w:val="nil"/>
              <w:left w:val="nil"/>
              <w:bottom w:val="single" w:sz="8" w:space="0" w:color="auto"/>
              <w:right w:val="single" w:sz="4" w:space="0" w:color="auto"/>
            </w:tcBorders>
            <w:shd w:val="clear" w:color="auto" w:fill="auto"/>
            <w:noWrap/>
            <w:vAlign w:val="center"/>
          </w:tcPr>
          <w:p w14:paraId="726D0C02" w14:textId="77777777" w:rsidR="00335619" w:rsidRPr="0023367D" w:rsidRDefault="00335619" w:rsidP="00335619">
            <w:pPr>
              <w:jc w:val="center"/>
              <w:rPr>
                <w:color w:val="000000"/>
                <w:sz w:val="19"/>
                <w:szCs w:val="19"/>
              </w:rPr>
            </w:pPr>
            <w:r w:rsidRPr="0023367D">
              <w:rPr>
                <w:color w:val="000000"/>
                <w:sz w:val="19"/>
                <w:szCs w:val="19"/>
              </w:rPr>
              <w:t>8.0%</w:t>
            </w:r>
          </w:p>
        </w:tc>
      </w:tr>
      <w:tr w:rsidR="00335619" w:rsidRPr="0023367D" w14:paraId="6C09F8A0"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3149B7F0" w14:textId="77777777" w:rsidR="00335619" w:rsidRPr="0023367D" w:rsidRDefault="00335619" w:rsidP="00335619">
            <w:pPr>
              <w:jc w:val="center"/>
              <w:rPr>
                <w:color w:val="000000"/>
                <w:sz w:val="19"/>
                <w:szCs w:val="19"/>
              </w:rPr>
            </w:pPr>
            <w:r w:rsidRPr="0023367D">
              <w:rPr>
                <w:bCs/>
                <w:color w:val="000000"/>
                <w:sz w:val="19"/>
                <w:szCs w:val="19"/>
                <w:lang w:bidi="he-IL"/>
              </w:rPr>
              <w:t>2010</w:t>
            </w:r>
          </w:p>
        </w:tc>
        <w:tc>
          <w:tcPr>
            <w:tcW w:w="1012" w:type="dxa"/>
            <w:tcBorders>
              <w:top w:val="nil"/>
              <w:left w:val="nil"/>
              <w:bottom w:val="single" w:sz="8" w:space="0" w:color="auto"/>
              <w:right w:val="single" w:sz="8" w:space="0" w:color="auto"/>
            </w:tcBorders>
            <w:shd w:val="clear" w:color="auto" w:fill="auto"/>
            <w:noWrap/>
            <w:vAlign w:val="center"/>
          </w:tcPr>
          <w:p w14:paraId="74225158" w14:textId="77777777" w:rsidR="00335619" w:rsidRPr="0023367D" w:rsidRDefault="00335619" w:rsidP="00335619">
            <w:pPr>
              <w:jc w:val="center"/>
              <w:rPr>
                <w:color w:val="000000"/>
                <w:sz w:val="19"/>
                <w:szCs w:val="19"/>
              </w:rPr>
            </w:pPr>
            <w:r w:rsidRPr="0023367D">
              <w:rPr>
                <w:color w:val="000000"/>
                <w:sz w:val="19"/>
                <w:szCs w:val="19"/>
              </w:rPr>
              <w:t>393</w:t>
            </w:r>
          </w:p>
        </w:tc>
        <w:tc>
          <w:tcPr>
            <w:tcW w:w="909" w:type="dxa"/>
            <w:tcBorders>
              <w:top w:val="nil"/>
              <w:left w:val="nil"/>
              <w:bottom w:val="single" w:sz="8" w:space="0" w:color="auto"/>
              <w:right w:val="single" w:sz="8" w:space="0" w:color="auto"/>
            </w:tcBorders>
            <w:shd w:val="clear" w:color="auto" w:fill="auto"/>
            <w:noWrap/>
            <w:vAlign w:val="center"/>
          </w:tcPr>
          <w:p w14:paraId="63979108" w14:textId="77777777" w:rsidR="00335619" w:rsidRPr="0023367D" w:rsidRDefault="00335619" w:rsidP="00335619">
            <w:pPr>
              <w:jc w:val="center"/>
              <w:rPr>
                <w:color w:val="000000"/>
                <w:sz w:val="19"/>
                <w:szCs w:val="19"/>
              </w:rPr>
            </w:pPr>
            <w:r w:rsidRPr="0023367D">
              <w:rPr>
                <w:color w:val="000000"/>
                <w:sz w:val="19"/>
                <w:szCs w:val="19"/>
              </w:rPr>
              <w:t>30.7%</w:t>
            </w:r>
          </w:p>
        </w:tc>
        <w:tc>
          <w:tcPr>
            <w:tcW w:w="1067" w:type="dxa"/>
            <w:tcBorders>
              <w:top w:val="nil"/>
              <w:left w:val="nil"/>
              <w:bottom w:val="single" w:sz="8" w:space="0" w:color="auto"/>
              <w:right w:val="single" w:sz="8" w:space="0" w:color="auto"/>
            </w:tcBorders>
            <w:shd w:val="clear" w:color="auto" w:fill="auto"/>
            <w:vAlign w:val="center"/>
          </w:tcPr>
          <w:p w14:paraId="48A3C7AF" w14:textId="77777777" w:rsidR="00335619" w:rsidRPr="0023367D" w:rsidRDefault="00335619" w:rsidP="00335619">
            <w:pPr>
              <w:jc w:val="center"/>
              <w:rPr>
                <w:color w:val="000000"/>
                <w:sz w:val="19"/>
                <w:szCs w:val="19"/>
              </w:rPr>
            </w:pPr>
            <w:r w:rsidRPr="0023367D">
              <w:rPr>
                <w:color w:val="000000"/>
                <w:sz w:val="19"/>
                <w:szCs w:val="19"/>
              </w:rPr>
              <w:t>15.4%</w:t>
            </w:r>
          </w:p>
        </w:tc>
        <w:tc>
          <w:tcPr>
            <w:tcW w:w="1591" w:type="dxa"/>
            <w:tcBorders>
              <w:top w:val="nil"/>
              <w:left w:val="nil"/>
              <w:bottom w:val="single" w:sz="8" w:space="0" w:color="auto"/>
              <w:right w:val="single" w:sz="12" w:space="0" w:color="auto"/>
            </w:tcBorders>
            <w:vAlign w:val="center"/>
          </w:tcPr>
          <w:p w14:paraId="4E304E01" w14:textId="77777777" w:rsidR="00335619" w:rsidRPr="0023367D" w:rsidRDefault="00335619" w:rsidP="00335619">
            <w:pPr>
              <w:jc w:val="center"/>
              <w:rPr>
                <w:color w:val="000000"/>
                <w:sz w:val="19"/>
                <w:szCs w:val="19"/>
              </w:rPr>
            </w:pPr>
            <w:r w:rsidRPr="0023367D">
              <w:rPr>
                <w:color w:val="000000"/>
                <w:sz w:val="19"/>
                <w:szCs w:val="19"/>
              </w:rPr>
              <w:t>13.8%</w:t>
            </w:r>
          </w:p>
        </w:tc>
        <w:tc>
          <w:tcPr>
            <w:tcW w:w="720" w:type="dxa"/>
            <w:tcBorders>
              <w:top w:val="nil"/>
              <w:left w:val="single" w:sz="12" w:space="0" w:color="auto"/>
              <w:bottom w:val="single" w:sz="8" w:space="0" w:color="auto"/>
              <w:right w:val="single" w:sz="8" w:space="0" w:color="auto"/>
            </w:tcBorders>
            <w:shd w:val="clear" w:color="auto" w:fill="auto"/>
            <w:vAlign w:val="center"/>
          </w:tcPr>
          <w:p w14:paraId="2E2D5681" w14:textId="77777777" w:rsidR="00335619" w:rsidRPr="0023367D" w:rsidRDefault="00335619" w:rsidP="00335619">
            <w:pPr>
              <w:jc w:val="center"/>
              <w:rPr>
                <w:color w:val="000000"/>
                <w:sz w:val="19"/>
                <w:szCs w:val="19"/>
              </w:rPr>
            </w:pPr>
            <w:r w:rsidRPr="0023367D">
              <w:rPr>
                <w:color w:val="000000"/>
                <w:sz w:val="19"/>
                <w:szCs w:val="19"/>
              </w:rPr>
              <w:t>154</w:t>
            </w:r>
          </w:p>
        </w:tc>
        <w:tc>
          <w:tcPr>
            <w:tcW w:w="990" w:type="dxa"/>
            <w:tcBorders>
              <w:top w:val="nil"/>
              <w:left w:val="nil"/>
              <w:bottom w:val="single" w:sz="8" w:space="0" w:color="auto"/>
              <w:right w:val="single" w:sz="8" w:space="0" w:color="auto"/>
            </w:tcBorders>
            <w:shd w:val="clear" w:color="auto" w:fill="auto"/>
            <w:vAlign w:val="center"/>
          </w:tcPr>
          <w:p w14:paraId="1C5C5A0C" w14:textId="77777777" w:rsidR="00335619" w:rsidRPr="0023367D" w:rsidRDefault="00335619" w:rsidP="00335619">
            <w:pPr>
              <w:jc w:val="center"/>
              <w:rPr>
                <w:color w:val="000000"/>
                <w:sz w:val="19"/>
                <w:szCs w:val="19"/>
              </w:rPr>
            </w:pPr>
            <w:r w:rsidRPr="0023367D">
              <w:rPr>
                <w:color w:val="000000"/>
                <w:sz w:val="19"/>
                <w:szCs w:val="19"/>
              </w:rPr>
              <w:t>38.0%</w:t>
            </w:r>
          </w:p>
        </w:tc>
        <w:tc>
          <w:tcPr>
            <w:tcW w:w="1006" w:type="dxa"/>
            <w:tcBorders>
              <w:top w:val="nil"/>
              <w:left w:val="nil"/>
              <w:bottom w:val="single" w:sz="8" w:space="0" w:color="auto"/>
              <w:right w:val="single" w:sz="8" w:space="0" w:color="auto"/>
            </w:tcBorders>
            <w:shd w:val="clear" w:color="auto" w:fill="auto"/>
            <w:vAlign w:val="center"/>
          </w:tcPr>
          <w:p w14:paraId="1DF74744" w14:textId="77777777" w:rsidR="00335619" w:rsidRPr="0023367D" w:rsidRDefault="00335619" w:rsidP="00335619">
            <w:pPr>
              <w:jc w:val="center"/>
              <w:rPr>
                <w:color w:val="000000"/>
                <w:sz w:val="19"/>
                <w:szCs w:val="19"/>
              </w:rPr>
            </w:pPr>
            <w:r w:rsidRPr="0023367D">
              <w:rPr>
                <w:color w:val="000000"/>
                <w:sz w:val="19"/>
                <w:szCs w:val="19"/>
              </w:rPr>
              <w:t>17.6%</w:t>
            </w:r>
          </w:p>
        </w:tc>
        <w:tc>
          <w:tcPr>
            <w:tcW w:w="1525" w:type="dxa"/>
            <w:gridSpan w:val="2"/>
            <w:tcBorders>
              <w:top w:val="nil"/>
              <w:left w:val="nil"/>
              <w:bottom w:val="single" w:sz="8" w:space="0" w:color="auto"/>
              <w:right w:val="single" w:sz="4" w:space="0" w:color="auto"/>
            </w:tcBorders>
            <w:shd w:val="clear" w:color="auto" w:fill="auto"/>
            <w:noWrap/>
            <w:vAlign w:val="center"/>
          </w:tcPr>
          <w:p w14:paraId="3275CB6E" w14:textId="77777777" w:rsidR="00335619" w:rsidRPr="0023367D" w:rsidRDefault="00335619" w:rsidP="00335619">
            <w:pPr>
              <w:jc w:val="center"/>
              <w:rPr>
                <w:color w:val="000000"/>
                <w:sz w:val="19"/>
                <w:szCs w:val="19"/>
              </w:rPr>
            </w:pPr>
            <w:r w:rsidRPr="0023367D">
              <w:rPr>
                <w:color w:val="000000"/>
                <w:sz w:val="19"/>
                <w:szCs w:val="19"/>
              </w:rPr>
              <w:t>11.1%</w:t>
            </w:r>
          </w:p>
        </w:tc>
      </w:tr>
      <w:tr w:rsidR="00335619" w:rsidRPr="0023367D" w14:paraId="408B7B35"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5593FEC5" w14:textId="77777777" w:rsidR="00335619" w:rsidRPr="0023367D" w:rsidRDefault="00335619" w:rsidP="00335619">
            <w:pPr>
              <w:jc w:val="center"/>
              <w:rPr>
                <w:color w:val="000000"/>
                <w:sz w:val="19"/>
                <w:szCs w:val="19"/>
              </w:rPr>
            </w:pPr>
            <w:r w:rsidRPr="0023367D">
              <w:rPr>
                <w:bCs/>
                <w:color w:val="000000"/>
                <w:sz w:val="19"/>
                <w:szCs w:val="19"/>
                <w:lang w:bidi="he-IL"/>
              </w:rPr>
              <w:t>2011</w:t>
            </w:r>
          </w:p>
        </w:tc>
        <w:tc>
          <w:tcPr>
            <w:tcW w:w="1012" w:type="dxa"/>
            <w:tcBorders>
              <w:top w:val="nil"/>
              <w:left w:val="nil"/>
              <w:bottom w:val="single" w:sz="8" w:space="0" w:color="auto"/>
              <w:right w:val="single" w:sz="8" w:space="0" w:color="auto"/>
            </w:tcBorders>
            <w:shd w:val="clear" w:color="auto" w:fill="auto"/>
            <w:noWrap/>
            <w:vAlign w:val="center"/>
          </w:tcPr>
          <w:p w14:paraId="29A1B418" w14:textId="77777777" w:rsidR="00335619" w:rsidRPr="0023367D" w:rsidRDefault="00335619" w:rsidP="00335619">
            <w:pPr>
              <w:jc w:val="center"/>
              <w:rPr>
                <w:color w:val="000000"/>
                <w:sz w:val="19"/>
                <w:szCs w:val="19"/>
              </w:rPr>
            </w:pPr>
            <w:r w:rsidRPr="0023367D">
              <w:rPr>
                <w:color w:val="000000"/>
                <w:sz w:val="19"/>
                <w:szCs w:val="19"/>
              </w:rPr>
              <w:t>438</w:t>
            </w:r>
          </w:p>
        </w:tc>
        <w:tc>
          <w:tcPr>
            <w:tcW w:w="909" w:type="dxa"/>
            <w:tcBorders>
              <w:top w:val="nil"/>
              <w:left w:val="nil"/>
              <w:bottom w:val="single" w:sz="8" w:space="0" w:color="auto"/>
              <w:right w:val="single" w:sz="8" w:space="0" w:color="auto"/>
            </w:tcBorders>
            <w:shd w:val="clear" w:color="auto" w:fill="auto"/>
            <w:noWrap/>
            <w:vAlign w:val="center"/>
          </w:tcPr>
          <w:p w14:paraId="3B86BF1B" w14:textId="77777777" w:rsidR="00335619" w:rsidRPr="0023367D" w:rsidRDefault="00335619" w:rsidP="00335619">
            <w:pPr>
              <w:jc w:val="center"/>
              <w:rPr>
                <w:color w:val="000000"/>
                <w:sz w:val="19"/>
                <w:szCs w:val="19"/>
              </w:rPr>
            </w:pPr>
            <w:r w:rsidRPr="0023367D">
              <w:rPr>
                <w:color w:val="000000"/>
                <w:sz w:val="19"/>
                <w:szCs w:val="19"/>
              </w:rPr>
              <w:t>23.7%</w:t>
            </w:r>
          </w:p>
        </w:tc>
        <w:tc>
          <w:tcPr>
            <w:tcW w:w="1067" w:type="dxa"/>
            <w:tcBorders>
              <w:top w:val="nil"/>
              <w:left w:val="nil"/>
              <w:bottom w:val="single" w:sz="8" w:space="0" w:color="auto"/>
              <w:right w:val="single" w:sz="8" w:space="0" w:color="auto"/>
            </w:tcBorders>
            <w:shd w:val="clear" w:color="auto" w:fill="auto"/>
            <w:vAlign w:val="center"/>
          </w:tcPr>
          <w:p w14:paraId="3B5E461A" w14:textId="77777777" w:rsidR="00335619" w:rsidRPr="0023367D" w:rsidRDefault="00335619" w:rsidP="00335619">
            <w:pPr>
              <w:jc w:val="center"/>
              <w:rPr>
                <w:color w:val="000000"/>
                <w:sz w:val="19"/>
                <w:szCs w:val="19"/>
              </w:rPr>
            </w:pPr>
            <w:r w:rsidRPr="0023367D">
              <w:rPr>
                <w:color w:val="000000"/>
                <w:sz w:val="19"/>
                <w:szCs w:val="19"/>
              </w:rPr>
              <w:t>13.2%</w:t>
            </w:r>
          </w:p>
        </w:tc>
        <w:tc>
          <w:tcPr>
            <w:tcW w:w="1591" w:type="dxa"/>
            <w:tcBorders>
              <w:top w:val="nil"/>
              <w:left w:val="nil"/>
              <w:bottom w:val="single" w:sz="8" w:space="0" w:color="auto"/>
              <w:right w:val="single" w:sz="12" w:space="0" w:color="auto"/>
            </w:tcBorders>
            <w:vAlign w:val="center"/>
          </w:tcPr>
          <w:p w14:paraId="2AB41E60" w14:textId="77777777" w:rsidR="00335619" w:rsidRPr="0023367D" w:rsidRDefault="00335619" w:rsidP="00335619">
            <w:pPr>
              <w:jc w:val="center"/>
              <w:rPr>
                <w:color w:val="000000"/>
                <w:sz w:val="19"/>
                <w:szCs w:val="19"/>
              </w:rPr>
            </w:pPr>
            <w:r w:rsidRPr="0023367D">
              <w:rPr>
                <w:color w:val="000000"/>
                <w:sz w:val="19"/>
                <w:szCs w:val="19"/>
              </w:rPr>
              <w:t>12.0%</w:t>
            </w:r>
          </w:p>
        </w:tc>
        <w:tc>
          <w:tcPr>
            <w:tcW w:w="720" w:type="dxa"/>
            <w:tcBorders>
              <w:top w:val="nil"/>
              <w:left w:val="single" w:sz="12" w:space="0" w:color="auto"/>
              <w:bottom w:val="single" w:sz="8" w:space="0" w:color="auto"/>
              <w:right w:val="single" w:sz="8" w:space="0" w:color="auto"/>
            </w:tcBorders>
            <w:shd w:val="clear" w:color="auto" w:fill="auto"/>
            <w:vAlign w:val="center"/>
          </w:tcPr>
          <w:p w14:paraId="5AFE14ED" w14:textId="77777777" w:rsidR="00335619" w:rsidRPr="0023367D" w:rsidRDefault="00335619" w:rsidP="00335619">
            <w:pPr>
              <w:jc w:val="center"/>
              <w:rPr>
                <w:color w:val="000000"/>
                <w:sz w:val="19"/>
                <w:szCs w:val="19"/>
              </w:rPr>
            </w:pPr>
            <w:r w:rsidRPr="0023367D">
              <w:rPr>
                <w:color w:val="000000"/>
                <w:sz w:val="19"/>
                <w:szCs w:val="19"/>
              </w:rPr>
              <w:t>177</w:t>
            </w:r>
          </w:p>
        </w:tc>
        <w:tc>
          <w:tcPr>
            <w:tcW w:w="990" w:type="dxa"/>
            <w:tcBorders>
              <w:top w:val="nil"/>
              <w:left w:val="nil"/>
              <w:bottom w:val="single" w:sz="8" w:space="0" w:color="auto"/>
              <w:right w:val="single" w:sz="8" w:space="0" w:color="auto"/>
            </w:tcBorders>
            <w:shd w:val="clear" w:color="auto" w:fill="auto"/>
            <w:vAlign w:val="center"/>
          </w:tcPr>
          <w:p w14:paraId="6075AFF2" w14:textId="77777777" w:rsidR="00335619" w:rsidRPr="0023367D" w:rsidRDefault="00335619" w:rsidP="00335619">
            <w:pPr>
              <w:jc w:val="center"/>
              <w:rPr>
                <w:color w:val="000000"/>
                <w:sz w:val="19"/>
                <w:szCs w:val="19"/>
              </w:rPr>
            </w:pPr>
            <w:r w:rsidRPr="0023367D">
              <w:rPr>
                <w:color w:val="000000"/>
                <w:sz w:val="19"/>
                <w:szCs w:val="19"/>
              </w:rPr>
              <w:t>28.7%</w:t>
            </w:r>
          </w:p>
        </w:tc>
        <w:tc>
          <w:tcPr>
            <w:tcW w:w="1006" w:type="dxa"/>
            <w:tcBorders>
              <w:top w:val="nil"/>
              <w:left w:val="nil"/>
              <w:bottom w:val="single" w:sz="8" w:space="0" w:color="auto"/>
              <w:right w:val="single" w:sz="8" w:space="0" w:color="auto"/>
            </w:tcBorders>
            <w:shd w:val="clear" w:color="auto" w:fill="auto"/>
            <w:vAlign w:val="center"/>
          </w:tcPr>
          <w:p w14:paraId="1DEBCDAE" w14:textId="77777777" w:rsidR="00335619" w:rsidRPr="0023367D" w:rsidRDefault="00335619" w:rsidP="00335619">
            <w:pPr>
              <w:jc w:val="center"/>
              <w:rPr>
                <w:color w:val="000000"/>
                <w:sz w:val="19"/>
                <w:szCs w:val="19"/>
              </w:rPr>
            </w:pPr>
            <w:r w:rsidRPr="0023367D">
              <w:rPr>
                <w:color w:val="000000"/>
                <w:sz w:val="19"/>
                <w:szCs w:val="19"/>
              </w:rPr>
              <w:t>17.2%</w:t>
            </w:r>
          </w:p>
        </w:tc>
        <w:tc>
          <w:tcPr>
            <w:tcW w:w="1525" w:type="dxa"/>
            <w:gridSpan w:val="2"/>
            <w:tcBorders>
              <w:top w:val="nil"/>
              <w:left w:val="nil"/>
              <w:bottom w:val="single" w:sz="8" w:space="0" w:color="auto"/>
              <w:right w:val="single" w:sz="4" w:space="0" w:color="auto"/>
            </w:tcBorders>
            <w:shd w:val="clear" w:color="auto" w:fill="auto"/>
            <w:noWrap/>
            <w:vAlign w:val="center"/>
          </w:tcPr>
          <w:p w14:paraId="7A3E3BDD" w14:textId="77777777" w:rsidR="00335619" w:rsidRPr="0023367D" w:rsidRDefault="00335619" w:rsidP="00335619">
            <w:pPr>
              <w:jc w:val="center"/>
              <w:rPr>
                <w:color w:val="000000"/>
                <w:sz w:val="19"/>
                <w:szCs w:val="19"/>
              </w:rPr>
            </w:pPr>
            <w:r w:rsidRPr="0023367D">
              <w:rPr>
                <w:color w:val="000000"/>
                <w:sz w:val="19"/>
                <w:szCs w:val="19"/>
              </w:rPr>
              <w:t>11.1%</w:t>
            </w:r>
          </w:p>
        </w:tc>
      </w:tr>
      <w:tr w:rsidR="00335619" w:rsidRPr="0023367D" w14:paraId="6C68911B" w14:textId="77777777" w:rsidTr="008D56F1">
        <w:trPr>
          <w:trHeight w:val="158"/>
          <w:jc w:val="center"/>
        </w:trPr>
        <w:tc>
          <w:tcPr>
            <w:tcW w:w="1498" w:type="dxa"/>
            <w:tcBorders>
              <w:top w:val="nil"/>
              <w:left w:val="single" w:sz="8" w:space="0" w:color="auto"/>
              <w:bottom w:val="single" w:sz="8" w:space="0" w:color="auto"/>
              <w:right w:val="single" w:sz="8" w:space="0" w:color="auto"/>
            </w:tcBorders>
            <w:shd w:val="clear" w:color="auto" w:fill="auto"/>
            <w:noWrap/>
            <w:vAlign w:val="center"/>
          </w:tcPr>
          <w:p w14:paraId="420265B6" w14:textId="77777777" w:rsidR="00335619" w:rsidRPr="0023367D" w:rsidRDefault="00335619" w:rsidP="00335619">
            <w:pPr>
              <w:jc w:val="center"/>
              <w:rPr>
                <w:color w:val="000000"/>
                <w:sz w:val="19"/>
                <w:szCs w:val="19"/>
              </w:rPr>
            </w:pPr>
            <w:r w:rsidRPr="0023367D">
              <w:rPr>
                <w:bCs/>
                <w:color w:val="000000"/>
                <w:sz w:val="19"/>
                <w:szCs w:val="19"/>
                <w:lang w:bidi="he-IL"/>
              </w:rPr>
              <w:t>2012</w:t>
            </w:r>
          </w:p>
        </w:tc>
        <w:tc>
          <w:tcPr>
            <w:tcW w:w="1012" w:type="dxa"/>
            <w:tcBorders>
              <w:top w:val="nil"/>
              <w:left w:val="nil"/>
              <w:bottom w:val="single" w:sz="8" w:space="0" w:color="auto"/>
              <w:right w:val="single" w:sz="8" w:space="0" w:color="auto"/>
            </w:tcBorders>
            <w:shd w:val="clear" w:color="auto" w:fill="auto"/>
            <w:noWrap/>
            <w:vAlign w:val="center"/>
          </w:tcPr>
          <w:p w14:paraId="7104DF91" w14:textId="77777777" w:rsidR="00335619" w:rsidRPr="0023367D" w:rsidRDefault="00335619" w:rsidP="00335619">
            <w:pPr>
              <w:jc w:val="center"/>
              <w:rPr>
                <w:color w:val="000000"/>
                <w:sz w:val="19"/>
                <w:szCs w:val="19"/>
              </w:rPr>
            </w:pPr>
            <w:r w:rsidRPr="0023367D">
              <w:rPr>
                <w:color w:val="000000"/>
                <w:sz w:val="19"/>
                <w:szCs w:val="19"/>
              </w:rPr>
              <w:t>465</w:t>
            </w:r>
          </w:p>
        </w:tc>
        <w:tc>
          <w:tcPr>
            <w:tcW w:w="909" w:type="dxa"/>
            <w:tcBorders>
              <w:top w:val="nil"/>
              <w:left w:val="nil"/>
              <w:bottom w:val="single" w:sz="8" w:space="0" w:color="auto"/>
              <w:right w:val="single" w:sz="8" w:space="0" w:color="auto"/>
            </w:tcBorders>
            <w:shd w:val="clear" w:color="auto" w:fill="auto"/>
            <w:noWrap/>
            <w:vAlign w:val="center"/>
          </w:tcPr>
          <w:p w14:paraId="63019F75" w14:textId="77777777" w:rsidR="00335619" w:rsidRPr="0023367D" w:rsidRDefault="00335619" w:rsidP="00335619">
            <w:pPr>
              <w:jc w:val="center"/>
              <w:rPr>
                <w:color w:val="000000"/>
                <w:sz w:val="19"/>
                <w:szCs w:val="19"/>
              </w:rPr>
            </w:pPr>
            <w:r w:rsidRPr="0023367D">
              <w:rPr>
                <w:color w:val="000000"/>
                <w:sz w:val="19"/>
                <w:szCs w:val="19"/>
              </w:rPr>
              <w:t>15.5%</w:t>
            </w:r>
          </w:p>
        </w:tc>
        <w:tc>
          <w:tcPr>
            <w:tcW w:w="1067" w:type="dxa"/>
            <w:tcBorders>
              <w:top w:val="nil"/>
              <w:left w:val="nil"/>
              <w:bottom w:val="single" w:sz="8" w:space="0" w:color="auto"/>
              <w:right w:val="single" w:sz="8" w:space="0" w:color="auto"/>
            </w:tcBorders>
            <w:shd w:val="clear" w:color="auto" w:fill="auto"/>
            <w:vAlign w:val="center"/>
          </w:tcPr>
          <w:p w14:paraId="504F26FE" w14:textId="77777777" w:rsidR="00335619" w:rsidRPr="0023367D" w:rsidRDefault="00335619" w:rsidP="00335619">
            <w:pPr>
              <w:jc w:val="center"/>
              <w:rPr>
                <w:color w:val="000000"/>
                <w:sz w:val="19"/>
                <w:szCs w:val="19"/>
              </w:rPr>
            </w:pPr>
            <w:r w:rsidRPr="0023367D">
              <w:rPr>
                <w:color w:val="000000"/>
                <w:sz w:val="19"/>
                <w:szCs w:val="19"/>
              </w:rPr>
              <w:t>10.9%</w:t>
            </w:r>
          </w:p>
        </w:tc>
        <w:tc>
          <w:tcPr>
            <w:tcW w:w="1591" w:type="dxa"/>
            <w:tcBorders>
              <w:top w:val="nil"/>
              <w:left w:val="nil"/>
              <w:bottom w:val="single" w:sz="8" w:space="0" w:color="auto"/>
              <w:right w:val="single" w:sz="12" w:space="0" w:color="auto"/>
            </w:tcBorders>
            <w:vAlign w:val="center"/>
          </w:tcPr>
          <w:p w14:paraId="0797AFCD" w14:textId="77777777" w:rsidR="00335619" w:rsidRPr="0023367D" w:rsidRDefault="00335619" w:rsidP="00335619">
            <w:pPr>
              <w:jc w:val="center"/>
              <w:rPr>
                <w:color w:val="000000"/>
                <w:sz w:val="19"/>
                <w:szCs w:val="19"/>
              </w:rPr>
            </w:pPr>
            <w:r w:rsidRPr="0023367D">
              <w:rPr>
                <w:color w:val="000000"/>
                <w:sz w:val="19"/>
                <w:szCs w:val="19"/>
              </w:rPr>
              <w:t>13.4%</w:t>
            </w:r>
          </w:p>
        </w:tc>
        <w:tc>
          <w:tcPr>
            <w:tcW w:w="720" w:type="dxa"/>
            <w:tcBorders>
              <w:top w:val="nil"/>
              <w:left w:val="single" w:sz="12" w:space="0" w:color="auto"/>
              <w:bottom w:val="single" w:sz="8" w:space="0" w:color="auto"/>
              <w:right w:val="single" w:sz="8" w:space="0" w:color="auto"/>
            </w:tcBorders>
            <w:shd w:val="clear" w:color="auto" w:fill="auto"/>
            <w:vAlign w:val="center"/>
          </w:tcPr>
          <w:p w14:paraId="613FF08F" w14:textId="77777777" w:rsidR="00335619" w:rsidRPr="0023367D" w:rsidRDefault="00335619" w:rsidP="00335619">
            <w:pPr>
              <w:jc w:val="center"/>
              <w:rPr>
                <w:color w:val="000000"/>
                <w:sz w:val="19"/>
                <w:szCs w:val="19"/>
              </w:rPr>
            </w:pPr>
            <w:r w:rsidRPr="0023367D">
              <w:rPr>
                <w:color w:val="000000"/>
                <w:sz w:val="19"/>
                <w:szCs w:val="19"/>
              </w:rPr>
              <w:t>198</w:t>
            </w:r>
          </w:p>
        </w:tc>
        <w:tc>
          <w:tcPr>
            <w:tcW w:w="990" w:type="dxa"/>
            <w:tcBorders>
              <w:top w:val="nil"/>
              <w:left w:val="nil"/>
              <w:bottom w:val="single" w:sz="8" w:space="0" w:color="auto"/>
              <w:right w:val="single" w:sz="8" w:space="0" w:color="auto"/>
            </w:tcBorders>
            <w:shd w:val="clear" w:color="auto" w:fill="auto"/>
            <w:vAlign w:val="center"/>
          </w:tcPr>
          <w:p w14:paraId="6CFC9AC7" w14:textId="77777777" w:rsidR="00335619" w:rsidRPr="0023367D" w:rsidRDefault="00335619" w:rsidP="00335619">
            <w:pPr>
              <w:jc w:val="center"/>
              <w:rPr>
                <w:color w:val="000000"/>
                <w:sz w:val="19"/>
                <w:szCs w:val="19"/>
              </w:rPr>
            </w:pPr>
            <w:r w:rsidRPr="0023367D">
              <w:rPr>
                <w:color w:val="000000"/>
                <w:sz w:val="19"/>
                <w:szCs w:val="19"/>
              </w:rPr>
              <w:t>21.4%</w:t>
            </w:r>
          </w:p>
        </w:tc>
        <w:tc>
          <w:tcPr>
            <w:tcW w:w="1006" w:type="dxa"/>
            <w:tcBorders>
              <w:top w:val="nil"/>
              <w:left w:val="nil"/>
              <w:bottom w:val="single" w:sz="8" w:space="0" w:color="auto"/>
              <w:right w:val="single" w:sz="8" w:space="0" w:color="auto"/>
            </w:tcBorders>
            <w:shd w:val="clear" w:color="auto" w:fill="auto"/>
            <w:vAlign w:val="center"/>
          </w:tcPr>
          <w:p w14:paraId="31CAB5A9" w14:textId="77777777" w:rsidR="00335619" w:rsidRPr="0023367D" w:rsidRDefault="00335619" w:rsidP="00335619">
            <w:pPr>
              <w:jc w:val="center"/>
              <w:rPr>
                <w:color w:val="000000"/>
                <w:sz w:val="19"/>
                <w:szCs w:val="19"/>
              </w:rPr>
            </w:pPr>
            <w:r w:rsidRPr="0023367D">
              <w:rPr>
                <w:color w:val="000000"/>
                <w:sz w:val="19"/>
                <w:szCs w:val="19"/>
              </w:rPr>
              <w:t>16.3%</w:t>
            </w:r>
          </w:p>
        </w:tc>
        <w:tc>
          <w:tcPr>
            <w:tcW w:w="1525" w:type="dxa"/>
            <w:gridSpan w:val="2"/>
            <w:tcBorders>
              <w:top w:val="nil"/>
              <w:left w:val="nil"/>
              <w:bottom w:val="single" w:sz="8" w:space="0" w:color="auto"/>
              <w:right w:val="single" w:sz="4" w:space="0" w:color="auto"/>
            </w:tcBorders>
            <w:shd w:val="clear" w:color="auto" w:fill="auto"/>
            <w:noWrap/>
            <w:vAlign w:val="center"/>
          </w:tcPr>
          <w:p w14:paraId="48A7E77D" w14:textId="77777777" w:rsidR="00335619" w:rsidRPr="0023367D" w:rsidRDefault="00335619" w:rsidP="00335619">
            <w:pPr>
              <w:jc w:val="center"/>
              <w:rPr>
                <w:color w:val="000000"/>
                <w:sz w:val="19"/>
                <w:szCs w:val="19"/>
              </w:rPr>
            </w:pPr>
            <w:r w:rsidRPr="0023367D">
              <w:rPr>
                <w:color w:val="000000"/>
                <w:sz w:val="19"/>
                <w:szCs w:val="19"/>
              </w:rPr>
              <w:t>13.6%</w:t>
            </w:r>
          </w:p>
        </w:tc>
      </w:tr>
      <w:tr w:rsidR="00335619" w:rsidRPr="0023367D" w14:paraId="0CB1F4D8" w14:textId="77777777" w:rsidTr="008D56F1">
        <w:trPr>
          <w:trHeight w:val="158"/>
          <w:jc w:val="center"/>
        </w:trPr>
        <w:tc>
          <w:tcPr>
            <w:tcW w:w="1498"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293ABD4" w14:textId="77777777" w:rsidR="00335619" w:rsidRPr="0023367D" w:rsidRDefault="00335619" w:rsidP="00335619">
            <w:pPr>
              <w:jc w:val="center"/>
              <w:rPr>
                <w:color w:val="000000"/>
                <w:sz w:val="19"/>
                <w:szCs w:val="19"/>
              </w:rPr>
            </w:pPr>
            <w:r w:rsidRPr="0023367D">
              <w:rPr>
                <w:bCs/>
                <w:color w:val="000000"/>
                <w:sz w:val="19"/>
                <w:szCs w:val="19"/>
                <w:lang w:bidi="he-IL"/>
              </w:rPr>
              <w:t>2013</w:t>
            </w:r>
          </w:p>
        </w:tc>
        <w:tc>
          <w:tcPr>
            <w:tcW w:w="1012" w:type="dxa"/>
            <w:tcBorders>
              <w:top w:val="single" w:sz="8" w:space="0" w:color="auto"/>
              <w:left w:val="nil"/>
              <w:bottom w:val="single" w:sz="4" w:space="0" w:color="auto"/>
              <w:right w:val="single" w:sz="8" w:space="0" w:color="auto"/>
            </w:tcBorders>
            <w:shd w:val="clear" w:color="auto" w:fill="auto"/>
            <w:noWrap/>
            <w:vAlign w:val="center"/>
          </w:tcPr>
          <w:p w14:paraId="76339098" w14:textId="77777777" w:rsidR="00335619" w:rsidRPr="0023367D" w:rsidRDefault="00335619" w:rsidP="00335619">
            <w:pPr>
              <w:jc w:val="center"/>
              <w:rPr>
                <w:color w:val="000000"/>
                <w:sz w:val="19"/>
                <w:szCs w:val="19"/>
              </w:rPr>
            </w:pPr>
            <w:r w:rsidRPr="0023367D">
              <w:rPr>
                <w:color w:val="000000"/>
                <w:sz w:val="19"/>
                <w:szCs w:val="19"/>
              </w:rPr>
              <w:t>476</w:t>
            </w:r>
          </w:p>
        </w:tc>
        <w:tc>
          <w:tcPr>
            <w:tcW w:w="909" w:type="dxa"/>
            <w:tcBorders>
              <w:top w:val="single" w:sz="8" w:space="0" w:color="auto"/>
              <w:left w:val="nil"/>
              <w:bottom w:val="single" w:sz="4" w:space="0" w:color="auto"/>
              <w:right w:val="single" w:sz="8" w:space="0" w:color="auto"/>
            </w:tcBorders>
            <w:shd w:val="clear" w:color="auto" w:fill="auto"/>
            <w:noWrap/>
            <w:vAlign w:val="center"/>
          </w:tcPr>
          <w:p w14:paraId="333F1A59" w14:textId="77777777" w:rsidR="00335619" w:rsidRPr="0023367D" w:rsidRDefault="00335619" w:rsidP="00335619">
            <w:pPr>
              <w:jc w:val="center"/>
              <w:rPr>
                <w:color w:val="000000"/>
                <w:sz w:val="19"/>
                <w:szCs w:val="19"/>
              </w:rPr>
            </w:pPr>
            <w:r w:rsidRPr="0023367D">
              <w:rPr>
                <w:color w:val="000000"/>
                <w:sz w:val="19"/>
                <w:szCs w:val="19"/>
              </w:rPr>
              <w:t>16.2%</w:t>
            </w:r>
          </w:p>
        </w:tc>
        <w:tc>
          <w:tcPr>
            <w:tcW w:w="1067" w:type="dxa"/>
            <w:tcBorders>
              <w:top w:val="single" w:sz="8" w:space="0" w:color="auto"/>
              <w:left w:val="nil"/>
              <w:bottom w:val="single" w:sz="4" w:space="0" w:color="auto"/>
              <w:right w:val="single" w:sz="8" w:space="0" w:color="auto"/>
            </w:tcBorders>
            <w:shd w:val="clear" w:color="auto" w:fill="auto"/>
            <w:vAlign w:val="center"/>
          </w:tcPr>
          <w:p w14:paraId="16E28DF1" w14:textId="77777777" w:rsidR="00335619" w:rsidRPr="0023367D" w:rsidRDefault="00335619" w:rsidP="00335619">
            <w:pPr>
              <w:jc w:val="center"/>
              <w:rPr>
                <w:color w:val="000000"/>
                <w:sz w:val="19"/>
                <w:szCs w:val="19"/>
              </w:rPr>
            </w:pPr>
            <w:r w:rsidRPr="0023367D">
              <w:rPr>
                <w:color w:val="000000"/>
                <w:sz w:val="19"/>
                <w:szCs w:val="19"/>
              </w:rPr>
              <w:t>10.4%</w:t>
            </w:r>
          </w:p>
        </w:tc>
        <w:tc>
          <w:tcPr>
            <w:tcW w:w="1591" w:type="dxa"/>
            <w:tcBorders>
              <w:top w:val="single" w:sz="8" w:space="0" w:color="auto"/>
              <w:left w:val="nil"/>
              <w:bottom w:val="single" w:sz="4" w:space="0" w:color="auto"/>
              <w:right w:val="single" w:sz="12" w:space="0" w:color="auto"/>
            </w:tcBorders>
            <w:vAlign w:val="center"/>
          </w:tcPr>
          <w:p w14:paraId="0C6C2694" w14:textId="77777777" w:rsidR="00335619" w:rsidRPr="0023367D" w:rsidRDefault="00335619" w:rsidP="00335619">
            <w:pPr>
              <w:jc w:val="center"/>
              <w:rPr>
                <w:color w:val="000000"/>
                <w:sz w:val="19"/>
                <w:szCs w:val="19"/>
              </w:rPr>
            </w:pPr>
            <w:r w:rsidRPr="0023367D">
              <w:rPr>
                <w:color w:val="000000"/>
                <w:sz w:val="19"/>
                <w:szCs w:val="19"/>
              </w:rPr>
              <w:t>13.8%</w:t>
            </w:r>
          </w:p>
        </w:tc>
        <w:tc>
          <w:tcPr>
            <w:tcW w:w="720" w:type="dxa"/>
            <w:tcBorders>
              <w:top w:val="single" w:sz="8" w:space="0" w:color="auto"/>
              <w:left w:val="single" w:sz="12" w:space="0" w:color="auto"/>
              <w:bottom w:val="single" w:sz="4" w:space="0" w:color="auto"/>
              <w:right w:val="single" w:sz="8" w:space="0" w:color="auto"/>
            </w:tcBorders>
            <w:shd w:val="clear" w:color="auto" w:fill="auto"/>
            <w:vAlign w:val="center"/>
          </w:tcPr>
          <w:p w14:paraId="2C10AEF1" w14:textId="77777777" w:rsidR="00335619" w:rsidRPr="0023367D" w:rsidRDefault="00335619" w:rsidP="00335619">
            <w:pPr>
              <w:jc w:val="center"/>
              <w:rPr>
                <w:color w:val="000000"/>
                <w:sz w:val="19"/>
                <w:szCs w:val="19"/>
              </w:rPr>
            </w:pPr>
            <w:r w:rsidRPr="0023367D">
              <w:rPr>
                <w:color w:val="000000"/>
                <w:sz w:val="19"/>
                <w:szCs w:val="19"/>
              </w:rPr>
              <w:t>212</w:t>
            </w:r>
          </w:p>
        </w:tc>
        <w:tc>
          <w:tcPr>
            <w:tcW w:w="990" w:type="dxa"/>
            <w:tcBorders>
              <w:top w:val="single" w:sz="8" w:space="0" w:color="auto"/>
              <w:left w:val="nil"/>
              <w:bottom w:val="single" w:sz="4" w:space="0" w:color="auto"/>
              <w:right w:val="single" w:sz="8" w:space="0" w:color="auto"/>
            </w:tcBorders>
            <w:shd w:val="clear" w:color="auto" w:fill="auto"/>
            <w:vAlign w:val="center"/>
          </w:tcPr>
          <w:p w14:paraId="17142FB7" w14:textId="77777777" w:rsidR="00335619" w:rsidRPr="0023367D" w:rsidRDefault="00335619" w:rsidP="00335619">
            <w:pPr>
              <w:jc w:val="center"/>
              <w:rPr>
                <w:color w:val="000000"/>
                <w:sz w:val="19"/>
                <w:szCs w:val="19"/>
              </w:rPr>
            </w:pPr>
            <w:r w:rsidRPr="0023367D">
              <w:rPr>
                <w:color w:val="000000"/>
                <w:sz w:val="19"/>
                <w:szCs w:val="19"/>
              </w:rPr>
              <w:t>23.4%</w:t>
            </w:r>
          </w:p>
        </w:tc>
        <w:tc>
          <w:tcPr>
            <w:tcW w:w="1006" w:type="dxa"/>
            <w:tcBorders>
              <w:top w:val="single" w:sz="8" w:space="0" w:color="auto"/>
              <w:left w:val="nil"/>
              <w:bottom w:val="single" w:sz="4" w:space="0" w:color="auto"/>
              <w:right w:val="single" w:sz="8" w:space="0" w:color="auto"/>
            </w:tcBorders>
            <w:shd w:val="clear" w:color="auto" w:fill="auto"/>
            <w:vAlign w:val="center"/>
          </w:tcPr>
          <w:p w14:paraId="7C7742FD" w14:textId="77777777" w:rsidR="00335619" w:rsidRPr="0023367D" w:rsidRDefault="00335619" w:rsidP="00335619">
            <w:pPr>
              <w:jc w:val="center"/>
              <w:rPr>
                <w:color w:val="000000"/>
                <w:sz w:val="19"/>
                <w:szCs w:val="19"/>
              </w:rPr>
            </w:pPr>
            <w:r w:rsidRPr="0023367D">
              <w:rPr>
                <w:color w:val="000000"/>
                <w:sz w:val="19"/>
                <w:szCs w:val="19"/>
              </w:rPr>
              <w:t>16.8%</w:t>
            </w:r>
          </w:p>
        </w:tc>
        <w:tc>
          <w:tcPr>
            <w:tcW w:w="1525" w:type="dxa"/>
            <w:gridSpan w:val="2"/>
            <w:tcBorders>
              <w:top w:val="single" w:sz="8" w:space="0" w:color="auto"/>
              <w:left w:val="nil"/>
              <w:bottom w:val="single" w:sz="4" w:space="0" w:color="auto"/>
              <w:right w:val="single" w:sz="8" w:space="0" w:color="auto"/>
            </w:tcBorders>
            <w:shd w:val="clear" w:color="auto" w:fill="auto"/>
            <w:noWrap/>
            <w:vAlign w:val="center"/>
          </w:tcPr>
          <w:p w14:paraId="0651D701" w14:textId="77777777" w:rsidR="00335619" w:rsidRPr="0023367D" w:rsidRDefault="00335619" w:rsidP="00335619">
            <w:pPr>
              <w:jc w:val="center"/>
              <w:rPr>
                <w:color w:val="000000"/>
                <w:sz w:val="19"/>
                <w:szCs w:val="19"/>
              </w:rPr>
            </w:pPr>
            <w:r w:rsidRPr="0023367D">
              <w:rPr>
                <w:color w:val="000000"/>
                <w:sz w:val="19"/>
                <w:szCs w:val="19"/>
              </w:rPr>
              <w:t>15.1%</w:t>
            </w:r>
          </w:p>
        </w:tc>
      </w:tr>
      <w:tr w:rsidR="00335619" w:rsidRPr="0023367D" w14:paraId="48525546" w14:textId="77777777" w:rsidTr="008D56F1">
        <w:trPr>
          <w:trHeight w:val="576"/>
          <w:jc w:val="center"/>
        </w:trPr>
        <w:tc>
          <w:tcPr>
            <w:tcW w:w="2510"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220AADC8" w14:textId="77777777" w:rsidR="00335619" w:rsidRPr="0023367D" w:rsidRDefault="00335619" w:rsidP="00335619">
            <w:pPr>
              <w:spacing w:before="40"/>
              <w:jc w:val="center"/>
              <w:rPr>
                <w:color w:val="000000"/>
                <w:sz w:val="19"/>
                <w:szCs w:val="19"/>
              </w:rPr>
            </w:pPr>
            <w:r w:rsidRPr="0023367D">
              <w:rPr>
                <w:bCs/>
                <w:color w:val="000000"/>
                <w:sz w:val="19"/>
                <w:szCs w:val="19"/>
                <w:lang w:bidi="he-IL"/>
              </w:rPr>
              <w:t>Trend coefficient (t-stat) from trend-line regression of R</w:t>
            </w:r>
            <w:r w:rsidRPr="0023367D">
              <w:rPr>
                <w:bCs/>
                <w:color w:val="000000"/>
                <w:sz w:val="19"/>
                <w:szCs w:val="19"/>
                <w:vertAlign w:val="superscript"/>
                <w:lang w:bidi="he-IL"/>
              </w:rPr>
              <w:t xml:space="preserve">2 </w:t>
            </w:r>
            <w:r w:rsidRPr="0023367D">
              <w:rPr>
                <w:bCs/>
                <w:color w:val="000000"/>
                <w:sz w:val="19"/>
                <w:szCs w:val="19"/>
                <w:lang w:bidi="he-IL"/>
              </w:rPr>
              <w:t xml:space="preserve">over time </w:t>
            </w:r>
            <w:r w:rsidRPr="0023367D">
              <w:rPr>
                <w:bCs/>
                <w:color w:val="000000"/>
                <w:sz w:val="19"/>
                <w:szCs w:val="19"/>
                <w:vertAlign w:val="superscript"/>
                <w:lang w:bidi="he-IL"/>
              </w:rPr>
              <w:t>(c)</w:t>
            </w:r>
          </w:p>
        </w:tc>
        <w:tc>
          <w:tcPr>
            <w:tcW w:w="909" w:type="dxa"/>
            <w:tcBorders>
              <w:top w:val="single" w:sz="4" w:space="0" w:color="auto"/>
              <w:left w:val="nil"/>
              <w:bottom w:val="single" w:sz="4" w:space="0" w:color="auto"/>
              <w:right w:val="single" w:sz="8" w:space="0" w:color="auto"/>
            </w:tcBorders>
            <w:shd w:val="clear" w:color="auto" w:fill="auto"/>
            <w:noWrap/>
            <w:vAlign w:val="center"/>
          </w:tcPr>
          <w:p w14:paraId="0EB984B0" w14:textId="77777777" w:rsidR="00335619" w:rsidRPr="0023367D" w:rsidRDefault="00335619" w:rsidP="00335619">
            <w:pPr>
              <w:spacing w:before="120"/>
              <w:jc w:val="center"/>
              <w:rPr>
                <w:rFonts w:eastAsia="Calibri"/>
                <w:sz w:val="19"/>
                <w:szCs w:val="19"/>
              </w:rPr>
            </w:pPr>
            <w:r w:rsidRPr="0023367D">
              <w:rPr>
                <w:rFonts w:eastAsia="Calibri"/>
                <w:sz w:val="19"/>
                <w:szCs w:val="19"/>
              </w:rPr>
              <w:t>0.376%</w:t>
            </w:r>
          </w:p>
          <w:p w14:paraId="7E23FBCC" w14:textId="77777777" w:rsidR="00335619" w:rsidRPr="0023367D" w:rsidRDefault="00335619" w:rsidP="00335619">
            <w:pPr>
              <w:spacing w:before="40"/>
              <w:jc w:val="center"/>
              <w:rPr>
                <w:color w:val="000000"/>
                <w:sz w:val="19"/>
                <w:szCs w:val="19"/>
              </w:rPr>
            </w:pPr>
            <w:r w:rsidRPr="0023367D">
              <w:rPr>
                <w:rFonts w:eastAsia="Calibri"/>
                <w:sz w:val="19"/>
                <w:szCs w:val="19"/>
              </w:rPr>
              <w:t>(2.21)</w:t>
            </w:r>
            <w:r w:rsidRPr="0023367D">
              <w:rPr>
                <w:rFonts w:eastAsia="Calibri"/>
                <w:color w:val="000000"/>
                <w:sz w:val="19"/>
                <w:szCs w:val="19"/>
                <w:vertAlign w:val="superscript"/>
              </w:rPr>
              <w:t>**</w:t>
            </w:r>
          </w:p>
        </w:tc>
        <w:tc>
          <w:tcPr>
            <w:tcW w:w="1067" w:type="dxa"/>
            <w:tcBorders>
              <w:top w:val="single" w:sz="4" w:space="0" w:color="auto"/>
              <w:left w:val="nil"/>
              <w:bottom w:val="single" w:sz="4" w:space="0" w:color="auto"/>
              <w:right w:val="single" w:sz="8" w:space="0" w:color="auto"/>
            </w:tcBorders>
            <w:shd w:val="clear" w:color="auto" w:fill="auto"/>
            <w:vAlign w:val="center"/>
          </w:tcPr>
          <w:p w14:paraId="457FB33A" w14:textId="77777777" w:rsidR="00335619" w:rsidRPr="0023367D" w:rsidRDefault="00335619" w:rsidP="00335619">
            <w:pPr>
              <w:spacing w:before="120"/>
              <w:jc w:val="center"/>
              <w:rPr>
                <w:rFonts w:eastAsia="Calibri"/>
                <w:sz w:val="19"/>
                <w:szCs w:val="19"/>
              </w:rPr>
            </w:pPr>
            <w:r w:rsidRPr="0023367D">
              <w:rPr>
                <w:rFonts w:eastAsia="Calibri"/>
                <w:sz w:val="19"/>
                <w:szCs w:val="19"/>
              </w:rPr>
              <w:t>0.121%</w:t>
            </w:r>
          </w:p>
          <w:p w14:paraId="4F0B841F" w14:textId="77777777" w:rsidR="00335619" w:rsidRPr="0023367D" w:rsidRDefault="00335619" w:rsidP="00335619">
            <w:pPr>
              <w:spacing w:before="40"/>
              <w:jc w:val="center"/>
              <w:rPr>
                <w:color w:val="000000"/>
                <w:sz w:val="19"/>
                <w:szCs w:val="19"/>
              </w:rPr>
            </w:pPr>
            <w:r w:rsidRPr="0023367D">
              <w:rPr>
                <w:rFonts w:eastAsia="Calibri"/>
                <w:sz w:val="19"/>
                <w:szCs w:val="19"/>
              </w:rPr>
              <w:t>(1.45)</w:t>
            </w:r>
          </w:p>
        </w:tc>
        <w:tc>
          <w:tcPr>
            <w:tcW w:w="1591" w:type="dxa"/>
            <w:tcBorders>
              <w:top w:val="single" w:sz="4" w:space="0" w:color="auto"/>
              <w:left w:val="nil"/>
              <w:bottom w:val="single" w:sz="4" w:space="0" w:color="auto"/>
              <w:right w:val="single" w:sz="12" w:space="0" w:color="auto"/>
            </w:tcBorders>
            <w:vAlign w:val="center"/>
          </w:tcPr>
          <w:p w14:paraId="07D8811E" w14:textId="77777777" w:rsidR="00335619" w:rsidRPr="0023367D" w:rsidRDefault="00335619" w:rsidP="00335619">
            <w:pPr>
              <w:spacing w:before="120"/>
              <w:jc w:val="center"/>
              <w:rPr>
                <w:rFonts w:eastAsia="Calibri"/>
                <w:sz w:val="19"/>
                <w:szCs w:val="19"/>
              </w:rPr>
            </w:pPr>
            <w:r w:rsidRPr="0023367D">
              <w:rPr>
                <w:rFonts w:eastAsia="Calibri"/>
                <w:sz w:val="19"/>
                <w:szCs w:val="19"/>
              </w:rPr>
              <w:t>-0.333%</w:t>
            </w:r>
          </w:p>
          <w:p w14:paraId="17DE05F0" w14:textId="77777777" w:rsidR="00335619" w:rsidRPr="0023367D" w:rsidRDefault="00335619" w:rsidP="00335619">
            <w:pPr>
              <w:spacing w:before="40"/>
              <w:jc w:val="center"/>
              <w:rPr>
                <w:rFonts w:eastAsia="Calibri"/>
                <w:sz w:val="19"/>
                <w:szCs w:val="19"/>
              </w:rPr>
            </w:pPr>
            <w:r w:rsidRPr="0023367D">
              <w:rPr>
                <w:rFonts w:eastAsia="Calibri"/>
                <w:sz w:val="19"/>
                <w:szCs w:val="19"/>
              </w:rPr>
              <w:t>(-2.46)</w:t>
            </w:r>
            <w:r w:rsidRPr="0023367D">
              <w:rPr>
                <w:rFonts w:eastAsia="Calibri"/>
                <w:color w:val="000000"/>
                <w:sz w:val="19"/>
                <w:szCs w:val="19"/>
                <w:vertAlign w:val="superscript"/>
              </w:rPr>
              <w:t>**</w:t>
            </w:r>
          </w:p>
        </w:tc>
        <w:tc>
          <w:tcPr>
            <w:tcW w:w="720" w:type="dxa"/>
            <w:tcBorders>
              <w:top w:val="single" w:sz="4" w:space="0" w:color="auto"/>
              <w:left w:val="single" w:sz="12" w:space="0" w:color="auto"/>
              <w:bottom w:val="single" w:sz="4" w:space="0" w:color="auto"/>
              <w:right w:val="single" w:sz="8" w:space="0" w:color="auto"/>
            </w:tcBorders>
            <w:shd w:val="clear" w:color="auto" w:fill="auto"/>
            <w:vAlign w:val="center"/>
          </w:tcPr>
          <w:p w14:paraId="3B9677D8" w14:textId="77777777" w:rsidR="00335619" w:rsidRPr="0023367D" w:rsidRDefault="00335619" w:rsidP="00335619">
            <w:pPr>
              <w:jc w:val="center"/>
              <w:rPr>
                <w:color w:val="000000"/>
                <w:sz w:val="19"/>
                <w:szCs w:val="19"/>
              </w:rPr>
            </w:pPr>
          </w:p>
        </w:tc>
        <w:tc>
          <w:tcPr>
            <w:tcW w:w="990" w:type="dxa"/>
            <w:tcBorders>
              <w:top w:val="single" w:sz="4" w:space="0" w:color="auto"/>
              <w:left w:val="nil"/>
              <w:bottom w:val="single" w:sz="4" w:space="0" w:color="auto"/>
              <w:right w:val="single" w:sz="8" w:space="0" w:color="auto"/>
            </w:tcBorders>
            <w:shd w:val="clear" w:color="auto" w:fill="auto"/>
            <w:vAlign w:val="center"/>
          </w:tcPr>
          <w:p w14:paraId="16806107" w14:textId="77777777" w:rsidR="00335619" w:rsidRPr="0023367D" w:rsidRDefault="00335619" w:rsidP="00335619">
            <w:pPr>
              <w:spacing w:before="120"/>
              <w:jc w:val="center"/>
              <w:rPr>
                <w:rFonts w:eastAsia="Calibri"/>
                <w:sz w:val="19"/>
                <w:szCs w:val="19"/>
              </w:rPr>
            </w:pPr>
            <w:r w:rsidRPr="0023367D">
              <w:rPr>
                <w:rFonts w:eastAsia="Calibri"/>
                <w:sz w:val="19"/>
                <w:szCs w:val="19"/>
              </w:rPr>
              <w:t>0.520%</w:t>
            </w:r>
          </w:p>
          <w:p w14:paraId="56170EED" w14:textId="77777777" w:rsidR="00335619" w:rsidRPr="0023367D" w:rsidRDefault="00335619" w:rsidP="00335619">
            <w:pPr>
              <w:spacing w:before="40"/>
              <w:jc w:val="center"/>
              <w:rPr>
                <w:color w:val="000000"/>
                <w:sz w:val="19"/>
                <w:szCs w:val="19"/>
              </w:rPr>
            </w:pPr>
            <w:r w:rsidRPr="0023367D">
              <w:rPr>
                <w:rFonts w:eastAsia="Calibri"/>
                <w:sz w:val="19"/>
                <w:szCs w:val="19"/>
              </w:rPr>
              <w:t>(2.34)</w:t>
            </w:r>
            <w:r w:rsidRPr="0023367D">
              <w:rPr>
                <w:rFonts w:eastAsia="Calibri"/>
                <w:color w:val="000000"/>
                <w:sz w:val="19"/>
                <w:szCs w:val="19"/>
                <w:vertAlign w:val="superscript"/>
              </w:rPr>
              <w:t>**</w:t>
            </w:r>
          </w:p>
        </w:tc>
        <w:tc>
          <w:tcPr>
            <w:tcW w:w="1006" w:type="dxa"/>
            <w:tcBorders>
              <w:top w:val="single" w:sz="4" w:space="0" w:color="auto"/>
              <w:left w:val="nil"/>
              <w:bottom w:val="single" w:sz="4" w:space="0" w:color="auto"/>
              <w:right w:val="single" w:sz="8" w:space="0" w:color="auto"/>
            </w:tcBorders>
            <w:shd w:val="clear" w:color="auto" w:fill="auto"/>
            <w:vAlign w:val="center"/>
          </w:tcPr>
          <w:p w14:paraId="4DA47B94" w14:textId="77777777" w:rsidR="00335619" w:rsidRPr="0023367D" w:rsidRDefault="00335619" w:rsidP="00335619">
            <w:pPr>
              <w:spacing w:before="120"/>
              <w:jc w:val="center"/>
              <w:rPr>
                <w:rFonts w:eastAsia="Calibri"/>
                <w:sz w:val="19"/>
                <w:szCs w:val="19"/>
              </w:rPr>
            </w:pPr>
            <w:r w:rsidRPr="0023367D">
              <w:rPr>
                <w:rFonts w:eastAsia="Calibri"/>
                <w:sz w:val="19"/>
                <w:szCs w:val="19"/>
              </w:rPr>
              <w:t>0.247%</w:t>
            </w:r>
          </w:p>
          <w:p w14:paraId="3A25C2AB" w14:textId="77777777" w:rsidR="00335619" w:rsidRPr="0023367D" w:rsidRDefault="00335619" w:rsidP="00335619">
            <w:pPr>
              <w:spacing w:before="40"/>
              <w:jc w:val="center"/>
              <w:rPr>
                <w:color w:val="000000"/>
                <w:sz w:val="19"/>
                <w:szCs w:val="19"/>
              </w:rPr>
            </w:pPr>
            <w:r w:rsidRPr="0023367D">
              <w:rPr>
                <w:rFonts w:eastAsia="Calibri"/>
                <w:sz w:val="19"/>
                <w:szCs w:val="19"/>
              </w:rPr>
              <w:t>(1.70)</w:t>
            </w:r>
            <w:r w:rsidRPr="0023367D">
              <w:rPr>
                <w:rFonts w:eastAsia="Calibri"/>
                <w:color w:val="000000"/>
                <w:sz w:val="19"/>
                <w:szCs w:val="19"/>
                <w:vertAlign w:val="superscript"/>
              </w:rPr>
              <w:t>*</w:t>
            </w:r>
          </w:p>
        </w:tc>
        <w:tc>
          <w:tcPr>
            <w:tcW w:w="1525" w:type="dxa"/>
            <w:gridSpan w:val="2"/>
            <w:tcBorders>
              <w:top w:val="single" w:sz="4" w:space="0" w:color="auto"/>
              <w:left w:val="nil"/>
              <w:bottom w:val="single" w:sz="4" w:space="0" w:color="auto"/>
              <w:right w:val="single" w:sz="8" w:space="0" w:color="auto"/>
            </w:tcBorders>
            <w:shd w:val="clear" w:color="auto" w:fill="auto"/>
            <w:noWrap/>
            <w:vAlign w:val="center"/>
          </w:tcPr>
          <w:p w14:paraId="55A9F528" w14:textId="77777777" w:rsidR="00335619" w:rsidRPr="0023367D" w:rsidRDefault="00335619" w:rsidP="00335619">
            <w:pPr>
              <w:spacing w:before="120"/>
              <w:jc w:val="center"/>
              <w:rPr>
                <w:rFonts w:eastAsia="Calibri"/>
                <w:sz w:val="19"/>
                <w:szCs w:val="19"/>
              </w:rPr>
            </w:pPr>
            <w:r w:rsidRPr="0023367D">
              <w:rPr>
                <w:rFonts w:eastAsia="Calibri"/>
                <w:sz w:val="19"/>
                <w:szCs w:val="19"/>
              </w:rPr>
              <w:t>-0.169%</w:t>
            </w:r>
          </w:p>
          <w:p w14:paraId="742EF3F8" w14:textId="77777777" w:rsidR="00335619" w:rsidRPr="0023367D" w:rsidRDefault="00335619" w:rsidP="00335619">
            <w:pPr>
              <w:spacing w:before="40"/>
              <w:jc w:val="center"/>
              <w:rPr>
                <w:color w:val="000000"/>
                <w:sz w:val="19"/>
                <w:szCs w:val="19"/>
              </w:rPr>
            </w:pPr>
            <w:r w:rsidRPr="0023367D">
              <w:rPr>
                <w:rFonts w:eastAsia="Calibri"/>
                <w:sz w:val="19"/>
                <w:szCs w:val="19"/>
              </w:rPr>
              <w:t>(-1.09)</w:t>
            </w:r>
          </w:p>
        </w:tc>
      </w:tr>
    </w:tbl>
    <w:p w14:paraId="199E32BA" w14:textId="77777777" w:rsidR="00335619" w:rsidRPr="0023367D" w:rsidRDefault="00335619" w:rsidP="003D36EE">
      <w:pPr>
        <w:tabs>
          <w:tab w:val="left" w:pos="10260"/>
        </w:tabs>
        <w:spacing w:before="40" w:line="259" w:lineRule="auto"/>
        <w:ind w:left="-450" w:right="-486"/>
        <w:rPr>
          <w:b/>
          <w:bCs/>
        </w:rPr>
        <w:sectPr w:rsidR="00335619" w:rsidRPr="0023367D" w:rsidSect="003D36EE">
          <w:headerReference w:type="even" r:id="rId20"/>
          <w:footerReference w:type="default" r:id="rId21"/>
          <w:pgSz w:w="12240" w:h="15840"/>
          <w:pgMar w:top="576" w:right="1296" w:bottom="576" w:left="1440" w:header="720" w:footer="720" w:gutter="0"/>
          <w:cols w:space="720"/>
          <w:titlePg/>
          <w:docGrid w:linePitch="360"/>
        </w:sectPr>
      </w:pPr>
      <w:r w:rsidRPr="0023367D">
        <w:rPr>
          <w:rFonts w:eastAsia="Calibri"/>
          <w:sz w:val="18"/>
          <w:szCs w:val="20"/>
          <w:vertAlign w:val="superscript"/>
        </w:rPr>
        <w:t xml:space="preserve">(a) </w:t>
      </w:r>
      <w:r w:rsidRPr="0023367D">
        <w:rPr>
          <w:rFonts w:eastAsia="Calibri"/>
          <w:sz w:val="18"/>
          <w:szCs w:val="20"/>
        </w:rPr>
        <w:t xml:space="preserve">Homogenous-liquid bonds </w:t>
      </w:r>
      <w:r w:rsidR="00B01D4C" w:rsidRPr="0023367D">
        <w:rPr>
          <w:rFonts w:eastAsia="Calibri"/>
          <w:sz w:val="18"/>
          <w:szCs w:val="20"/>
        </w:rPr>
        <w:t>are</w:t>
      </w:r>
      <w:r w:rsidRPr="0023367D">
        <w:rPr>
          <w:rFonts w:eastAsia="Calibri"/>
          <w:sz w:val="18"/>
          <w:szCs w:val="20"/>
        </w:rPr>
        <w:t xml:space="preserve"> defined in section </w:t>
      </w:r>
      <w:r w:rsidR="00AC1350" w:rsidRPr="0023367D">
        <w:rPr>
          <w:rFonts w:eastAsia="Calibri"/>
          <w:sz w:val="18"/>
          <w:szCs w:val="20"/>
        </w:rPr>
        <w:t>5</w:t>
      </w:r>
      <w:r w:rsidR="003D36EE">
        <w:rPr>
          <w:rFonts w:eastAsia="Calibri"/>
          <w:sz w:val="18"/>
          <w:szCs w:val="20"/>
        </w:rPr>
        <w:t xml:space="preserve">. </w:t>
      </w:r>
      <w:r w:rsidR="003D36EE" w:rsidRPr="003D36EE">
        <w:rPr>
          <w:rFonts w:eastAsia="Calibri"/>
          <w:sz w:val="18"/>
          <w:szCs w:val="20"/>
          <w:vertAlign w:val="superscript"/>
        </w:rPr>
        <w:t>(</w:t>
      </w:r>
      <w:r w:rsidR="00B01D4C" w:rsidRPr="0023367D">
        <w:rPr>
          <w:rFonts w:eastAsia="Calibri"/>
          <w:sz w:val="18"/>
          <w:szCs w:val="20"/>
          <w:vertAlign w:val="superscript"/>
        </w:rPr>
        <w:t xml:space="preserve">b) </w:t>
      </w:r>
      <w:r w:rsidR="00B01D4C" w:rsidRPr="0023367D">
        <w:rPr>
          <w:rFonts w:eastAsia="Calibri"/>
          <w:sz w:val="18"/>
          <w:szCs w:val="20"/>
        </w:rPr>
        <w:t xml:space="preserve">Estimated using bond returns model (5). </w:t>
      </w:r>
      <w:r w:rsidR="00B01D4C" w:rsidRPr="0023367D">
        <w:rPr>
          <w:rFonts w:eastAsia="Calibri"/>
          <w:sz w:val="18"/>
          <w:szCs w:val="20"/>
          <w:vertAlign w:val="superscript"/>
        </w:rPr>
        <w:t xml:space="preserve">(c) </w:t>
      </w:r>
      <w:r w:rsidR="00B01D4C" w:rsidRPr="0023367D">
        <w:rPr>
          <w:rFonts w:eastAsia="Calibri"/>
          <w:sz w:val="18"/>
          <w:szCs w:val="20"/>
        </w:rPr>
        <w:t xml:space="preserve">Estimated using stock returns model (4). </w:t>
      </w:r>
      <w:r w:rsidRPr="0023367D">
        <w:rPr>
          <w:rFonts w:eastAsia="Calibri"/>
          <w:sz w:val="18"/>
          <w:szCs w:val="20"/>
          <w:vertAlign w:val="superscript"/>
        </w:rPr>
        <w:t>(</w:t>
      </w:r>
      <w:r w:rsidR="00B01D4C" w:rsidRPr="0023367D">
        <w:rPr>
          <w:rFonts w:eastAsia="Calibri"/>
          <w:sz w:val="18"/>
          <w:szCs w:val="20"/>
          <w:vertAlign w:val="superscript"/>
        </w:rPr>
        <w:t>c</w:t>
      </w:r>
      <w:r w:rsidRPr="0023367D">
        <w:rPr>
          <w:rFonts w:eastAsia="Calibri"/>
          <w:sz w:val="18"/>
          <w:szCs w:val="20"/>
          <w:vertAlign w:val="superscript"/>
        </w:rPr>
        <w:t xml:space="preserve">) </w:t>
      </w:r>
      <w:r w:rsidRPr="0023367D">
        <w:rPr>
          <w:rFonts w:eastAsia="Calibri"/>
          <w:sz w:val="18"/>
          <w:szCs w:val="20"/>
        </w:rPr>
        <w:t>The Adj. R</w:t>
      </w:r>
      <w:r w:rsidRPr="0023367D">
        <w:rPr>
          <w:rFonts w:eastAsia="Calibri"/>
          <w:sz w:val="18"/>
          <w:szCs w:val="20"/>
          <w:vertAlign w:val="superscript"/>
        </w:rPr>
        <w:t xml:space="preserve">2 </w:t>
      </w:r>
      <w:r w:rsidRPr="0023367D">
        <w:rPr>
          <w:rFonts w:eastAsia="Calibri"/>
          <w:sz w:val="18"/>
          <w:szCs w:val="20"/>
        </w:rPr>
        <w:t>value for each year is the moving average of the annual adjusted R</w:t>
      </w:r>
      <w:r w:rsidRPr="0023367D">
        <w:rPr>
          <w:rFonts w:eastAsia="Calibri"/>
          <w:sz w:val="18"/>
          <w:szCs w:val="20"/>
          <w:vertAlign w:val="superscript"/>
        </w:rPr>
        <w:t xml:space="preserve">2 </w:t>
      </w:r>
      <w:r w:rsidRPr="0023367D">
        <w:rPr>
          <w:rFonts w:eastAsia="Calibri"/>
          <w:sz w:val="18"/>
          <w:szCs w:val="20"/>
        </w:rPr>
        <w:t>over five years centered on that year (except for the two years at each edge of the time-series). R</w:t>
      </w:r>
      <w:r w:rsidRPr="0023367D">
        <w:rPr>
          <w:rFonts w:eastAsia="Calibri"/>
          <w:sz w:val="18"/>
          <w:szCs w:val="20"/>
          <w:vertAlign w:val="superscript"/>
        </w:rPr>
        <w:t>2</w:t>
      </w:r>
      <w:r w:rsidRPr="0023367D">
        <w:rPr>
          <w:rFonts w:eastAsia="Calibri"/>
          <w:sz w:val="18"/>
          <w:szCs w:val="20"/>
        </w:rPr>
        <w:t>A</w:t>
      </w:r>
      <w:r w:rsidRPr="0023367D">
        <w:rPr>
          <w:rFonts w:eastAsia="Calibri"/>
          <w:sz w:val="18"/>
          <w:szCs w:val="20"/>
          <w:vertAlign w:val="subscript"/>
        </w:rPr>
        <w:t>CCT</w:t>
      </w:r>
      <w:r w:rsidRPr="0023367D">
        <w:rPr>
          <w:rFonts w:eastAsia="Calibri"/>
          <w:sz w:val="18"/>
          <w:szCs w:val="20"/>
        </w:rPr>
        <w:t xml:space="preserve"> is the adjusted R</w:t>
      </w:r>
      <w:r w:rsidRPr="0023367D">
        <w:rPr>
          <w:rFonts w:eastAsia="Calibri"/>
          <w:sz w:val="18"/>
          <w:szCs w:val="20"/>
          <w:vertAlign w:val="superscript"/>
        </w:rPr>
        <w:t>2</w:t>
      </w:r>
      <w:r w:rsidRPr="0023367D">
        <w:rPr>
          <w:rFonts w:eastAsia="Calibri"/>
          <w:sz w:val="18"/>
          <w:szCs w:val="20"/>
        </w:rPr>
        <w:t xml:space="preserve"> from the return regression estimated from the accounting variables only. </w:t>
      </w:r>
      <w:r w:rsidRPr="0023367D">
        <w:rPr>
          <w:rFonts w:eastAsia="Calibri"/>
          <w:sz w:val="18"/>
          <w:szCs w:val="20"/>
          <w:vertAlign w:val="superscript"/>
        </w:rPr>
        <w:t>(</w:t>
      </w:r>
      <w:r w:rsidR="00B01D4C" w:rsidRPr="0023367D">
        <w:rPr>
          <w:rFonts w:eastAsia="Calibri"/>
          <w:sz w:val="18"/>
          <w:szCs w:val="20"/>
          <w:vertAlign w:val="superscript"/>
        </w:rPr>
        <w:t>e</w:t>
      </w:r>
      <w:r w:rsidRPr="0023367D">
        <w:rPr>
          <w:rFonts w:eastAsia="Calibri"/>
          <w:sz w:val="18"/>
          <w:szCs w:val="20"/>
          <w:vertAlign w:val="superscript"/>
        </w:rPr>
        <w:t>)</w:t>
      </w:r>
      <w:r w:rsidRPr="0023367D">
        <w:rPr>
          <w:rFonts w:eastAsia="Calibri"/>
          <w:sz w:val="18"/>
          <w:szCs w:val="20"/>
        </w:rPr>
        <w:t xml:space="preserve"> Results are from estimation of a trend-line regression Adj.R</w:t>
      </w:r>
      <w:r w:rsidRPr="0023367D">
        <w:rPr>
          <w:rFonts w:eastAsia="Calibri"/>
          <w:sz w:val="18"/>
          <w:szCs w:val="20"/>
          <w:vertAlign w:val="superscript"/>
        </w:rPr>
        <w:t>2</w:t>
      </w:r>
      <w:r w:rsidRPr="0023367D">
        <w:rPr>
          <w:rFonts w:eastAsia="Calibri"/>
          <w:sz w:val="18"/>
          <w:szCs w:val="20"/>
        </w:rPr>
        <w:t xml:space="preserve"> (%) = a + </w:t>
      </w:r>
      <w:proofErr w:type="spellStart"/>
      <w:r w:rsidRPr="0023367D">
        <w:rPr>
          <w:rFonts w:eastAsia="Calibri"/>
          <w:sz w:val="18"/>
          <w:szCs w:val="20"/>
        </w:rPr>
        <w:t>bT</w:t>
      </w:r>
      <w:proofErr w:type="spellEnd"/>
      <w:r w:rsidRPr="0023367D">
        <w:rPr>
          <w:rFonts w:eastAsia="Calibri"/>
          <w:sz w:val="18"/>
          <w:szCs w:val="20"/>
        </w:rPr>
        <w:t>+ e, estimated from the 39 annual observations where T is a year index, T=1</w:t>
      </w:r>
      <w:proofErr w:type="gramStart"/>
      <w:r w:rsidRPr="0023367D">
        <w:rPr>
          <w:rFonts w:eastAsia="Calibri"/>
          <w:sz w:val="18"/>
          <w:szCs w:val="20"/>
        </w:rPr>
        <w:t>, ,</w:t>
      </w:r>
      <w:proofErr w:type="gramEnd"/>
      <w:r w:rsidRPr="0023367D">
        <w:rPr>
          <w:rFonts w:eastAsia="Calibri"/>
          <w:sz w:val="18"/>
          <w:szCs w:val="20"/>
        </w:rPr>
        <w:t xml:space="preserve"> 39. Asterisks next to t-statistics indicate significance at the 10% (</w:t>
      </w:r>
      <w:r w:rsidRPr="0023367D">
        <w:rPr>
          <w:rFonts w:eastAsia="Calibri"/>
          <w:sz w:val="14"/>
          <w:szCs w:val="20"/>
        </w:rPr>
        <w:t>*</w:t>
      </w:r>
      <w:r w:rsidRPr="0023367D">
        <w:rPr>
          <w:rFonts w:eastAsia="Calibri"/>
          <w:sz w:val="18"/>
          <w:szCs w:val="20"/>
        </w:rPr>
        <w:t>), 5% (</w:t>
      </w:r>
      <w:r w:rsidRPr="0023367D">
        <w:rPr>
          <w:rFonts w:eastAsia="Calibri"/>
          <w:sz w:val="14"/>
          <w:szCs w:val="20"/>
        </w:rPr>
        <w:t>**</w:t>
      </w:r>
      <w:r w:rsidRPr="0023367D">
        <w:rPr>
          <w:rFonts w:eastAsia="Calibri"/>
          <w:sz w:val="18"/>
          <w:szCs w:val="20"/>
        </w:rPr>
        <w:t>) and 1% (</w:t>
      </w:r>
      <w:r w:rsidRPr="0023367D">
        <w:rPr>
          <w:rFonts w:eastAsia="Calibri"/>
          <w:sz w:val="14"/>
          <w:szCs w:val="20"/>
        </w:rPr>
        <w:t>***</w:t>
      </w:r>
      <w:r w:rsidRPr="0023367D">
        <w:rPr>
          <w:rFonts w:eastAsia="Calibri"/>
          <w:sz w:val="18"/>
          <w:szCs w:val="20"/>
        </w:rPr>
        <w:t>) levels, respectively, using a two-tailed test.</w:t>
      </w:r>
      <w:r w:rsidR="003D36EE">
        <w:rPr>
          <w:rFonts w:eastAsia="Calibri"/>
          <w:sz w:val="18"/>
          <w:szCs w:val="20"/>
        </w:rPr>
        <w:t xml:space="preserve"> </w:t>
      </w:r>
      <w:r w:rsidR="003D36EE" w:rsidRPr="0023367D">
        <w:rPr>
          <w:sz w:val="17"/>
          <w:szCs w:val="17"/>
          <w:vertAlign w:val="superscript"/>
        </w:rPr>
        <w:t>(f)</w:t>
      </w:r>
      <w:r w:rsidR="003D36EE" w:rsidRPr="0023367D">
        <w:rPr>
          <w:sz w:val="17"/>
          <w:szCs w:val="17"/>
        </w:rPr>
        <w:t xml:space="preserve"> </w:t>
      </w:r>
      <w:r w:rsidR="003D36EE" w:rsidRPr="0023367D">
        <w:rPr>
          <w:bCs/>
          <w:iCs/>
          <w:sz w:val="17"/>
          <w:szCs w:val="17"/>
        </w:rPr>
        <w:t xml:space="preserve">The number of observations is smaller than the full sample (20,700) </w:t>
      </w:r>
      <w:r w:rsidR="003D36EE">
        <w:rPr>
          <w:bCs/>
          <w:iCs/>
          <w:sz w:val="17"/>
          <w:szCs w:val="17"/>
        </w:rPr>
        <w:t xml:space="preserve">and homogenous-liquid sample (6,536) </w:t>
      </w:r>
      <w:r w:rsidR="003D36EE" w:rsidRPr="0023367D">
        <w:rPr>
          <w:bCs/>
          <w:iCs/>
          <w:sz w:val="17"/>
          <w:szCs w:val="17"/>
        </w:rPr>
        <w:t>due to missing data</w:t>
      </w:r>
      <w:r w:rsidR="003D36EE">
        <w:rPr>
          <w:bCs/>
          <w:iCs/>
          <w:sz w:val="17"/>
          <w:szCs w:val="17"/>
        </w:rPr>
        <w:t xml:space="preserve"> on independent variables.</w:t>
      </w:r>
    </w:p>
    <w:p w14:paraId="650CCA4E" w14:textId="77777777" w:rsidR="00375A37" w:rsidRPr="0023367D" w:rsidRDefault="00375A37" w:rsidP="00375A37">
      <w:pPr>
        <w:tabs>
          <w:tab w:val="left" w:pos="-360"/>
          <w:tab w:val="left" w:pos="90"/>
        </w:tabs>
        <w:ind w:left="-90"/>
        <w:jc w:val="center"/>
        <w:outlineLvl w:val="0"/>
        <w:rPr>
          <w:b/>
          <w:bCs/>
        </w:rPr>
      </w:pPr>
      <w:r w:rsidRPr="0023367D">
        <w:rPr>
          <w:b/>
          <w:bCs/>
        </w:rPr>
        <w:t>Table 5</w:t>
      </w:r>
    </w:p>
    <w:p w14:paraId="36BA1024" w14:textId="77777777" w:rsidR="00375A37" w:rsidRPr="0023367D" w:rsidRDefault="00375A37" w:rsidP="00375A37">
      <w:pPr>
        <w:ind w:left="720"/>
        <w:contextualSpacing/>
        <w:jc w:val="center"/>
        <w:rPr>
          <w:b/>
          <w:bCs/>
        </w:rPr>
      </w:pPr>
      <w:r w:rsidRPr="0023367D">
        <w:rPr>
          <w:b/>
          <w:bCs/>
        </w:rPr>
        <w:t xml:space="preserve">Impact of Individual Variables on Relevance for Bond Holders: </w:t>
      </w:r>
    </w:p>
    <w:p w14:paraId="1B0A0DF2" w14:textId="77777777" w:rsidR="00375A37" w:rsidRPr="0023367D" w:rsidRDefault="00375A37" w:rsidP="00375A37">
      <w:pPr>
        <w:ind w:left="720"/>
        <w:contextualSpacing/>
        <w:jc w:val="center"/>
        <w:rPr>
          <w:b/>
          <w:bCs/>
          <w:vertAlign w:val="superscript"/>
        </w:rPr>
      </w:pPr>
      <w:r w:rsidRPr="0023367D">
        <w:rPr>
          <w:b/>
          <w:bCs/>
        </w:rPr>
        <w:t>Adjusted R</w:t>
      </w:r>
      <w:r w:rsidRPr="0023367D">
        <w:rPr>
          <w:b/>
          <w:bCs/>
          <w:vertAlign w:val="superscript"/>
        </w:rPr>
        <w:t>2</w:t>
      </w:r>
      <w:r w:rsidRPr="0023367D">
        <w:rPr>
          <w:rFonts w:ascii="Times New Roman Bold" w:hAnsi="Times New Roman Bold"/>
          <w:b/>
          <w:bCs/>
          <w:vertAlign w:val="subscript"/>
        </w:rPr>
        <w:t>ACCT</w:t>
      </w:r>
      <w:r w:rsidRPr="0023367D">
        <w:rPr>
          <w:rFonts w:ascii="Times New Roman Bold" w:hAnsi="Times New Roman Bold"/>
          <w:b/>
          <w:bCs/>
        </w:rPr>
        <w:t xml:space="preserve"> from a Single-Variable Regression over a Pooled Firm-Years </w:t>
      </w:r>
      <w:proofErr w:type="gramStart"/>
      <w:r w:rsidRPr="0023367D">
        <w:rPr>
          <w:rFonts w:ascii="Times New Roman Bold" w:hAnsi="Times New Roman Bold"/>
          <w:b/>
          <w:bCs/>
        </w:rPr>
        <w:t>Sample</w:t>
      </w:r>
      <w:r w:rsidRPr="0023367D">
        <w:rPr>
          <w:rFonts w:ascii="Times New Roman Bold" w:hAnsi="Times New Roman Bold"/>
          <w:b/>
          <w:bCs/>
          <w:vertAlign w:val="superscript"/>
        </w:rPr>
        <w:t>(</w:t>
      </w:r>
      <w:proofErr w:type="gramEnd"/>
      <w:r w:rsidRPr="0023367D">
        <w:rPr>
          <w:rFonts w:ascii="Times New Roman Bold" w:hAnsi="Times New Roman Bold"/>
          <w:b/>
          <w:bCs/>
          <w:vertAlign w:val="superscript"/>
        </w:rPr>
        <w:t>a),(b)</w:t>
      </w:r>
    </w:p>
    <w:p w14:paraId="6BC5C0B9" w14:textId="77777777" w:rsidR="00335619" w:rsidRPr="006633AE" w:rsidRDefault="00335619" w:rsidP="00335619">
      <w:pPr>
        <w:spacing w:after="120"/>
        <w:ind w:left="720"/>
        <w:contextualSpacing/>
        <w:jc w:val="center"/>
        <w:rPr>
          <w:sz w:val="12"/>
        </w:rPr>
      </w:pPr>
    </w:p>
    <w:tbl>
      <w:tblPr>
        <w:tblW w:w="14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5"/>
        <w:gridCol w:w="270"/>
        <w:gridCol w:w="720"/>
        <w:gridCol w:w="810"/>
        <w:gridCol w:w="810"/>
        <w:gridCol w:w="900"/>
        <w:gridCol w:w="630"/>
        <w:gridCol w:w="810"/>
        <w:gridCol w:w="720"/>
        <w:gridCol w:w="900"/>
        <w:gridCol w:w="720"/>
        <w:gridCol w:w="888"/>
        <w:gridCol w:w="720"/>
        <w:gridCol w:w="912"/>
        <w:gridCol w:w="540"/>
        <w:gridCol w:w="810"/>
        <w:gridCol w:w="720"/>
        <w:gridCol w:w="978"/>
      </w:tblGrid>
      <w:tr w:rsidR="00A9787F" w:rsidRPr="0023367D" w14:paraId="3FF6AB30" w14:textId="77777777" w:rsidTr="00AE2DE7">
        <w:trPr>
          <w:trHeight w:hRule="exact" w:val="432"/>
          <w:jc w:val="center"/>
        </w:trPr>
        <w:tc>
          <w:tcPr>
            <w:tcW w:w="1375" w:type="dxa"/>
            <w:vMerge w:val="restart"/>
            <w:tcBorders>
              <w:top w:val="nil"/>
              <w:left w:val="nil"/>
              <w:bottom w:val="nil"/>
            </w:tcBorders>
            <w:tcMar>
              <w:left w:w="29" w:type="dxa"/>
              <w:right w:w="29" w:type="dxa"/>
            </w:tcMar>
            <w:vAlign w:val="center"/>
          </w:tcPr>
          <w:p w14:paraId="1C7F61CF" w14:textId="77777777" w:rsidR="00A9787F" w:rsidRPr="0023367D" w:rsidRDefault="00A9787F" w:rsidP="000516BC">
            <w:pPr>
              <w:rPr>
                <w:sz w:val="20"/>
                <w:szCs w:val="22"/>
              </w:rPr>
            </w:pPr>
          </w:p>
        </w:tc>
        <w:tc>
          <w:tcPr>
            <w:tcW w:w="1800" w:type="dxa"/>
            <w:gridSpan w:val="3"/>
            <w:vMerge w:val="restart"/>
            <w:tcBorders>
              <w:left w:val="nil"/>
            </w:tcBorders>
            <w:vAlign w:val="center"/>
          </w:tcPr>
          <w:p w14:paraId="5DD80B8D" w14:textId="77777777" w:rsidR="00A9787F" w:rsidRPr="0023367D" w:rsidRDefault="00A9787F" w:rsidP="000516BC">
            <w:pPr>
              <w:rPr>
                <w:sz w:val="20"/>
                <w:szCs w:val="22"/>
              </w:rPr>
            </w:pPr>
          </w:p>
        </w:tc>
        <w:tc>
          <w:tcPr>
            <w:tcW w:w="1710" w:type="dxa"/>
            <w:gridSpan w:val="2"/>
            <w:vMerge w:val="restart"/>
            <w:tcBorders>
              <w:right w:val="single" w:sz="18" w:space="0" w:color="auto"/>
            </w:tcBorders>
            <w:shd w:val="clear" w:color="auto" w:fill="auto"/>
            <w:tcMar>
              <w:left w:w="29" w:type="dxa"/>
              <w:right w:w="29" w:type="dxa"/>
            </w:tcMar>
            <w:vAlign w:val="center"/>
          </w:tcPr>
          <w:p w14:paraId="444019C2" w14:textId="77777777" w:rsidR="00A9787F" w:rsidRPr="0023367D" w:rsidRDefault="00A9787F" w:rsidP="000516BC">
            <w:pPr>
              <w:jc w:val="center"/>
              <w:rPr>
                <w:sz w:val="20"/>
              </w:rPr>
            </w:pPr>
            <w:r>
              <w:rPr>
                <w:sz w:val="20"/>
              </w:rPr>
              <w:t>All firm-years</w:t>
            </w:r>
          </w:p>
        </w:tc>
        <w:tc>
          <w:tcPr>
            <w:tcW w:w="9348" w:type="dxa"/>
            <w:gridSpan w:val="12"/>
            <w:tcBorders>
              <w:left w:val="single" w:sz="18" w:space="0" w:color="auto"/>
              <w:right w:val="single" w:sz="4" w:space="0" w:color="auto"/>
            </w:tcBorders>
            <w:shd w:val="clear" w:color="auto" w:fill="auto"/>
            <w:noWrap/>
            <w:tcMar>
              <w:left w:w="29" w:type="dxa"/>
              <w:right w:w="29" w:type="dxa"/>
            </w:tcMar>
            <w:vAlign w:val="center"/>
          </w:tcPr>
          <w:p w14:paraId="6A28F2C7" w14:textId="77777777" w:rsidR="00A9787F" w:rsidRPr="0023367D" w:rsidRDefault="00A9787F" w:rsidP="000516BC">
            <w:pPr>
              <w:ind w:left="360"/>
              <w:jc w:val="center"/>
              <w:rPr>
                <w:bCs/>
                <w:color w:val="000000"/>
                <w:sz w:val="18"/>
                <w:szCs w:val="22"/>
              </w:rPr>
            </w:pPr>
            <w:r>
              <w:rPr>
                <w:bCs/>
                <w:color w:val="000000"/>
                <w:sz w:val="20"/>
                <w:szCs w:val="22"/>
              </w:rPr>
              <w:t>Credit Risk assessed by</w:t>
            </w:r>
            <w:r w:rsidR="00072AA7">
              <w:rPr>
                <w:bCs/>
                <w:color w:val="000000"/>
                <w:sz w:val="20"/>
                <w:szCs w:val="22"/>
              </w:rPr>
              <w:t>:</w:t>
            </w:r>
          </w:p>
        </w:tc>
      </w:tr>
      <w:tr w:rsidR="00A9787F" w:rsidRPr="0023367D" w14:paraId="25F57A54" w14:textId="77777777" w:rsidTr="00AE2DE7">
        <w:trPr>
          <w:trHeight w:hRule="exact" w:val="432"/>
          <w:jc w:val="center"/>
        </w:trPr>
        <w:tc>
          <w:tcPr>
            <w:tcW w:w="1375" w:type="dxa"/>
            <w:vMerge/>
            <w:tcBorders>
              <w:top w:val="single" w:sz="18" w:space="0" w:color="auto"/>
              <w:left w:val="nil"/>
              <w:bottom w:val="nil"/>
            </w:tcBorders>
            <w:tcMar>
              <w:left w:w="29" w:type="dxa"/>
              <w:right w:w="29" w:type="dxa"/>
            </w:tcMar>
            <w:vAlign w:val="center"/>
          </w:tcPr>
          <w:p w14:paraId="751223AE" w14:textId="77777777" w:rsidR="00A9787F" w:rsidRPr="0023367D" w:rsidRDefault="00A9787F" w:rsidP="000516BC">
            <w:pPr>
              <w:rPr>
                <w:sz w:val="20"/>
                <w:szCs w:val="22"/>
              </w:rPr>
            </w:pPr>
          </w:p>
        </w:tc>
        <w:tc>
          <w:tcPr>
            <w:tcW w:w="1800" w:type="dxa"/>
            <w:gridSpan w:val="3"/>
            <w:vMerge/>
            <w:tcBorders>
              <w:left w:val="nil"/>
            </w:tcBorders>
            <w:vAlign w:val="center"/>
          </w:tcPr>
          <w:p w14:paraId="53EFC2D8" w14:textId="77777777" w:rsidR="00A9787F" w:rsidRPr="0023367D" w:rsidRDefault="00A9787F" w:rsidP="000516BC">
            <w:pPr>
              <w:rPr>
                <w:sz w:val="20"/>
                <w:szCs w:val="22"/>
              </w:rPr>
            </w:pPr>
          </w:p>
        </w:tc>
        <w:tc>
          <w:tcPr>
            <w:tcW w:w="1710" w:type="dxa"/>
            <w:gridSpan w:val="2"/>
            <w:vMerge/>
            <w:tcBorders>
              <w:right w:val="single" w:sz="18" w:space="0" w:color="auto"/>
            </w:tcBorders>
            <w:shd w:val="clear" w:color="auto" w:fill="auto"/>
            <w:tcMar>
              <w:left w:w="29" w:type="dxa"/>
              <w:right w:w="29" w:type="dxa"/>
            </w:tcMar>
            <w:vAlign w:val="center"/>
          </w:tcPr>
          <w:p w14:paraId="3012C365" w14:textId="77777777" w:rsidR="00A9787F" w:rsidRPr="0023367D" w:rsidRDefault="00A9787F" w:rsidP="000516BC">
            <w:pPr>
              <w:jc w:val="center"/>
              <w:rPr>
                <w:sz w:val="20"/>
              </w:rPr>
            </w:pPr>
          </w:p>
        </w:tc>
        <w:tc>
          <w:tcPr>
            <w:tcW w:w="3060" w:type="dxa"/>
            <w:gridSpan w:val="4"/>
            <w:tcBorders>
              <w:left w:val="single" w:sz="18" w:space="0" w:color="auto"/>
              <w:right w:val="single" w:sz="18" w:space="0" w:color="auto"/>
            </w:tcBorders>
            <w:shd w:val="clear" w:color="auto" w:fill="auto"/>
            <w:noWrap/>
            <w:tcMar>
              <w:left w:w="29" w:type="dxa"/>
              <w:right w:w="29" w:type="dxa"/>
            </w:tcMar>
            <w:vAlign w:val="center"/>
          </w:tcPr>
          <w:p w14:paraId="5ADEB4E2" w14:textId="77777777" w:rsidR="00A9787F" w:rsidRPr="0023367D" w:rsidRDefault="00A9787F" w:rsidP="000516BC">
            <w:pPr>
              <w:jc w:val="center"/>
              <w:rPr>
                <w:bCs/>
                <w:color w:val="000000"/>
                <w:sz w:val="20"/>
              </w:rPr>
            </w:pPr>
            <w:r w:rsidRPr="0023367D">
              <w:rPr>
                <w:bCs/>
                <w:color w:val="000000"/>
                <w:sz w:val="20"/>
                <w:szCs w:val="22"/>
              </w:rPr>
              <w:t>PROB</w:t>
            </w:r>
          </w:p>
        </w:tc>
        <w:tc>
          <w:tcPr>
            <w:tcW w:w="3240" w:type="dxa"/>
            <w:gridSpan w:val="4"/>
            <w:tcBorders>
              <w:left w:val="single" w:sz="18" w:space="0" w:color="auto"/>
              <w:right w:val="single" w:sz="18" w:space="0" w:color="auto"/>
            </w:tcBorders>
            <w:tcMar>
              <w:left w:w="29" w:type="dxa"/>
              <w:right w:w="29" w:type="dxa"/>
            </w:tcMar>
            <w:vAlign w:val="center"/>
          </w:tcPr>
          <w:p w14:paraId="2CCE2EF9" w14:textId="77777777" w:rsidR="00A9787F" w:rsidRPr="0023367D" w:rsidRDefault="00A9787F" w:rsidP="000516BC">
            <w:pPr>
              <w:jc w:val="center"/>
              <w:rPr>
                <w:bCs/>
                <w:color w:val="000000"/>
                <w:sz w:val="20"/>
              </w:rPr>
            </w:pPr>
            <w:proofErr w:type="spellStart"/>
            <w:r w:rsidRPr="0023367D">
              <w:rPr>
                <w:bCs/>
                <w:color w:val="000000"/>
                <w:sz w:val="20"/>
                <w:szCs w:val="22"/>
              </w:rPr>
              <w:t>NegCFO</w:t>
            </w:r>
            <w:proofErr w:type="spellEnd"/>
          </w:p>
        </w:tc>
        <w:tc>
          <w:tcPr>
            <w:tcW w:w="3048" w:type="dxa"/>
            <w:gridSpan w:val="4"/>
            <w:tcBorders>
              <w:left w:val="single" w:sz="18" w:space="0" w:color="auto"/>
              <w:right w:val="single" w:sz="4" w:space="0" w:color="auto"/>
            </w:tcBorders>
            <w:tcMar>
              <w:left w:w="29" w:type="dxa"/>
              <w:right w:w="29" w:type="dxa"/>
            </w:tcMar>
            <w:vAlign w:val="center"/>
          </w:tcPr>
          <w:p w14:paraId="7CECDD5F" w14:textId="77777777" w:rsidR="00A9787F" w:rsidRPr="0023367D" w:rsidRDefault="00A9787F" w:rsidP="000516BC">
            <w:pPr>
              <w:ind w:left="360"/>
              <w:jc w:val="center"/>
              <w:rPr>
                <w:bCs/>
                <w:color w:val="000000"/>
                <w:sz w:val="18"/>
              </w:rPr>
            </w:pPr>
            <w:r w:rsidRPr="0023367D">
              <w:rPr>
                <w:bCs/>
                <w:color w:val="000000"/>
                <w:sz w:val="18"/>
                <w:szCs w:val="22"/>
              </w:rPr>
              <w:t>Bond Ratings</w:t>
            </w:r>
          </w:p>
        </w:tc>
      </w:tr>
      <w:tr w:rsidR="00A9787F" w:rsidRPr="0023367D" w14:paraId="0F4ACB84" w14:textId="77777777" w:rsidTr="00AE2DE7">
        <w:trPr>
          <w:trHeight w:hRule="exact" w:val="432"/>
          <w:jc w:val="center"/>
        </w:trPr>
        <w:tc>
          <w:tcPr>
            <w:tcW w:w="1375" w:type="dxa"/>
            <w:vMerge/>
            <w:tcBorders>
              <w:top w:val="single" w:sz="18" w:space="0" w:color="auto"/>
              <w:left w:val="nil"/>
              <w:bottom w:val="nil"/>
            </w:tcBorders>
            <w:tcMar>
              <w:left w:w="29" w:type="dxa"/>
              <w:right w:w="29" w:type="dxa"/>
            </w:tcMar>
            <w:vAlign w:val="center"/>
          </w:tcPr>
          <w:p w14:paraId="5562A2E2" w14:textId="77777777" w:rsidR="00A9787F" w:rsidRPr="0023367D" w:rsidRDefault="00A9787F" w:rsidP="000516BC">
            <w:pPr>
              <w:rPr>
                <w:sz w:val="20"/>
                <w:szCs w:val="22"/>
              </w:rPr>
            </w:pPr>
          </w:p>
        </w:tc>
        <w:tc>
          <w:tcPr>
            <w:tcW w:w="1800" w:type="dxa"/>
            <w:gridSpan w:val="3"/>
            <w:vMerge/>
            <w:tcBorders>
              <w:left w:val="nil"/>
            </w:tcBorders>
            <w:vAlign w:val="center"/>
          </w:tcPr>
          <w:p w14:paraId="440FA50C" w14:textId="77777777" w:rsidR="00A9787F" w:rsidRPr="0023367D" w:rsidRDefault="00A9787F" w:rsidP="000516BC">
            <w:pPr>
              <w:rPr>
                <w:sz w:val="20"/>
                <w:szCs w:val="22"/>
              </w:rPr>
            </w:pPr>
          </w:p>
        </w:tc>
        <w:tc>
          <w:tcPr>
            <w:tcW w:w="1710" w:type="dxa"/>
            <w:gridSpan w:val="2"/>
            <w:vMerge/>
            <w:tcBorders>
              <w:right w:val="single" w:sz="18" w:space="0" w:color="auto"/>
            </w:tcBorders>
            <w:shd w:val="clear" w:color="auto" w:fill="auto"/>
            <w:tcMar>
              <w:left w:w="29" w:type="dxa"/>
              <w:right w:w="29" w:type="dxa"/>
            </w:tcMar>
            <w:vAlign w:val="center"/>
          </w:tcPr>
          <w:p w14:paraId="273B9B3F" w14:textId="77777777" w:rsidR="00A9787F" w:rsidRPr="0023367D" w:rsidRDefault="00A9787F" w:rsidP="000516BC">
            <w:pPr>
              <w:jc w:val="center"/>
              <w:rPr>
                <w:sz w:val="20"/>
              </w:rPr>
            </w:pPr>
          </w:p>
        </w:tc>
        <w:tc>
          <w:tcPr>
            <w:tcW w:w="1440" w:type="dxa"/>
            <w:gridSpan w:val="2"/>
            <w:tcBorders>
              <w:left w:val="single" w:sz="18" w:space="0" w:color="auto"/>
              <w:right w:val="single" w:sz="12" w:space="0" w:color="auto"/>
            </w:tcBorders>
            <w:shd w:val="clear" w:color="auto" w:fill="auto"/>
            <w:noWrap/>
            <w:tcMar>
              <w:left w:w="29" w:type="dxa"/>
              <w:right w:w="29" w:type="dxa"/>
            </w:tcMar>
            <w:vAlign w:val="center"/>
          </w:tcPr>
          <w:p w14:paraId="34BF8A37" w14:textId="77777777" w:rsidR="00A9787F" w:rsidRPr="0023367D" w:rsidRDefault="00A9787F" w:rsidP="000516BC">
            <w:pPr>
              <w:jc w:val="center"/>
              <w:rPr>
                <w:bCs/>
                <w:color w:val="FF0000"/>
                <w:sz w:val="20"/>
              </w:rPr>
            </w:pPr>
            <w:r w:rsidRPr="0023367D">
              <w:rPr>
                <w:bCs/>
                <w:color w:val="000000"/>
                <w:sz w:val="20"/>
                <w:szCs w:val="22"/>
              </w:rPr>
              <w:t>Low</w:t>
            </w:r>
          </w:p>
        </w:tc>
        <w:tc>
          <w:tcPr>
            <w:tcW w:w="1620" w:type="dxa"/>
            <w:gridSpan w:val="2"/>
            <w:tcBorders>
              <w:left w:val="single" w:sz="12" w:space="0" w:color="auto"/>
              <w:right w:val="single" w:sz="18" w:space="0" w:color="auto"/>
            </w:tcBorders>
            <w:shd w:val="clear" w:color="auto" w:fill="auto"/>
            <w:tcMar>
              <w:left w:w="29" w:type="dxa"/>
              <w:right w:w="29" w:type="dxa"/>
            </w:tcMar>
            <w:vAlign w:val="center"/>
          </w:tcPr>
          <w:p w14:paraId="33264104" w14:textId="77777777" w:rsidR="00A9787F" w:rsidRPr="0023367D" w:rsidRDefault="00A9787F" w:rsidP="000516BC">
            <w:pPr>
              <w:jc w:val="center"/>
              <w:rPr>
                <w:bCs/>
                <w:color w:val="FF0000"/>
                <w:sz w:val="20"/>
              </w:rPr>
            </w:pPr>
            <w:r w:rsidRPr="0023367D">
              <w:rPr>
                <w:bCs/>
                <w:color w:val="000000"/>
                <w:sz w:val="20"/>
                <w:szCs w:val="22"/>
              </w:rPr>
              <w:t>High</w:t>
            </w:r>
          </w:p>
        </w:tc>
        <w:tc>
          <w:tcPr>
            <w:tcW w:w="1608" w:type="dxa"/>
            <w:gridSpan w:val="2"/>
            <w:tcBorders>
              <w:left w:val="single" w:sz="18" w:space="0" w:color="auto"/>
              <w:right w:val="single" w:sz="12" w:space="0" w:color="auto"/>
            </w:tcBorders>
            <w:tcMar>
              <w:left w:w="29" w:type="dxa"/>
              <w:right w:w="29" w:type="dxa"/>
            </w:tcMar>
            <w:vAlign w:val="center"/>
          </w:tcPr>
          <w:p w14:paraId="5D98F28B" w14:textId="77777777" w:rsidR="00A9787F" w:rsidRPr="0023367D" w:rsidRDefault="00A9787F" w:rsidP="000516BC">
            <w:pPr>
              <w:jc w:val="center"/>
              <w:rPr>
                <w:bCs/>
                <w:color w:val="000000"/>
                <w:sz w:val="18"/>
                <w:szCs w:val="22"/>
              </w:rPr>
            </w:pPr>
            <w:r>
              <w:rPr>
                <w:bCs/>
                <w:color w:val="000000"/>
                <w:sz w:val="18"/>
                <w:szCs w:val="22"/>
              </w:rPr>
              <w:t>No</w:t>
            </w:r>
          </w:p>
        </w:tc>
        <w:tc>
          <w:tcPr>
            <w:tcW w:w="1632" w:type="dxa"/>
            <w:gridSpan w:val="2"/>
            <w:tcBorders>
              <w:left w:val="single" w:sz="12" w:space="0" w:color="auto"/>
              <w:right w:val="single" w:sz="18" w:space="0" w:color="auto"/>
            </w:tcBorders>
            <w:tcMar>
              <w:left w:w="29" w:type="dxa"/>
              <w:right w:w="29" w:type="dxa"/>
            </w:tcMar>
            <w:vAlign w:val="center"/>
          </w:tcPr>
          <w:p w14:paraId="4F9DB242" w14:textId="77777777" w:rsidR="00A9787F" w:rsidRPr="0023367D" w:rsidRDefault="00A9787F" w:rsidP="000516BC">
            <w:pPr>
              <w:jc w:val="center"/>
              <w:rPr>
                <w:bCs/>
                <w:color w:val="000000"/>
                <w:sz w:val="18"/>
                <w:szCs w:val="22"/>
              </w:rPr>
            </w:pPr>
            <w:r>
              <w:rPr>
                <w:bCs/>
                <w:color w:val="000000"/>
                <w:sz w:val="18"/>
                <w:szCs w:val="22"/>
              </w:rPr>
              <w:t>Yes</w:t>
            </w:r>
          </w:p>
        </w:tc>
        <w:tc>
          <w:tcPr>
            <w:tcW w:w="1350" w:type="dxa"/>
            <w:gridSpan w:val="2"/>
            <w:tcBorders>
              <w:left w:val="single" w:sz="18" w:space="0" w:color="auto"/>
              <w:right w:val="single" w:sz="12" w:space="0" w:color="auto"/>
            </w:tcBorders>
            <w:tcMar>
              <w:left w:w="29" w:type="dxa"/>
              <w:right w:w="29" w:type="dxa"/>
            </w:tcMar>
            <w:vAlign w:val="center"/>
          </w:tcPr>
          <w:p w14:paraId="6FCC802A" w14:textId="77777777" w:rsidR="00A9787F" w:rsidRPr="0023367D" w:rsidRDefault="00A9787F" w:rsidP="000516BC">
            <w:pPr>
              <w:jc w:val="center"/>
              <w:rPr>
                <w:bCs/>
                <w:color w:val="000000"/>
                <w:sz w:val="18"/>
                <w:szCs w:val="22"/>
              </w:rPr>
            </w:pPr>
            <w:r w:rsidRPr="0023367D">
              <w:rPr>
                <w:bCs/>
                <w:color w:val="000000"/>
                <w:sz w:val="18"/>
                <w:szCs w:val="22"/>
              </w:rPr>
              <w:t>Investment Grade</w:t>
            </w:r>
          </w:p>
        </w:tc>
        <w:tc>
          <w:tcPr>
            <w:tcW w:w="1698" w:type="dxa"/>
            <w:gridSpan w:val="2"/>
            <w:tcBorders>
              <w:left w:val="single" w:sz="12" w:space="0" w:color="auto"/>
              <w:right w:val="single" w:sz="4" w:space="0" w:color="auto"/>
            </w:tcBorders>
            <w:tcMar>
              <w:left w:w="29" w:type="dxa"/>
              <w:right w:w="29" w:type="dxa"/>
            </w:tcMar>
            <w:vAlign w:val="center"/>
          </w:tcPr>
          <w:p w14:paraId="135DC492" w14:textId="77777777" w:rsidR="00A9787F" w:rsidRPr="0023367D" w:rsidRDefault="00A9787F" w:rsidP="000516BC">
            <w:pPr>
              <w:jc w:val="center"/>
              <w:rPr>
                <w:bCs/>
                <w:color w:val="000000"/>
                <w:sz w:val="18"/>
                <w:szCs w:val="22"/>
              </w:rPr>
            </w:pPr>
            <w:r>
              <w:rPr>
                <w:bCs/>
                <w:color w:val="000000"/>
                <w:sz w:val="18"/>
                <w:szCs w:val="22"/>
              </w:rPr>
              <w:t>High Yield</w:t>
            </w:r>
          </w:p>
        </w:tc>
      </w:tr>
      <w:tr w:rsidR="00A9787F" w:rsidRPr="0023367D" w14:paraId="766A4424" w14:textId="77777777" w:rsidTr="00AE2DE7">
        <w:trPr>
          <w:trHeight w:hRule="exact" w:val="576"/>
          <w:jc w:val="center"/>
        </w:trPr>
        <w:tc>
          <w:tcPr>
            <w:tcW w:w="1375" w:type="dxa"/>
            <w:tcBorders>
              <w:top w:val="nil"/>
              <w:left w:val="nil"/>
              <w:bottom w:val="nil"/>
            </w:tcBorders>
            <w:tcMar>
              <w:left w:w="29" w:type="dxa"/>
              <w:right w:w="29" w:type="dxa"/>
            </w:tcMar>
            <w:vAlign w:val="center"/>
          </w:tcPr>
          <w:p w14:paraId="436E3C74" w14:textId="77777777" w:rsidR="00A9787F" w:rsidRPr="0023367D" w:rsidRDefault="00A9787F" w:rsidP="000516BC">
            <w:pPr>
              <w:rPr>
                <w:sz w:val="20"/>
                <w:szCs w:val="22"/>
              </w:rPr>
            </w:pPr>
          </w:p>
        </w:tc>
        <w:tc>
          <w:tcPr>
            <w:tcW w:w="1800" w:type="dxa"/>
            <w:gridSpan w:val="3"/>
            <w:tcBorders>
              <w:left w:val="nil"/>
            </w:tcBorders>
            <w:vAlign w:val="center"/>
          </w:tcPr>
          <w:p w14:paraId="7711FC23" w14:textId="77777777" w:rsidR="00A9787F" w:rsidRPr="0023367D" w:rsidRDefault="00A9787F" w:rsidP="000516BC">
            <w:pPr>
              <w:rPr>
                <w:sz w:val="20"/>
                <w:szCs w:val="22"/>
              </w:rPr>
            </w:pPr>
          </w:p>
        </w:tc>
        <w:tc>
          <w:tcPr>
            <w:tcW w:w="810" w:type="dxa"/>
            <w:shd w:val="clear" w:color="auto" w:fill="auto"/>
            <w:tcMar>
              <w:left w:w="29" w:type="dxa"/>
              <w:right w:w="29" w:type="dxa"/>
            </w:tcMar>
            <w:vAlign w:val="center"/>
          </w:tcPr>
          <w:p w14:paraId="0802CE4B" w14:textId="77777777" w:rsidR="00A9787F" w:rsidRPr="0023367D" w:rsidRDefault="00A9787F" w:rsidP="000516BC">
            <w:pPr>
              <w:jc w:val="center"/>
              <w:rPr>
                <w:color w:val="000000"/>
                <w:sz w:val="20"/>
                <w:szCs w:val="20"/>
              </w:rPr>
            </w:pPr>
            <w:r w:rsidRPr="0023367D">
              <w:rPr>
                <w:color w:val="000000"/>
                <w:sz w:val="20"/>
                <w:szCs w:val="20"/>
              </w:rPr>
              <w:t>N</w:t>
            </w:r>
          </w:p>
        </w:tc>
        <w:tc>
          <w:tcPr>
            <w:tcW w:w="900" w:type="dxa"/>
            <w:tcBorders>
              <w:right w:val="single" w:sz="18" w:space="0" w:color="auto"/>
            </w:tcBorders>
            <w:shd w:val="clear" w:color="auto" w:fill="auto"/>
            <w:noWrap/>
            <w:tcMar>
              <w:left w:w="29" w:type="dxa"/>
              <w:right w:w="29" w:type="dxa"/>
            </w:tcMar>
            <w:vAlign w:val="center"/>
          </w:tcPr>
          <w:p w14:paraId="6EB0C539" w14:textId="77777777" w:rsidR="00A9787F" w:rsidRPr="0023367D" w:rsidRDefault="00A9787F" w:rsidP="000516BC">
            <w:pPr>
              <w:jc w:val="center"/>
              <w:rPr>
                <w:color w:val="000000"/>
                <w:sz w:val="20"/>
                <w:szCs w:val="20"/>
              </w:rPr>
            </w:pPr>
            <w:r w:rsidRPr="0023367D">
              <w:rPr>
                <w:sz w:val="20"/>
                <w:szCs w:val="20"/>
              </w:rPr>
              <w:t>Adj. R</w:t>
            </w:r>
            <w:r w:rsidRPr="0023367D">
              <w:rPr>
                <w:sz w:val="20"/>
                <w:szCs w:val="20"/>
                <w:vertAlign w:val="superscript"/>
              </w:rPr>
              <w:t>2</w:t>
            </w:r>
            <w:r w:rsidRPr="0023367D">
              <w:rPr>
                <w:sz w:val="20"/>
                <w:szCs w:val="20"/>
                <w:vertAlign w:val="subscript"/>
              </w:rPr>
              <w:t>ACCT</w:t>
            </w:r>
          </w:p>
        </w:tc>
        <w:tc>
          <w:tcPr>
            <w:tcW w:w="630" w:type="dxa"/>
            <w:tcBorders>
              <w:left w:val="single" w:sz="18" w:space="0" w:color="auto"/>
            </w:tcBorders>
            <w:shd w:val="clear" w:color="auto" w:fill="auto"/>
            <w:noWrap/>
            <w:tcMar>
              <w:left w:w="29" w:type="dxa"/>
              <w:right w:w="29" w:type="dxa"/>
            </w:tcMar>
            <w:vAlign w:val="center"/>
          </w:tcPr>
          <w:p w14:paraId="0E8AFB78" w14:textId="77777777" w:rsidR="00A9787F" w:rsidRPr="0023367D" w:rsidRDefault="00A9787F" w:rsidP="000516BC">
            <w:pPr>
              <w:jc w:val="center"/>
              <w:rPr>
                <w:color w:val="000000"/>
                <w:sz w:val="20"/>
                <w:szCs w:val="20"/>
              </w:rPr>
            </w:pPr>
            <w:r w:rsidRPr="0023367D">
              <w:rPr>
                <w:color w:val="000000"/>
                <w:sz w:val="20"/>
                <w:szCs w:val="20"/>
              </w:rPr>
              <w:t>N</w:t>
            </w:r>
          </w:p>
        </w:tc>
        <w:tc>
          <w:tcPr>
            <w:tcW w:w="810" w:type="dxa"/>
            <w:tcBorders>
              <w:right w:val="single" w:sz="12" w:space="0" w:color="auto"/>
            </w:tcBorders>
            <w:shd w:val="clear" w:color="auto" w:fill="auto"/>
            <w:noWrap/>
            <w:tcMar>
              <w:left w:w="29" w:type="dxa"/>
              <w:right w:w="29" w:type="dxa"/>
            </w:tcMar>
            <w:vAlign w:val="center"/>
          </w:tcPr>
          <w:p w14:paraId="04DDE378" w14:textId="77777777" w:rsidR="00A9787F" w:rsidRPr="0023367D" w:rsidRDefault="00A9787F" w:rsidP="000516BC">
            <w:pPr>
              <w:jc w:val="center"/>
              <w:rPr>
                <w:color w:val="000000"/>
                <w:sz w:val="20"/>
                <w:szCs w:val="20"/>
              </w:rPr>
            </w:pPr>
            <w:r>
              <w:rPr>
                <w:sz w:val="20"/>
                <w:szCs w:val="20"/>
              </w:rPr>
              <w:t>Adj. R</w:t>
            </w:r>
            <w:r>
              <w:rPr>
                <w:sz w:val="20"/>
                <w:szCs w:val="20"/>
                <w:vertAlign w:val="superscript"/>
              </w:rPr>
              <w:t>2</w:t>
            </w:r>
            <w:r>
              <w:rPr>
                <w:sz w:val="20"/>
                <w:szCs w:val="20"/>
                <w:vertAlign w:val="subscript"/>
              </w:rPr>
              <w:t>ACCT</w:t>
            </w:r>
          </w:p>
        </w:tc>
        <w:tc>
          <w:tcPr>
            <w:tcW w:w="720" w:type="dxa"/>
            <w:tcBorders>
              <w:left w:val="single" w:sz="12" w:space="0" w:color="auto"/>
            </w:tcBorders>
            <w:shd w:val="clear" w:color="auto" w:fill="auto"/>
            <w:tcMar>
              <w:left w:w="29" w:type="dxa"/>
              <w:right w:w="29" w:type="dxa"/>
            </w:tcMar>
            <w:vAlign w:val="center"/>
          </w:tcPr>
          <w:p w14:paraId="4F6C20E6" w14:textId="77777777" w:rsidR="00A9787F" w:rsidRDefault="00A9787F" w:rsidP="000516BC">
            <w:pPr>
              <w:jc w:val="center"/>
              <w:rPr>
                <w:color w:val="000000"/>
                <w:sz w:val="20"/>
                <w:szCs w:val="20"/>
              </w:rPr>
            </w:pPr>
            <w:r>
              <w:rPr>
                <w:color w:val="000000"/>
                <w:sz w:val="20"/>
                <w:szCs w:val="20"/>
              </w:rPr>
              <w:t>N</w:t>
            </w:r>
          </w:p>
        </w:tc>
        <w:tc>
          <w:tcPr>
            <w:tcW w:w="900" w:type="dxa"/>
            <w:tcBorders>
              <w:right w:val="single" w:sz="18" w:space="0" w:color="auto"/>
            </w:tcBorders>
            <w:shd w:val="clear" w:color="auto" w:fill="auto"/>
            <w:tcMar>
              <w:left w:w="29" w:type="dxa"/>
              <w:right w:w="29" w:type="dxa"/>
            </w:tcMar>
            <w:vAlign w:val="center"/>
          </w:tcPr>
          <w:p w14:paraId="0236FB23" w14:textId="77777777" w:rsidR="00A9787F" w:rsidRDefault="00A9787F" w:rsidP="000516BC">
            <w:pPr>
              <w:jc w:val="center"/>
              <w:rPr>
                <w:color w:val="000000"/>
                <w:sz w:val="20"/>
                <w:szCs w:val="20"/>
              </w:rPr>
            </w:pPr>
            <w:r>
              <w:rPr>
                <w:sz w:val="20"/>
                <w:szCs w:val="20"/>
              </w:rPr>
              <w:t>Adj. R</w:t>
            </w:r>
            <w:r>
              <w:rPr>
                <w:sz w:val="20"/>
                <w:szCs w:val="20"/>
                <w:vertAlign w:val="superscript"/>
              </w:rPr>
              <w:t>2</w:t>
            </w:r>
            <w:r>
              <w:rPr>
                <w:sz w:val="20"/>
                <w:szCs w:val="20"/>
                <w:vertAlign w:val="subscript"/>
              </w:rPr>
              <w:t>ACCT</w:t>
            </w:r>
          </w:p>
        </w:tc>
        <w:tc>
          <w:tcPr>
            <w:tcW w:w="720" w:type="dxa"/>
            <w:tcBorders>
              <w:left w:val="single" w:sz="18" w:space="0" w:color="auto"/>
              <w:right w:val="inset" w:sz="6" w:space="0" w:color="auto"/>
            </w:tcBorders>
            <w:tcMar>
              <w:left w:w="29" w:type="dxa"/>
              <w:right w:w="29" w:type="dxa"/>
            </w:tcMar>
            <w:vAlign w:val="center"/>
          </w:tcPr>
          <w:p w14:paraId="124D308E" w14:textId="77777777" w:rsidR="00A9787F" w:rsidRPr="0023367D" w:rsidRDefault="00A9787F" w:rsidP="000516BC">
            <w:pPr>
              <w:jc w:val="center"/>
              <w:rPr>
                <w:color w:val="000000"/>
                <w:sz w:val="20"/>
                <w:szCs w:val="20"/>
              </w:rPr>
            </w:pPr>
            <w:r w:rsidRPr="0023367D">
              <w:rPr>
                <w:color w:val="000000"/>
                <w:sz w:val="20"/>
                <w:szCs w:val="20"/>
              </w:rPr>
              <w:t>N</w:t>
            </w:r>
          </w:p>
        </w:tc>
        <w:tc>
          <w:tcPr>
            <w:tcW w:w="888" w:type="dxa"/>
            <w:tcBorders>
              <w:left w:val="inset" w:sz="6" w:space="0" w:color="auto"/>
              <w:right w:val="single" w:sz="12" w:space="0" w:color="auto"/>
            </w:tcBorders>
            <w:tcMar>
              <w:left w:w="29" w:type="dxa"/>
              <w:right w:w="29" w:type="dxa"/>
            </w:tcMar>
            <w:vAlign w:val="center"/>
          </w:tcPr>
          <w:p w14:paraId="364C6BF7" w14:textId="77777777" w:rsidR="00A9787F" w:rsidRPr="0023367D" w:rsidRDefault="00A9787F" w:rsidP="000516BC">
            <w:pPr>
              <w:jc w:val="center"/>
              <w:rPr>
                <w:color w:val="000000"/>
                <w:sz w:val="20"/>
                <w:szCs w:val="20"/>
              </w:rPr>
            </w:pPr>
            <w:r w:rsidRPr="0023367D">
              <w:rPr>
                <w:sz w:val="20"/>
                <w:szCs w:val="20"/>
              </w:rPr>
              <w:t>Adj. R</w:t>
            </w:r>
            <w:r w:rsidRPr="0023367D">
              <w:rPr>
                <w:sz w:val="20"/>
                <w:szCs w:val="20"/>
                <w:vertAlign w:val="superscript"/>
              </w:rPr>
              <w:t>2</w:t>
            </w:r>
            <w:r w:rsidRPr="0023367D">
              <w:rPr>
                <w:sz w:val="20"/>
                <w:szCs w:val="20"/>
                <w:vertAlign w:val="subscript"/>
              </w:rPr>
              <w:t>ACCT</w:t>
            </w:r>
          </w:p>
        </w:tc>
        <w:tc>
          <w:tcPr>
            <w:tcW w:w="720" w:type="dxa"/>
            <w:tcBorders>
              <w:left w:val="single" w:sz="12" w:space="0" w:color="auto"/>
              <w:right w:val="inset" w:sz="6" w:space="0" w:color="auto"/>
            </w:tcBorders>
            <w:tcMar>
              <w:left w:w="29" w:type="dxa"/>
              <w:right w:w="29" w:type="dxa"/>
            </w:tcMar>
            <w:vAlign w:val="center"/>
          </w:tcPr>
          <w:p w14:paraId="2CD6ABF0" w14:textId="77777777" w:rsidR="00A9787F" w:rsidRPr="0023367D" w:rsidRDefault="00A9787F" w:rsidP="000516BC">
            <w:pPr>
              <w:jc w:val="center"/>
              <w:rPr>
                <w:color w:val="000000"/>
                <w:sz w:val="20"/>
                <w:szCs w:val="20"/>
              </w:rPr>
            </w:pPr>
            <w:r w:rsidRPr="0023367D">
              <w:rPr>
                <w:color w:val="000000"/>
                <w:sz w:val="20"/>
                <w:szCs w:val="20"/>
              </w:rPr>
              <w:t>N</w:t>
            </w:r>
          </w:p>
        </w:tc>
        <w:tc>
          <w:tcPr>
            <w:tcW w:w="912" w:type="dxa"/>
            <w:tcBorders>
              <w:left w:val="inset" w:sz="6" w:space="0" w:color="auto"/>
              <w:right w:val="single" w:sz="18" w:space="0" w:color="auto"/>
            </w:tcBorders>
            <w:tcMar>
              <w:left w:w="29" w:type="dxa"/>
              <w:right w:w="29" w:type="dxa"/>
            </w:tcMar>
            <w:vAlign w:val="center"/>
          </w:tcPr>
          <w:p w14:paraId="428EDB6C" w14:textId="77777777" w:rsidR="00A9787F" w:rsidRPr="0023367D" w:rsidRDefault="00A9787F" w:rsidP="000516BC">
            <w:pPr>
              <w:jc w:val="center"/>
              <w:rPr>
                <w:color w:val="000000"/>
                <w:sz w:val="20"/>
                <w:szCs w:val="20"/>
              </w:rPr>
            </w:pPr>
            <w:r w:rsidRPr="0023367D">
              <w:rPr>
                <w:sz w:val="20"/>
                <w:szCs w:val="20"/>
              </w:rPr>
              <w:t>Adj. R</w:t>
            </w:r>
            <w:r w:rsidRPr="0023367D">
              <w:rPr>
                <w:sz w:val="20"/>
                <w:szCs w:val="20"/>
                <w:vertAlign w:val="superscript"/>
              </w:rPr>
              <w:t>2</w:t>
            </w:r>
            <w:r w:rsidRPr="0023367D">
              <w:rPr>
                <w:sz w:val="20"/>
                <w:szCs w:val="20"/>
                <w:vertAlign w:val="subscript"/>
              </w:rPr>
              <w:t>ACCT</w:t>
            </w:r>
          </w:p>
        </w:tc>
        <w:tc>
          <w:tcPr>
            <w:tcW w:w="540" w:type="dxa"/>
            <w:tcBorders>
              <w:left w:val="single" w:sz="18" w:space="0" w:color="auto"/>
              <w:right w:val="inset" w:sz="6" w:space="0" w:color="auto"/>
            </w:tcBorders>
            <w:tcMar>
              <w:left w:w="29" w:type="dxa"/>
              <w:right w:w="29" w:type="dxa"/>
            </w:tcMar>
            <w:vAlign w:val="center"/>
          </w:tcPr>
          <w:p w14:paraId="7D8491C7" w14:textId="77777777" w:rsidR="00A9787F" w:rsidRPr="0023367D" w:rsidRDefault="00A9787F" w:rsidP="000516BC">
            <w:pPr>
              <w:jc w:val="center"/>
              <w:rPr>
                <w:color w:val="000000"/>
                <w:sz w:val="20"/>
                <w:szCs w:val="20"/>
              </w:rPr>
            </w:pPr>
            <w:r w:rsidRPr="0023367D">
              <w:rPr>
                <w:color w:val="000000"/>
                <w:sz w:val="20"/>
                <w:szCs w:val="20"/>
              </w:rPr>
              <w:t>N</w:t>
            </w:r>
          </w:p>
        </w:tc>
        <w:tc>
          <w:tcPr>
            <w:tcW w:w="810" w:type="dxa"/>
            <w:tcBorders>
              <w:left w:val="inset" w:sz="6" w:space="0" w:color="auto"/>
              <w:right w:val="single" w:sz="12" w:space="0" w:color="auto"/>
            </w:tcBorders>
            <w:tcMar>
              <w:left w:w="29" w:type="dxa"/>
              <w:right w:w="29" w:type="dxa"/>
            </w:tcMar>
            <w:vAlign w:val="center"/>
          </w:tcPr>
          <w:p w14:paraId="61D96D70" w14:textId="77777777" w:rsidR="00A9787F" w:rsidRPr="0023367D" w:rsidRDefault="00A9787F" w:rsidP="000516BC">
            <w:pPr>
              <w:jc w:val="center"/>
              <w:rPr>
                <w:color w:val="000000"/>
                <w:sz w:val="20"/>
                <w:szCs w:val="20"/>
              </w:rPr>
            </w:pPr>
            <w:r w:rsidRPr="0023367D">
              <w:rPr>
                <w:sz w:val="20"/>
                <w:szCs w:val="20"/>
              </w:rPr>
              <w:t>Adj. R</w:t>
            </w:r>
            <w:r w:rsidRPr="0023367D">
              <w:rPr>
                <w:sz w:val="20"/>
                <w:szCs w:val="20"/>
                <w:vertAlign w:val="superscript"/>
              </w:rPr>
              <w:t>2</w:t>
            </w:r>
            <w:r w:rsidRPr="0023367D">
              <w:rPr>
                <w:sz w:val="20"/>
                <w:szCs w:val="20"/>
                <w:vertAlign w:val="subscript"/>
              </w:rPr>
              <w:t>ACCT</w:t>
            </w:r>
          </w:p>
        </w:tc>
        <w:tc>
          <w:tcPr>
            <w:tcW w:w="720" w:type="dxa"/>
            <w:tcBorders>
              <w:left w:val="single" w:sz="12" w:space="0" w:color="auto"/>
              <w:right w:val="single" w:sz="4" w:space="0" w:color="auto"/>
            </w:tcBorders>
            <w:tcMar>
              <w:left w:w="29" w:type="dxa"/>
              <w:right w:w="29" w:type="dxa"/>
            </w:tcMar>
            <w:vAlign w:val="center"/>
          </w:tcPr>
          <w:p w14:paraId="6D483C20" w14:textId="77777777" w:rsidR="00A9787F" w:rsidRPr="0023367D" w:rsidRDefault="00A9787F" w:rsidP="000516BC">
            <w:pPr>
              <w:jc w:val="center"/>
              <w:rPr>
                <w:color w:val="000000"/>
                <w:sz w:val="20"/>
                <w:szCs w:val="20"/>
              </w:rPr>
            </w:pPr>
            <w:r w:rsidRPr="0023367D">
              <w:rPr>
                <w:color w:val="000000"/>
                <w:sz w:val="20"/>
                <w:szCs w:val="20"/>
              </w:rPr>
              <w:t>N</w:t>
            </w:r>
          </w:p>
        </w:tc>
        <w:tc>
          <w:tcPr>
            <w:tcW w:w="978" w:type="dxa"/>
            <w:tcBorders>
              <w:left w:val="single" w:sz="4" w:space="0" w:color="auto"/>
              <w:right w:val="single" w:sz="4" w:space="0" w:color="auto"/>
            </w:tcBorders>
            <w:tcMar>
              <w:left w:w="29" w:type="dxa"/>
              <w:right w:w="29" w:type="dxa"/>
            </w:tcMar>
            <w:vAlign w:val="center"/>
          </w:tcPr>
          <w:p w14:paraId="07377AAF" w14:textId="77777777" w:rsidR="00A9787F" w:rsidRPr="0023367D" w:rsidRDefault="00A9787F" w:rsidP="000516BC">
            <w:pPr>
              <w:jc w:val="center"/>
              <w:rPr>
                <w:color w:val="000000"/>
                <w:sz w:val="20"/>
                <w:szCs w:val="20"/>
              </w:rPr>
            </w:pPr>
            <w:r w:rsidRPr="0023367D">
              <w:rPr>
                <w:sz w:val="20"/>
                <w:szCs w:val="20"/>
              </w:rPr>
              <w:t>Adj. R</w:t>
            </w:r>
            <w:r w:rsidRPr="0023367D">
              <w:rPr>
                <w:sz w:val="20"/>
                <w:szCs w:val="20"/>
                <w:vertAlign w:val="superscript"/>
              </w:rPr>
              <w:t>2</w:t>
            </w:r>
            <w:r w:rsidRPr="0023367D">
              <w:rPr>
                <w:sz w:val="20"/>
                <w:szCs w:val="20"/>
                <w:vertAlign w:val="subscript"/>
              </w:rPr>
              <w:t>ACCT</w:t>
            </w:r>
          </w:p>
        </w:tc>
      </w:tr>
      <w:tr w:rsidR="00A9787F" w:rsidRPr="0023367D" w14:paraId="0DD49DAC" w14:textId="77777777" w:rsidTr="00AE2DE7">
        <w:trPr>
          <w:trHeight w:hRule="exact" w:val="432"/>
          <w:jc w:val="center"/>
        </w:trPr>
        <w:tc>
          <w:tcPr>
            <w:tcW w:w="1375" w:type="dxa"/>
            <w:tcBorders>
              <w:top w:val="nil"/>
              <w:left w:val="nil"/>
              <w:bottom w:val="nil"/>
            </w:tcBorders>
            <w:tcMar>
              <w:left w:w="29" w:type="dxa"/>
              <w:right w:w="29" w:type="dxa"/>
            </w:tcMar>
            <w:vAlign w:val="center"/>
          </w:tcPr>
          <w:p w14:paraId="65C51E99" w14:textId="77777777" w:rsidR="00A9787F" w:rsidRPr="0023367D" w:rsidRDefault="00A9787F" w:rsidP="00A9787F">
            <w:pPr>
              <w:ind w:left="806"/>
              <w:rPr>
                <w:sz w:val="20"/>
                <w:szCs w:val="20"/>
              </w:rPr>
            </w:pPr>
          </w:p>
        </w:tc>
        <w:tc>
          <w:tcPr>
            <w:tcW w:w="1800" w:type="dxa"/>
            <w:gridSpan w:val="3"/>
            <w:tcBorders>
              <w:left w:val="nil"/>
            </w:tcBorders>
            <w:vAlign w:val="center"/>
          </w:tcPr>
          <w:p w14:paraId="5633C7CB" w14:textId="77777777" w:rsidR="00A9787F" w:rsidRPr="0023367D" w:rsidRDefault="00A9787F" w:rsidP="00A9787F">
            <w:pPr>
              <w:rPr>
                <w:sz w:val="20"/>
                <w:szCs w:val="20"/>
              </w:rPr>
            </w:pPr>
            <w:r w:rsidRPr="0023367D">
              <w:rPr>
                <w:sz w:val="20"/>
                <w:szCs w:val="22"/>
              </w:rPr>
              <w:t>Bond Valuation</w:t>
            </w:r>
            <w:r w:rsidRPr="0023367D">
              <w:rPr>
                <w:sz w:val="20"/>
                <w:szCs w:val="22"/>
                <w:vertAlign w:val="superscript"/>
              </w:rPr>
              <w:t>(</w:t>
            </w:r>
            <w:r>
              <w:rPr>
                <w:sz w:val="20"/>
                <w:szCs w:val="22"/>
                <w:vertAlign w:val="superscript"/>
              </w:rPr>
              <w:t>c</w:t>
            </w:r>
            <w:r w:rsidRPr="0023367D">
              <w:rPr>
                <w:sz w:val="20"/>
                <w:szCs w:val="22"/>
                <w:vertAlign w:val="superscript"/>
              </w:rPr>
              <w:t>)</w:t>
            </w:r>
          </w:p>
        </w:tc>
        <w:tc>
          <w:tcPr>
            <w:tcW w:w="810" w:type="dxa"/>
            <w:shd w:val="clear" w:color="auto" w:fill="auto"/>
            <w:tcMar>
              <w:left w:w="29" w:type="dxa"/>
              <w:right w:w="29" w:type="dxa"/>
            </w:tcMar>
            <w:vAlign w:val="center"/>
          </w:tcPr>
          <w:p w14:paraId="1B84AC63" w14:textId="77777777" w:rsidR="00A9787F" w:rsidRPr="0023367D" w:rsidRDefault="00A9787F" w:rsidP="000516BC">
            <w:pPr>
              <w:jc w:val="center"/>
              <w:rPr>
                <w:sz w:val="20"/>
              </w:rPr>
            </w:pPr>
            <w:r w:rsidRPr="0023367D">
              <w:rPr>
                <w:sz w:val="20"/>
              </w:rPr>
              <w:t>19,732</w:t>
            </w:r>
            <w:r w:rsidRPr="0023367D">
              <w:rPr>
                <w:sz w:val="20"/>
                <w:szCs w:val="22"/>
                <w:vertAlign w:val="superscript"/>
              </w:rPr>
              <w:t>(f)</w:t>
            </w:r>
            <w:r w:rsidRPr="0023367D">
              <w:rPr>
                <w:sz w:val="20"/>
              </w:rPr>
              <w:t xml:space="preserve"> </w:t>
            </w:r>
          </w:p>
        </w:tc>
        <w:tc>
          <w:tcPr>
            <w:tcW w:w="900" w:type="dxa"/>
            <w:tcBorders>
              <w:right w:val="single" w:sz="18" w:space="0" w:color="auto"/>
            </w:tcBorders>
            <w:shd w:val="clear" w:color="auto" w:fill="auto"/>
            <w:noWrap/>
            <w:tcMar>
              <w:left w:w="29" w:type="dxa"/>
              <w:right w:w="29" w:type="dxa"/>
            </w:tcMar>
            <w:vAlign w:val="center"/>
          </w:tcPr>
          <w:p w14:paraId="4BD60C2F" w14:textId="77777777" w:rsidR="00A9787F" w:rsidRPr="0023367D" w:rsidRDefault="00A9787F" w:rsidP="000516BC">
            <w:pPr>
              <w:jc w:val="center"/>
              <w:rPr>
                <w:sz w:val="20"/>
              </w:rPr>
            </w:pPr>
            <w:r w:rsidRPr="0023367D">
              <w:rPr>
                <w:sz w:val="20"/>
              </w:rPr>
              <w:t>24.0%</w:t>
            </w:r>
          </w:p>
        </w:tc>
        <w:tc>
          <w:tcPr>
            <w:tcW w:w="630" w:type="dxa"/>
            <w:tcBorders>
              <w:left w:val="single" w:sz="18" w:space="0" w:color="auto"/>
            </w:tcBorders>
            <w:shd w:val="clear" w:color="auto" w:fill="auto"/>
            <w:noWrap/>
            <w:tcMar>
              <w:left w:w="29" w:type="dxa"/>
              <w:right w:w="29" w:type="dxa"/>
            </w:tcMar>
            <w:vAlign w:val="center"/>
          </w:tcPr>
          <w:p w14:paraId="6D9E4615" w14:textId="77777777" w:rsidR="00A9787F" w:rsidRPr="0023367D" w:rsidRDefault="00A9787F" w:rsidP="000516BC">
            <w:pPr>
              <w:jc w:val="center"/>
              <w:rPr>
                <w:sz w:val="20"/>
              </w:rPr>
            </w:pPr>
            <w:r w:rsidRPr="0023367D">
              <w:rPr>
                <w:sz w:val="20"/>
              </w:rPr>
              <w:t>9,824</w:t>
            </w:r>
          </w:p>
        </w:tc>
        <w:tc>
          <w:tcPr>
            <w:tcW w:w="810" w:type="dxa"/>
            <w:tcBorders>
              <w:right w:val="single" w:sz="12" w:space="0" w:color="auto"/>
            </w:tcBorders>
            <w:shd w:val="clear" w:color="auto" w:fill="auto"/>
            <w:noWrap/>
            <w:tcMar>
              <w:left w:w="29" w:type="dxa"/>
              <w:right w:w="29" w:type="dxa"/>
            </w:tcMar>
            <w:vAlign w:val="center"/>
          </w:tcPr>
          <w:p w14:paraId="6BF379C1" w14:textId="77777777" w:rsidR="00A9787F" w:rsidRPr="0023367D" w:rsidRDefault="00A9787F" w:rsidP="000516BC">
            <w:pPr>
              <w:jc w:val="center"/>
              <w:rPr>
                <w:sz w:val="20"/>
                <w:szCs w:val="20"/>
              </w:rPr>
            </w:pPr>
            <w:r>
              <w:rPr>
                <w:sz w:val="20"/>
              </w:rPr>
              <w:t>4.6%</w:t>
            </w:r>
          </w:p>
        </w:tc>
        <w:tc>
          <w:tcPr>
            <w:tcW w:w="720" w:type="dxa"/>
            <w:tcBorders>
              <w:left w:val="single" w:sz="12" w:space="0" w:color="auto"/>
            </w:tcBorders>
            <w:shd w:val="clear" w:color="auto" w:fill="auto"/>
            <w:tcMar>
              <w:left w:w="29" w:type="dxa"/>
              <w:right w:w="29" w:type="dxa"/>
            </w:tcMar>
            <w:vAlign w:val="center"/>
          </w:tcPr>
          <w:p w14:paraId="7692D121" w14:textId="77777777" w:rsidR="00A9787F" w:rsidRDefault="00A9787F" w:rsidP="000516BC">
            <w:pPr>
              <w:jc w:val="center"/>
              <w:rPr>
                <w:sz w:val="20"/>
              </w:rPr>
            </w:pPr>
            <w:r>
              <w:rPr>
                <w:sz w:val="20"/>
              </w:rPr>
              <w:t>9,908</w:t>
            </w:r>
          </w:p>
        </w:tc>
        <w:tc>
          <w:tcPr>
            <w:tcW w:w="900" w:type="dxa"/>
            <w:tcBorders>
              <w:right w:val="single" w:sz="18" w:space="0" w:color="auto"/>
            </w:tcBorders>
            <w:shd w:val="clear" w:color="auto" w:fill="auto"/>
            <w:tcMar>
              <w:left w:w="29" w:type="dxa"/>
              <w:right w:w="29" w:type="dxa"/>
            </w:tcMar>
            <w:vAlign w:val="center"/>
          </w:tcPr>
          <w:p w14:paraId="796DCE1B" w14:textId="77777777" w:rsidR="00A9787F" w:rsidRDefault="00A9787F" w:rsidP="000516BC">
            <w:pPr>
              <w:jc w:val="center"/>
              <w:rPr>
                <w:sz w:val="20"/>
              </w:rPr>
            </w:pPr>
            <w:r>
              <w:rPr>
                <w:sz w:val="20"/>
              </w:rPr>
              <w:t>21.5%</w:t>
            </w:r>
          </w:p>
        </w:tc>
        <w:tc>
          <w:tcPr>
            <w:tcW w:w="720" w:type="dxa"/>
            <w:tcBorders>
              <w:left w:val="single" w:sz="18" w:space="0" w:color="auto"/>
              <w:right w:val="inset" w:sz="6" w:space="0" w:color="auto"/>
            </w:tcBorders>
            <w:tcMar>
              <w:left w:w="29" w:type="dxa"/>
              <w:right w:w="29" w:type="dxa"/>
            </w:tcMar>
            <w:vAlign w:val="center"/>
          </w:tcPr>
          <w:p w14:paraId="0488CA0A" w14:textId="77777777" w:rsidR="00A9787F" w:rsidRPr="0023367D" w:rsidRDefault="00A9787F" w:rsidP="000516BC">
            <w:pPr>
              <w:jc w:val="center"/>
              <w:rPr>
                <w:sz w:val="20"/>
                <w:szCs w:val="20"/>
              </w:rPr>
            </w:pPr>
            <w:r w:rsidRPr="0023367D">
              <w:rPr>
                <w:sz w:val="20"/>
                <w:szCs w:val="20"/>
              </w:rPr>
              <w:t>8,449</w:t>
            </w:r>
          </w:p>
        </w:tc>
        <w:tc>
          <w:tcPr>
            <w:tcW w:w="888" w:type="dxa"/>
            <w:tcBorders>
              <w:left w:val="inset" w:sz="6" w:space="0" w:color="auto"/>
              <w:right w:val="single" w:sz="12" w:space="0" w:color="auto"/>
            </w:tcBorders>
            <w:tcMar>
              <w:left w:w="29" w:type="dxa"/>
              <w:right w:w="29" w:type="dxa"/>
            </w:tcMar>
            <w:vAlign w:val="center"/>
          </w:tcPr>
          <w:p w14:paraId="0EBB8839" w14:textId="77777777" w:rsidR="00A9787F" w:rsidRPr="0023367D" w:rsidRDefault="00A9787F" w:rsidP="000516BC">
            <w:pPr>
              <w:jc w:val="center"/>
              <w:rPr>
                <w:sz w:val="20"/>
              </w:rPr>
            </w:pPr>
            <w:r w:rsidRPr="0023367D">
              <w:rPr>
                <w:sz w:val="20"/>
              </w:rPr>
              <w:t>14.7%</w:t>
            </w:r>
          </w:p>
        </w:tc>
        <w:tc>
          <w:tcPr>
            <w:tcW w:w="720" w:type="dxa"/>
            <w:tcBorders>
              <w:left w:val="single" w:sz="12" w:space="0" w:color="auto"/>
              <w:right w:val="inset" w:sz="6" w:space="0" w:color="auto"/>
            </w:tcBorders>
            <w:tcMar>
              <w:left w:w="29" w:type="dxa"/>
              <w:right w:w="29" w:type="dxa"/>
            </w:tcMar>
            <w:vAlign w:val="center"/>
          </w:tcPr>
          <w:p w14:paraId="4B65BB16" w14:textId="77777777" w:rsidR="00A9787F" w:rsidRPr="0023367D" w:rsidRDefault="00A9787F" w:rsidP="000516BC">
            <w:pPr>
              <w:jc w:val="center"/>
              <w:rPr>
                <w:sz w:val="20"/>
              </w:rPr>
            </w:pPr>
            <w:r w:rsidRPr="0023367D">
              <w:rPr>
                <w:sz w:val="20"/>
              </w:rPr>
              <w:t>2,675</w:t>
            </w:r>
          </w:p>
        </w:tc>
        <w:tc>
          <w:tcPr>
            <w:tcW w:w="912" w:type="dxa"/>
            <w:tcBorders>
              <w:left w:val="inset" w:sz="6" w:space="0" w:color="auto"/>
              <w:right w:val="single" w:sz="18" w:space="0" w:color="auto"/>
            </w:tcBorders>
            <w:tcMar>
              <w:left w:w="29" w:type="dxa"/>
              <w:right w:w="29" w:type="dxa"/>
            </w:tcMar>
            <w:vAlign w:val="center"/>
          </w:tcPr>
          <w:p w14:paraId="18C726AB" w14:textId="77777777" w:rsidR="00A9787F" w:rsidRPr="0023367D" w:rsidRDefault="00A9787F" w:rsidP="000516BC">
            <w:pPr>
              <w:jc w:val="center"/>
              <w:rPr>
                <w:sz w:val="20"/>
              </w:rPr>
            </w:pPr>
            <w:r w:rsidRPr="0023367D">
              <w:rPr>
                <w:sz w:val="20"/>
              </w:rPr>
              <w:t>18.0%</w:t>
            </w:r>
          </w:p>
        </w:tc>
        <w:tc>
          <w:tcPr>
            <w:tcW w:w="540" w:type="dxa"/>
            <w:tcBorders>
              <w:left w:val="single" w:sz="18" w:space="0" w:color="auto"/>
              <w:right w:val="inset" w:sz="6" w:space="0" w:color="auto"/>
            </w:tcBorders>
            <w:tcMar>
              <w:left w:w="29" w:type="dxa"/>
              <w:right w:w="29" w:type="dxa"/>
            </w:tcMar>
            <w:vAlign w:val="center"/>
          </w:tcPr>
          <w:p w14:paraId="2B232246" w14:textId="77777777" w:rsidR="00A9787F" w:rsidRPr="0023367D" w:rsidRDefault="00A9787F" w:rsidP="000516BC">
            <w:pPr>
              <w:jc w:val="center"/>
              <w:rPr>
                <w:sz w:val="20"/>
                <w:szCs w:val="20"/>
              </w:rPr>
            </w:pPr>
            <w:r w:rsidRPr="0023367D">
              <w:rPr>
                <w:sz w:val="20"/>
                <w:szCs w:val="20"/>
              </w:rPr>
              <w:t>8,449</w:t>
            </w:r>
          </w:p>
        </w:tc>
        <w:tc>
          <w:tcPr>
            <w:tcW w:w="810" w:type="dxa"/>
            <w:tcBorders>
              <w:left w:val="inset" w:sz="6" w:space="0" w:color="auto"/>
              <w:right w:val="single" w:sz="12" w:space="0" w:color="auto"/>
            </w:tcBorders>
            <w:tcMar>
              <w:left w:w="29" w:type="dxa"/>
              <w:right w:w="29" w:type="dxa"/>
            </w:tcMar>
            <w:vAlign w:val="center"/>
          </w:tcPr>
          <w:p w14:paraId="7DE69B16" w14:textId="77777777" w:rsidR="00A9787F" w:rsidRPr="0023367D" w:rsidRDefault="00A9787F" w:rsidP="006E5CE9">
            <w:pPr>
              <w:numPr>
                <w:ilvl w:val="0"/>
                <w:numId w:val="1"/>
              </w:numPr>
              <w:jc w:val="center"/>
              <w:rPr>
                <w:sz w:val="20"/>
                <w:szCs w:val="20"/>
              </w:rPr>
            </w:pPr>
            <w:r w:rsidRPr="0023367D">
              <w:rPr>
                <w:sz w:val="20"/>
                <w:szCs w:val="20"/>
              </w:rPr>
              <w:t>8%</w:t>
            </w:r>
          </w:p>
        </w:tc>
        <w:tc>
          <w:tcPr>
            <w:tcW w:w="720" w:type="dxa"/>
            <w:tcBorders>
              <w:left w:val="single" w:sz="12" w:space="0" w:color="auto"/>
              <w:right w:val="single" w:sz="4" w:space="0" w:color="auto"/>
            </w:tcBorders>
            <w:tcMar>
              <w:left w:w="29" w:type="dxa"/>
              <w:right w:w="29" w:type="dxa"/>
            </w:tcMar>
            <w:vAlign w:val="center"/>
          </w:tcPr>
          <w:p w14:paraId="12D89C06" w14:textId="77777777" w:rsidR="00A9787F" w:rsidRPr="0023367D" w:rsidRDefault="00A9787F" w:rsidP="000516BC">
            <w:pPr>
              <w:jc w:val="center"/>
              <w:rPr>
                <w:sz w:val="20"/>
                <w:szCs w:val="20"/>
              </w:rPr>
            </w:pPr>
            <w:r w:rsidRPr="0023367D">
              <w:rPr>
                <w:sz w:val="20"/>
                <w:szCs w:val="20"/>
              </w:rPr>
              <w:t>6,210</w:t>
            </w:r>
          </w:p>
        </w:tc>
        <w:tc>
          <w:tcPr>
            <w:tcW w:w="978" w:type="dxa"/>
            <w:tcBorders>
              <w:left w:val="single" w:sz="4" w:space="0" w:color="auto"/>
              <w:right w:val="single" w:sz="4" w:space="0" w:color="auto"/>
            </w:tcBorders>
            <w:tcMar>
              <w:left w:w="29" w:type="dxa"/>
              <w:right w:w="29" w:type="dxa"/>
            </w:tcMar>
            <w:vAlign w:val="center"/>
          </w:tcPr>
          <w:p w14:paraId="1AE63D91" w14:textId="77777777" w:rsidR="00A9787F" w:rsidRPr="0023367D" w:rsidRDefault="00A9787F" w:rsidP="000516BC">
            <w:pPr>
              <w:jc w:val="center"/>
              <w:rPr>
                <w:sz w:val="20"/>
                <w:szCs w:val="20"/>
              </w:rPr>
            </w:pPr>
            <w:r w:rsidRPr="0023367D">
              <w:rPr>
                <w:sz w:val="20"/>
                <w:szCs w:val="20"/>
              </w:rPr>
              <w:t>19.3%</w:t>
            </w:r>
          </w:p>
        </w:tc>
      </w:tr>
      <w:tr w:rsidR="00A9787F" w:rsidRPr="0023367D" w14:paraId="5CA14863" w14:textId="77777777" w:rsidTr="00AE2DE7">
        <w:trPr>
          <w:trHeight w:hRule="exact" w:val="432"/>
          <w:jc w:val="center"/>
        </w:trPr>
        <w:tc>
          <w:tcPr>
            <w:tcW w:w="1375" w:type="dxa"/>
            <w:tcBorders>
              <w:top w:val="nil"/>
              <w:left w:val="nil"/>
              <w:bottom w:val="nil"/>
            </w:tcBorders>
            <w:tcMar>
              <w:left w:w="29" w:type="dxa"/>
              <w:right w:w="29" w:type="dxa"/>
            </w:tcMar>
            <w:vAlign w:val="center"/>
          </w:tcPr>
          <w:p w14:paraId="30B19997" w14:textId="77777777" w:rsidR="00A9787F" w:rsidRPr="0023367D" w:rsidRDefault="00A9787F" w:rsidP="00A9787F">
            <w:pPr>
              <w:ind w:left="806"/>
              <w:rPr>
                <w:sz w:val="20"/>
                <w:szCs w:val="20"/>
              </w:rPr>
            </w:pPr>
          </w:p>
        </w:tc>
        <w:tc>
          <w:tcPr>
            <w:tcW w:w="1800" w:type="dxa"/>
            <w:gridSpan w:val="3"/>
            <w:tcBorders>
              <w:left w:val="nil"/>
              <w:bottom w:val="single" w:sz="4" w:space="0" w:color="auto"/>
            </w:tcBorders>
            <w:vAlign w:val="center"/>
          </w:tcPr>
          <w:p w14:paraId="285E01FC" w14:textId="77777777" w:rsidR="00A9787F" w:rsidRPr="0023367D" w:rsidRDefault="00A9787F" w:rsidP="00A9787F">
            <w:pPr>
              <w:rPr>
                <w:sz w:val="20"/>
                <w:szCs w:val="20"/>
              </w:rPr>
            </w:pPr>
            <w:r w:rsidRPr="0023367D">
              <w:rPr>
                <w:sz w:val="20"/>
                <w:szCs w:val="22"/>
              </w:rPr>
              <w:t>Bond Returns</w:t>
            </w:r>
            <w:r w:rsidRPr="0023367D">
              <w:rPr>
                <w:sz w:val="20"/>
                <w:szCs w:val="22"/>
                <w:vertAlign w:val="superscript"/>
              </w:rPr>
              <w:t xml:space="preserve"> (</w:t>
            </w:r>
            <w:r>
              <w:rPr>
                <w:sz w:val="20"/>
                <w:szCs w:val="22"/>
                <w:vertAlign w:val="superscript"/>
              </w:rPr>
              <w:t>d</w:t>
            </w:r>
            <w:r w:rsidRPr="0023367D">
              <w:rPr>
                <w:sz w:val="20"/>
                <w:szCs w:val="22"/>
                <w:vertAlign w:val="superscript"/>
              </w:rPr>
              <w:t>)</w:t>
            </w:r>
          </w:p>
        </w:tc>
        <w:tc>
          <w:tcPr>
            <w:tcW w:w="810" w:type="dxa"/>
            <w:shd w:val="clear" w:color="auto" w:fill="auto"/>
            <w:tcMar>
              <w:left w:w="29" w:type="dxa"/>
              <w:right w:w="29" w:type="dxa"/>
            </w:tcMar>
            <w:vAlign w:val="center"/>
          </w:tcPr>
          <w:p w14:paraId="397EE901" w14:textId="77777777" w:rsidR="00A9787F" w:rsidRPr="0023367D" w:rsidRDefault="00A9787F" w:rsidP="000516BC">
            <w:pPr>
              <w:jc w:val="center"/>
              <w:rPr>
                <w:sz w:val="20"/>
              </w:rPr>
            </w:pPr>
            <w:r w:rsidRPr="0023367D">
              <w:rPr>
                <w:sz w:val="20"/>
              </w:rPr>
              <w:t>19,658</w:t>
            </w:r>
            <w:r w:rsidRPr="0023367D">
              <w:rPr>
                <w:sz w:val="20"/>
                <w:szCs w:val="22"/>
                <w:vertAlign w:val="superscript"/>
              </w:rPr>
              <w:t>(f)</w:t>
            </w:r>
          </w:p>
        </w:tc>
        <w:tc>
          <w:tcPr>
            <w:tcW w:w="900" w:type="dxa"/>
            <w:tcBorders>
              <w:right w:val="single" w:sz="18" w:space="0" w:color="auto"/>
            </w:tcBorders>
            <w:shd w:val="clear" w:color="auto" w:fill="auto"/>
            <w:noWrap/>
            <w:tcMar>
              <w:left w:w="29" w:type="dxa"/>
              <w:right w:w="29" w:type="dxa"/>
            </w:tcMar>
            <w:vAlign w:val="center"/>
          </w:tcPr>
          <w:p w14:paraId="54BD97A4" w14:textId="77777777" w:rsidR="00A9787F" w:rsidRPr="0023367D" w:rsidRDefault="00A9787F" w:rsidP="000516BC">
            <w:pPr>
              <w:jc w:val="center"/>
              <w:rPr>
                <w:sz w:val="20"/>
              </w:rPr>
            </w:pPr>
            <w:r w:rsidRPr="0023367D">
              <w:rPr>
                <w:sz w:val="20"/>
              </w:rPr>
              <w:t>6.1%</w:t>
            </w:r>
          </w:p>
        </w:tc>
        <w:tc>
          <w:tcPr>
            <w:tcW w:w="630" w:type="dxa"/>
            <w:tcBorders>
              <w:left w:val="single" w:sz="18" w:space="0" w:color="auto"/>
            </w:tcBorders>
            <w:shd w:val="clear" w:color="auto" w:fill="auto"/>
            <w:noWrap/>
            <w:tcMar>
              <w:left w:w="29" w:type="dxa"/>
              <w:right w:w="29" w:type="dxa"/>
            </w:tcMar>
            <w:vAlign w:val="center"/>
          </w:tcPr>
          <w:p w14:paraId="086F44F9" w14:textId="77777777" w:rsidR="00A9787F" w:rsidRPr="0023367D" w:rsidRDefault="00A9787F" w:rsidP="000516BC">
            <w:pPr>
              <w:jc w:val="center"/>
              <w:rPr>
                <w:sz w:val="20"/>
              </w:rPr>
            </w:pPr>
            <w:r w:rsidRPr="0023367D">
              <w:rPr>
                <w:sz w:val="20"/>
              </w:rPr>
              <w:t>9,959</w:t>
            </w:r>
          </w:p>
        </w:tc>
        <w:tc>
          <w:tcPr>
            <w:tcW w:w="810" w:type="dxa"/>
            <w:tcBorders>
              <w:right w:val="single" w:sz="12" w:space="0" w:color="auto"/>
            </w:tcBorders>
            <w:shd w:val="clear" w:color="auto" w:fill="auto"/>
            <w:noWrap/>
            <w:tcMar>
              <w:left w:w="29" w:type="dxa"/>
              <w:right w:w="29" w:type="dxa"/>
            </w:tcMar>
            <w:vAlign w:val="center"/>
          </w:tcPr>
          <w:p w14:paraId="2FB5C87E" w14:textId="77777777" w:rsidR="00A9787F" w:rsidRPr="0023367D" w:rsidRDefault="00A9787F" w:rsidP="000516BC">
            <w:pPr>
              <w:jc w:val="center"/>
              <w:rPr>
                <w:sz w:val="20"/>
                <w:szCs w:val="20"/>
              </w:rPr>
            </w:pPr>
            <w:r>
              <w:rPr>
                <w:sz w:val="20"/>
              </w:rPr>
              <w:t>3.5%</w:t>
            </w:r>
          </w:p>
        </w:tc>
        <w:tc>
          <w:tcPr>
            <w:tcW w:w="720" w:type="dxa"/>
            <w:tcBorders>
              <w:left w:val="single" w:sz="12" w:space="0" w:color="auto"/>
            </w:tcBorders>
            <w:shd w:val="clear" w:color="auto" w:fill="auto"/>
            <w:tcMar>
              <w:left w:w="29" w:type="dxa"/>
              <w:right w:w="29" w:type="dxa"/>
            </w:tcMar>
            <w:vAlign w:val="center"/>
          </w:tcPr>
          <w:p w14:paraId="6BD960EA" w14:textId="77777777" w:rsidR="00A9787F" w:rsidRDefault="00A9787F" w:rsidP="000516BC">
            <w:pPr>
              <w:jc w:val="center"/>
              <w:rPr>
                <w:sz w:val="20"/>
              </w:rPr>
            </w:pPr>
            <w:r>
              <w:rPr>
                <w:sz w:val="20"/>
              </w:rPr>
              <w:t>9,699</w:t>
            </w:r>
          </w:p>
        </w:tc>
        <w:tc>
          <w:tcPr>
            <w:tcW w:w="900" w:type="dxa"/>
            <w:tcBorders>
              <w:right w:val="single" w:sz="18" w:space="0" w:color="auto"/>
            </w:tcBorders>
            <w:shd w:val="clear" w:color="auto" w:fill="auto"/>
            <w:tcMar>
              <w:left w:w="29" w:type="dxa"/>
              <w:right w:w="29" w:type="dxa"/>
            </w:tcMar>
            <w:vAlign w:val="center"/>
          </w:tcPr>
          <w:p w14:paraId="0D67D45E" w14:textId="77777777" w:rsidR="00A9787F" w:rsidRDefault="00A9787F" w:rsidP="000516BC">
            <w:pPr>
              <w:jc w:val="center"/>
              <w:rPr>
                <w:sz w:val="20"/>
              </w:rPr>
            </w:pPr>
            <w:r>
              <w:rPr>
                <w:sz w:val="20"/>
              </w:rPr>
              <w:t>7.7%</w:t>
            </w:r>
          </w:p>
        </w:tc>
        <w:tc>
          <w:tcPr>
            <w:tcW w:w="720" w:type="dxa"/>
            <w:tcBorders>
              <w:left w:val="single" w:sz="18" w:space="0" w:color="auto"/>
              <w:right w:val="inset" w:sz="6" w:space="0" w:color="auto"/>
            </w:tcBorders>
            <w:tcMar>
              <w:left w:w="29" w:type="dxa"/>
              <w:right w:w="29" w:type="dxa"/>
            </w:tcMar>
            <w:vAlign w:val="center"/>
          </w:tcPr>
          <w:p w14:paraId="634AC83A" w14:textId="77777777" w:rsidR="00A9787F" w:rsidRPr="0023367D" w:rsidRDefault="00A9787F" w:rsidP="000516BC">
            <w:pPr>
              <w:jc w:val="center"/>
              <w:rPr>
                <w:sz w:val="20"/>
                <w:szCs w:val="20"/>
              </w:rPr>
            </w:pPr>
            <w:r w:rsidRPr="0023367D">
              <w:rPr>
                <w:sz w:val="20"/>
                <w:szCs w:val="20"/>
              </w:rPr>
              <w:t>8,455</w:t>
            </w:r>
          </w:p>
        </w:tc>
        <w:tc>
          <w:tcPr>
            <w:tcW w:w="888" w:type="dxa"/>
            <w:tcBorders>
              <w:left w:val="inset" w:sz="6" w:space="0" w:color="auto"/>
              <w:right w:val="single" w:sz="12" w:space="0" w:color="auto"/>
            </w:tcBorders>
            <w:tcMar>
              <w:left w:w="29" w:type="dxa"/>
              <w:right w:w="29" w:type="dxa"/>
            </w:tcMar>
            <w:vAlign w:val="center"/>
          </w:tcPr>
          <w:p w14:paraId="46F04E1C" w14:textId="77777777" w:rsidR="00A9787F" w:rsidRPr="0023367D" w:rsidRDefault="00A9787F" w:rsidP="000516BC">
            <w:pPr>
              <w:jc w:val="center"/>
              <w:rPr>
                <w:sz w:val="20"/>
              </w:rPr>
            </w:pPr>
            <w:r w:rsidRPr="0023367D">
              <w:rPr>
                <w:sz w:val="20"/>
              </w:rPr>
              <w:t>4.6%</w:t>
            </w:r>
          </w:p>
        </w:tc>
        <w:tc>
          <w:tcPr>
            <w:tcW w:w="720" w:type="dxa"/>
            <w:tcBorders>
              <w:left w:val="single" w:sz="12" w:space="0" w:color="auto"/>
              <w:right w:val="inset" w:sz="6" w:space="0" w:color="auto"/>
            </w:tcBorders>
            <w:tcMar>
              <w:left w:w="29" w:type="dxa"/>
              <w:right w:w="29" w:type="dxa"/>
            </w:tcMar>
            <w:vAlign w:val="center"/>
          </w:tcPr>
          <w:p w14:paraId="0BF15760" w14:textId="77777777" w:rsidR="00A9787F" w:rsidRPr="0023367D" w:rsidRDefault="00A9787F" w:rsidP="000516BC">
            <w:pPr>
              <w:jc w:val="center"/>
              <w:rPr>
                <w:sz w:val="20"/>
              </w:rPr>
            </w:pPr>
            <w:r w:rsidRPr="0023367D">
              <w:rPr>
                <w:sz w:val="20"/>
              </w:rPr>
              <w:t>2,614</w:t>
            </w:r>
          </w:p>
        </w:tc>
        <w:tc>
          <w:tcPr>
            <w:tcW w:w="912" w:type="dxa"/>
            <w:tcBorders>
              <w:left w:val="inset" w:sz="6" w:space="0" w:color="auto"/>
              <w:right w:val="single" w:sz="18" w:space="0" w:color="auto"/>
            </w:tcBorders>
            <w:tcMar>
              <w:left w:w="29" w:type="dxa"/>
              <w:right w:w="29" w:type="dxa"/>
            </w:tcMar>
            <w:vAlign w:val="center"/>
          </w:tcPr>
          <w:p w14:paraId="44B1B120" w14:textId="77777777" w:rsidR="00A9787F" w:rsidRPr="0023367D" w:rsidRDefault="00A9787F" w:rsidP="000516BC">
            <w:pPr>
              <w:jc w:val="center"/>
              <w:rPr>
                <w:sz w:val="20"/>
              </w:rPr>
            </w:pPr>
            <w:r w:rsidRPr="0023367D">
              <w:rPr>
                <w:sz w:val="20"/>
              </w:rPr>
              <w:t>7.4%</w:t>
            </w:r>
          </w:p>
        </w:tc>
        <w:tc>
          <w:tcPr>
            <w:tcW w:w="540" w:type="dxa"/>
            <w:tcBorders>
              <w:left w:val="single" w:sz="18" w:space="0" w:color="auto"/>
              <w:right w:val="inset" w:sz="6" w:space="0" w:color="auto"/>
            </w:tcBorders>
            <w:tcMar>
              <w:left w:w="29" w:type="dxa"/>
              <w:right w:w="29" w:type="dxa"/>
            </w:tcMar>
            <w:vAlign w:val="center"/>
          </w:tcPr>
          <w:p w14:paraId="6FE4FBC1" w14:textId="77777777" w:rsidR="00A9787F" w:rsidRPr="0023367D" w:rsidRDefault="00A9787F" w:rsidP="000516BC">
            <w:pPr>
              <w:jc w:val="center"/>
              <w:rPr>
                <w:sz w:val="20"/>
                <w:szCs w:val="20"/>
              </w:rPr>
            </w:pPr>
            <w:r w:rsidRPr="0023367D">
              <w:rPr>
                <w:sz w:val="20"/>
                <w:szCs w:val="20"/>
              </w:rPr>
              <w:t>8,455</w:t>
            </w:r>
          </w:p>
        </w:tc>
        <w:tc>
          <w:tcPr>
            <w:tcW w:w="810" w:type="dxa"/>
            <w:tcBorders>
              <w:left w:val="inset" w:sz="6" w:space="0" w:color="auto"/>
              <w:right w:val="single" w:sz="12" w:space="0" w:color="auto"/>
            </w:tcBorders>
            <w:tcMar>
              <w:left w:w="29" w:type="dxa"/>
              <w:right w:w="29" w:type="dxa"/>
            </w:tcMar>
            <w:vAlign w:val="center"/>
          </w:tcPr>
          <w:p w14:paraId="3E9B00DE" w14:textId="77777777" w:rsidR="00A9787F" w:rsidRPr="0023367D" w:rsidRDefault="00A9787F" w:rsidP="000516BC">
            <w:pPr>
              <w:jc w:val="center"/>
              <w:rPr>
                <w:sz w:val="20"/>
                <w:szCs w:val="20"/>
              </w:rPr>
            </w:pPr>
            <w:r w:rsidRPr="0023367D">
              <w:rPr>
                <w:sz w:val="20"/>
                <w:szCs w:val="20"/>
              </w:rPr>
              <w:t>2.0%</w:t>
            </w:r>
          </w:p>
        </w:tc>
        <w:tc>
          <w:tcPr>
            <w:tcW w:w="720" w:type="dxa"/>
            <w:tcBorders>
              <w:left w:val="single" w:sz="12" w:space="0" w:color="auto"/>
              <w:right w:val="single" w:sz="4" w:space="0" w:color="auto"/>
            </w:tcBorders>
            <w:tcMar>
              <w:left w:w="29" w:type="dxa"/>
              <w:right w:w="29" w:type="dxa"/>
            </w:tcMar>
            <w:vAlign w:val="center"/>
          </w:tcPr>
          <w:p w14:paraId="5B7D11E6" w14:textId="77777777" w:rsidR="00A9787F" w:rsidRPr="0023367D" w:rsidRDefault="00A9787F" w:rsidP="000516BC">
            <w:pPr>
              <w:jc w:val="center"/>
              <w:rPr>
                <w:sz w:val="20"/>
                <w:szCs w:val="20"/>
              </w:rPr>
            </w:pPr>
            <w:r w:rsidRPr="0023367D">
              <w:rPr>
                <w:sz w:val="20"/>
                <w:szCs w:val="20"/>
              </w:rPr>
              <w:t>6,085</w:t>
            </w:r>
          </w:p>
        </w:tc>
        <w:tc>
          <w:tcPr>
            <w:tcW w:w="978" w:type="dxa"/>
            <w:tcBorders>
              <w:left w:val="single" w:sz="4" w:space="0" w:color="auto"/>
              <w:right w:val="single" w:sz="4" w:space="0" w:color="auto"/>
            </w:tcBorders>
            <w:tcMar>
              <w:left w:w="29" w:type="dxa"/>
              <w:right w:w="29" w:type="dxa"/>
            </w:tcMar>
            <w:vAlign w:val="center"/>
          </w:tcPr>
          <w:p w14:paraId="682488CE" w14:textId="77777777" w:rsidR="00A9787F" w:rsidRPr="0023367D" w:rsidRDefault="00A9787F" w:rsidP="000516BC">
            <w:pPr>
              <w:jc w:val="center"/>
              <w:rPr>
                <w:sz w:val="20"/>
                <w:szCs w:val="20"/>
              </w:rPr>
            </w:pPr>
            <w:r w:rsidRPr="0023367D">
              <w:rPr>
                <w:sz w:val="20"/>
                <w:szCs w:val="20"/>
              </w:rPr>
              <w:t>8.0%</w:t>
            </w:r>
          </w:p>
        </w:tc>
      </w:tr>
      <w:tr w:rsidR="00A9787F" w:rsidRPr="0023367D" w14:paraId="5F07273B" w14:textId="77777777" w:rsidTr="00AE2DE7">
        <w:trPr>
          <w:trHeight w:val="665"/>
          <w:jc w:val="center"/>
        </w:trPr>
        <w:tc>
          <w:tcPr>
            <w:tcW w:w="1375" w:type="dxa"/>
            <w:tcBorders>
              <w:top w:val="nil"/>
              <w:left w:val="nil"/>
              <w:bottom w:val="nil"/>
            </w:tcBorders>
            <w:tcMar>
              <w:left w:w="29" w:type="dxa"/>
              <w:right w:w="29" w:type="dxa"/>
            </w:tcMar>
            <w:vAlign w:val="center"/>
          </w:tcPr>
          <w:p w14:paraId="3262D9FA" w14:textId="77777777" w:rsidR="00A9787F" w:rsidRDefault="00A9787F" w:rsidP="00A9787F">
            <w:pPr>
              <w:ind w:left="806"/>
              <w:rPr>
                <w:sz w:val="20"/>
                <w:szCs w:val="22"/>
              </w:rPr>
            </w:pPr>
            <w:r w:rsidRPr="0023367D">
              <w:rPr>
                <w:sz w:val="20"/>
                <w:szCs w:val="22"/>
              </w:rPr>
              <w:t xml:space="preserve"> </w:t>
            </w:r>
          </w:p>
        </w:tc>
        <w:tc>
          <w:tcPr>
            <w:tcW w:w="1800" w:type="dxa"/>
            <w:gridSpan w:val="3"/>
            <w:tcBorders>
              <w:left w:val="nil"/>
              <w:bottom w:val="single" w:sz="2" w:space="0" w:color="auto"/>
            </w:tcBorders>
            <w:vAlign w:val="center"/>
          </w:tcPr>
          <w:p w14:paraId="155127C3" w14:textId="77777777" w:rsidR="000E5062" w:rsidRDefault="000E5062" w:rsidP="000E5062">
            <w:pPr>
              <w:rPr>
                <w:sz w:val="20"/>
                <w:szCs w:val="22"/>
              </w:rPr>
            </w:pPr>
            <w:r w:rsidRPr="0023367D">
              <w:rPr>
                <w:sz w:val="20"/>
                <w:szCs w:val="22"/>
              </w:rPr>
              <w:t xml:space="preserve">Trend Slope </w:t>
            </w:r>
          </w:p>
          <w:p w14:paraId="656F1271" w14:textId="77777777" w:rsidR="00A9787F" w:rsidRPr="0023367D" w:rsidRDefault="000E5062" w:rsidP="000E5062">
            <w:pPr>
              <w:rPr>
                <w:sz w:val="20"/>
                <w:szCs w:val="22"/>
              </w:rPr>
            </w:pPr>
            <w:r w:rsidRPr="0023367D">
              <w:rPr>
                <w:sz w:val="20"/>
                <w:szCs w:val="22"/>
              </w:rPr>
              <w:t xml:space="preserve">Coefficient </w:t>
            </w:r>
            <w:r w:rsidRPr="0023367D">
              <w:rPr>
                <w:sz w:val="20"/>
                <w:szCs w:val="22"/>
                <w:vertAlign w:val="superscript"/>
              </w:rPr>
              <w:t>(</w:t>
            </w:r>
            <w:r>
              <w:rPr>
                <w:sz w:val="20"/>
                <w:szCs w:val="22"/>
                <w:vertAlign w:val="superscript"/>
              </w:rPr>
              <w:t>e</w:t>
            </w:r>
            <w:r w:rsidRPr="0023367D">
              <w:rPr>
                <w:sz w:val="20"/>
                <w:szCs w:val="22"/>
                <w:vertAlign w:val="superscript"/>
              </w:rPr>
              <w:t>)</w:t>
            </w:r>
            <w:r>
              <w:rPr>
                <w:sz w:val="20"/>
                <w:szCs w:val="22"/>
                <w:vertAlign w:val="superscript"/>
              </w:rPr>
              <w:t xml:space="preserve"> </w:t>
            </w:r>
            <w:r w:rsidRPr="0023367D">
              <w:rPr>
                <w:sz w:val="20"/>
                <w:szCs w:val="22"/>
              </w:rPr>
              <w:t xml:space="preserve">x 100 </w:t>
            </w:r>
            <w:r w:rsidR="00A9787F" w:rsidRPr="0023367D">
              <w:rPr>
                <w:sz w:val="20"/>
                <w:szCs w:val="22"/>
              </w:rPr>
              <w:t>(t-stat)</w:t>
            </w:r>
          </w:p>
        </w:tc>
        <w:tc>
          <w:tcPr>
            <w:tcW w:w="810" w:type="dxa"/>
            <w:tcBorders>
              <w:bottom w:val="single" w:sz="4" w:space="0" w:color="auto"/>
            </w:tcBorders>
            <w:shd w:val="clear" w:color="auto" w:fill="auto"/>
            <w:tcMar>
              <w:left w:w="29" w:type="dxa"/>
              <w:right w:w="29" w:type="dxa"/>
            </w:tcMar>
            <w:vAlign w:val="center"/>
          </w:tcPr>
          <w:p w14:paraId="71237880" w14:textId="77777777" w:rsidR="00A9787F" w:rsidRPr="0023367D" w:rsidRDefault="00A9787F" w:rsidP="000516BC">
            <w:pPr>
              <w:jc w:val="center"/>
              <w:rPr>
                <w:sz w:val="20"/>
              </w:rPr>
            </w:pPr>
            <w:r w:rsidRPr="0023367D">
              <w:rPr>
                <w:sz w:val="20"/>
              </w:rPr>
              <w:t>39</w:t>
            </w:r>
          </w:p>
        </w:tc>
        <w:tc>
          <w:tcPr>
            <w:tcW w:w="900" w:type="dxa"/>
            <w:tcBorders>
              <w:bottom w:val="single" w:sz="4" w:space="0" w:color="auto"/>
              <w:right w:val="single" w:sz="18" w:space="0" w:color="auto"/>
            </w:tcBorders>
            <w:shd w:val="clear" w:color="auto" w:fill="auto"/>
            <w:noWrap/>
            <w:tcMar>
              <w:left w:w="29" w:type="dxa"/>
              <w:right w:w="29" w:type="dxa"/>
            </w:tcMar>
            <w:vAlign w:val="center"/>
          </w:tcPr>
          <w:p w14:paraId="78D2C593" w14:textId="77777777" w:rsidR="00A9787F" w:rsidRPr="0023367D" w:rsidRDefault="00A9787F" w:rsidP="000516BC">
            <w:pPr>
              <w:jc w:val="center"/>
              <w:rPr>
                <w:sz w:val="20"/>
              </w:rPr>
            </w:pPr>
          </w:p>
        </w:tc>
        <w:tc>
          <w:tcPr>
            <w:tcW w:w="3060" w:type="dxa"/>
            <w:gridSpan w:val="4"/>
            <w:tcBorders>
              <w:left w:val="single" w:sz="18" w:space="0" w:color="auto"/>
              <w:bottom w:val="single" w:sz="4" w:space="0" w:color="auto"/>
              <w:right w:val="single" w:sz="18" w:space="0" w:color="auto"/>
            </w:tcBorders>
            <w:shd w:val="clear" w:color="auto" w:fill="auto"/>
            <w:noWrap/>
            <w:tcMar>
              <w:left w:w="29" w:type="dxa"/>
              <w:right w:w="29" w:type="dxa"/>
            </w:tcMar>
            <w:vAlign w:val="center"/>
          </w:tcPr>
          <w:p w14:paraId="48F29B01" w14:textId="77777777" w:rsidR="00A9787F" w:rsidRPr="0023367D" w:rsidRDefault="00A9787F" w:rsidP="000516BC">
            <w:pPr>
              <w:jc w:val="center"/>
              <w:rPr>
                <w:sz w:val="20"/>
              </w:rPr>
            </w:pPr>
            <w:r w:rsidRPr="0023367D">
              <w:rPr>
                <w:sz w:val="20"/>
              </w:rPr>
              <w:t>0.044</w:t>
            </w:r>
          </w:p>
          <w:p w14:paraId="1E313FEB" w14:textId="77777777" w:rsidR="00A9787F" w:rsidRPr="0023367D" w:rsidRDefault="00A9787F" w:rsidP="000516BC">
            <w:pPr>
              <w:jc w:val="center"/>
              <w:rPr>
                <w:sz w:val="20"/>
              </w:rPr>
            </w:pPr>
            <w:r w:rsidRPr="0023367D">
              <w:rPr>
                <w:sz w:val="20"/>
              </w:rPr>
              <w:t>(1.24)</w:t>
            </w:r>
          </w:p>
        </w:tc>
        <w:tc>
          <w:tcPr>
            <w:tcW w:w="3240" w:type="dxa"/>
            <w:gridSpan w:val="4"/>
            <w:tcBorders>
              <w:left w:val="single" w:sz="18" w:space="0" w:color="auto"/>
              <w:bottom w:val="single" w:sz="4" w:space="0" w:color="auto"/>
              <w:right w:val="single" w:sz="18" w:space="0" w:color="auto"/>
            </w:tcBorders>
            <w:tcMar>
              <w:left w:w="29" w:type="dxa"/>
              <w:right w:w="29" w:type="dxa"/>
            </w:tcMar>
            <w:vAlign w:val="center"/>
          </w:tcPr>
          <w:p w14:paraId="626DE9F1" w14:textId="77777777" w:rsidR="00A9787F" w:rsidRPr="001044CE" w:rsidRDefault="00A9787F" w:rsidP="000516BC">
            <w:pPr>
              <w:ind w:left="360"/>
              <w:jc w:val="center"/>
              <w:rPr>
                <w:sz w:val="20"/>
                <w:szCs w:val="20"/>
              </w:rPr>
            </w:pPr>
            <w:r w:rsidRPr="001044CE">
              <w:rPr>
                <w:sz w:val="20"/>
                <w:szCs w:val="20"/>
              </w:rPr>
              <w:t>0.</w:t>
            </w:r>
            <w:r w:rsidR="003D36EE" w:rsidRPr="001044CE">
              <w:rPr>
                <w:sz w:val="20"/>
                <w:szCs w:val="20"/>
              </w:rPr>
              <w:t>062</w:t>
            </w:r>
          </w:p>
          <w:p w14:paraId="2DB4BF02" w14:textId="77777777" w:rsidR="00A9787F" w:rsidRPr="0023367D" w:rsidRDefault="00A9787F" w:rsidP="003D36EE">
            <w:pPr>
              <w:ind w:left="360"/>
              <w:jc w:val="center"/>
              <w:rPr>
                <w:sz w:val="20"/>
                <w:szCs w:val="20"/>
              </w:rPr>
            </w:pPr>
            <w:r w:rsidRPr="001044CE">
              <w:rPr>
                <w:sz w:val="20"/>
                <w:szCs w:val="20"/>
              </w:rPr>
              <w:t>(</w:t>
            </w:r>
            <w:r w:rsidR="003D36EE" w:rsidRPr="001044CE">
              <w:rPr>
                <w:sz w:val="20"/>
                <w:szCs w:val="20"/>
              </w:rPr>
              <w:t>0</w:t>
            </w:r>
            <w:r w:rsidRPr="001044CE">
              <w:rPr>
                <w:sz w:val="20"/>
                <w:szCs w:val="20"/>
              </w:rPr>
              <w:t>.</w:t>
            </w:r>
            <w:r w:rsidR="003D36EE" w:rsidRPr="001044CE">
              <w:rPr>
                <w:sz w:val="20"/>
                <w:szCs w:val="20"/>
              </w:rPr>
              <w:t>86</w:t>
            </w:r>
            <w:r w:rsidRPr="001044CE">
              <w:rPr>
                <w:sz w:val="20"/>
                <w:szCs w:val="20"/>
              </w:rPr>
              <w:t>)</w:t>
            </w:r>
            <w:r w:rsidRPr="0023367D">
              <w:rPr>
                <w:sz w:val="20"/>
                <w:szCs w:val="20"/>
              </w:rPr>
              <w:t xml:space="preserve"> </w:t>
            </w:r>
          </w:p>
        </w:tc>
        <w:tc>
          <w:tcPr>
            <w:tcW w:w="3048" w:type="dxa"/>
            <w:gridSpan w:val="4"/>
            <w:tcBorders>
              <w:left w:val="single" w:sz="18" w:space="0" w:color="auto"/>
              <w:bottom w:val="single" w:sz="4" w:space="0" w:color="auto"/>
              <w:right w:val="single" w:sz="4" w:space="0" w:color="auto"/>
            </w:tcBorders>
            <w:tcMar>
              <w:left w:w="29" w:type="dxa"/>
              <w:right w:w="29" w:type="dxa"/>
            </w:tcMar>
            <w:vAlign w:val="center"/>
          </w:tcPr>
          <w:p w14:paraId="0A107E41" w14:textId="77777777" w:rsidR="00A9787F" w:rsidRPr="0023367D" w:rsidRDefault="00A9787F" w:rsidP="000516BC">
            <w:pPr>
              <w:ind w:left="360"/>
              <w:jc w:val="center"/>
              <w:rPr>
                <w:sz w:val="20"/>
                <w:szCs w:val="20"/>
              </w:rPr>
            </w:pPr>
            <w:r w:rsidRPr="0023367D">
              <w:rPr>
                <w:sz w:val="20"/>
                <w:szCs w:val="20"/>
              </w:rPr>
              <w:t>0.216</w:t>
            </w:r>
          </w:p>
          <w:p w14:paraId="35C844E0" w14:textId="77777777" w:rsidR="00A9787F" w:rsidRPr="0023367D" w:rsidRDefault="00A9787F" w:rsidP="000516BC">
            <w:pPr>
              <w:ind w:left="360"/>
              <w:jc w:val="center"/>
              <w:rPr>
                <w:sz w:val="20"/>
                <w:szCs w:val="20"/>
              </w:rPr>
            </w:pPr>
            <w:r w:rsidRPr="0023367D">
              <w:rPr>
                <w:sz w:val="20"/>
                <w:szCs w:val="20"/>
              </w:rPr>
              <w:t>(2.23)</w:t>
            </w:r>
            <w:r w:rsidRPr="0023367D">
              <w:rPr>
                <w:sz w:val="20"/>
                <w:szCs w:val="20"/>
                <w:vertAlign w:val="superscript"/>
              </w:rPr>
              <w:t>**</w:t>
            </w:r>
            <w:r w:rsidRPr="0023367D">
              <w:rPr>
                <w:sz w:val="20"/>
                <w:szCs w:val="20"/>
              </w:rPr>
              <w:t xml:space="preserve"> </w:t>
            </w:r>
          </w:p>
        </w:tc>
      </w:tr>
      <w:tr w:rsidR="00A9787F" w:rsidRPr="0023367D" w14:paraId="7EC1E777" w14:textId="77777777" w:rsidTr="00AE2DE7">
        <w:trPr>
          <w:trHeight w:val="368"/>
          <w:jc w:val="center"/>
        </w:trPr>
        <w:tc>
          <w:tcPr>
            <w:tcW w:w="3175" w:type="dxa"/>
            <w:gridSpan w:val="4"/>
            <w:tcBorders>
              <w:top w:val="nil"/>
              <w:left w:val="nil"/>
              <w:right w:val="nil"/>
            </w:tcBorders>
            <w:tcMar>
              <w:left w:w="29" w:type="dxa"/>
              <w:right w:w="29" w:type="dxa"/>
            </w:tcMar>
            <w:vAlign w:val="center"/>
          </w:tcPr>
          <w:p w14:paraId="3078E4D1" w14:textId="77777777" w:rsidR="00A5531B" w:rsidRPr="0023367D" w:rsidRDefault="00A5531B" w:rsidP="000516BC">
            <w:pPr>
              <w:rPr>
                <w:sz w:val="20"/>
                <w:szCs w:val="22"/>
              </w:rPr>
            </w:pPr>
          </w:p>
        </w:tc>
        <w:tc>
          <w:tcPr>
            <w:tcW w:w="810" w:type="dxa"/>
            <w:tcBorders>
              <w:left w:val="nil"/>
              <w:right w:val="nil"/>
            </w:tcBorders>
            <w:shd w:val="clear" w:color="auto" w:fill="auto"/>
            <w:tcMar>
              <w:left w:w="29" w:type="dxa"/>
              <w:right w:w="29" w:type="dxa"/>
            </w:tcMar>
            <w:vAlign w:val="center"/>
          </w:tcPr>
          <w:p w14:paraId="28EEEC5C" w14:textId="77777777" w:rsidR="00A5531B" w:rsidRPr="0023367D" w:rsidRDefault="00A5531B" w:rsidP="000516BC">
            <w:pPr>
              <w:jc w:val="center"/>
              <w:rPr>
                <w:sz w:val="20"/>
              </w:rPr>
            </w:pPr>
          </w:p>
        </w:tc>
        <w:tc>
          <w:tcPr>
            <w:tcW w:w="900" w:type="dxa"/>
            <w:tcBorders>
              <w:left w:val="nil"/>
              <w:right w:val="nil"/>
            </w:tcBorders>
            <w:shd w:val="clear" w:color="auto" w:fill="auto"/>
            <w:noWrap/>
            <w:tcMar>
              <w:left w:w="29" w:type="dxa"/>
              <w:right w:w="29" w:type="dxa"/>
            </w:tcMar>
            <w:vAlign w:val="center"/>
          </w:tcPr>
          <w:p w14:paraId="70EE555E" w14:textId="77777777" w:rsidR="00A5531B" w:rsidRPr="0023367D" w:rsidRDefault="00A5531B" w:rsidP="000516BC">
            <w:pPr>
              <w:jc w:val="center"/>
              <w:rPr>
                <w:sz w:val="20"/>
              </w:rPr>
            </w:pPr>
          </w:p>
        </w:tc>
        <w:tc>
          <w:tcPr>
            <w:tcW w:w="3060" w:type="dxa"/>
            <w:gridSpan w:val="4"/>
            <w:tcBorders>
              <w:left w:val="nil"/>
              <w:bottom w:val="single" w:sz="4" w:space="0" w:color="auto"/>
              <w:right w:val="nil"/>
            </w:tcBorders>
            <w:shd w:val="clear" w:color="auto" w:fill="auto"/>
            <w:noWrap/>
            <w:tcMar>
              <w:left w:w="29" w:type="dxa"/>
              <w:right w:w="29" w:type="dxa"/>
            </w:tcMar>
            <w:vAlign w:val="center"/>
          </w:tcPr>
          <w:p w14:paraId="024DF016" w14:textId="77777777" w:rsidR="00A5531B" w:rsidRPr="0023367D" w:rsidRDefault="00A5531B" w:rsidP="000516BC">
            <w:pPr>
              <w:jc w:val="center"/>
              <w:rPr>
                <w:sz w:val="20"/>
              </w:rPr>
            </w:pPr>
          </w:p>
        </w:tc>
        <w:tc>
          <w:tcPr>
            <w:tcW w:w="3240" w:type="dxa"/>
            <w:gridSpan w:val="4"/>
            <w:tcBorders>
              <w:left w:val="nil"/>
              <w:right w:val="nil"/>
            </w:tcBorders>
            <w:tcMar>
              <w:left w:w="29" w:type="dxa"/>
              <w:right w:w="29" w:type="dxa"/>
            </w:tcMar>
            <w:vAlign w:val="center"/>
          </w:tcPr>
          <w:p w14:paraId="03003611" w14:textId="77777777" w:rsidR="00A5531B" w:rsidRPr="0023367D" w:rsidRDefault="00A5531B" w:rsidP="000516BC">
            <w:pPr>
              <w:ind w:left="360"/>
              <w:jc w:val="center"/>
              <w:rPr>
                <w:sz w:val="20"/>
                <w:szCs w:val="20"/>
              </w:rPr>
            </w:pPr>
          </w:p>
        </w:tc>
        <w:tc>
          <w:tcPr>
            <w:tcW w:w="3048" w:type="dxa"/>
            <w:gridSpan w:val="4"/>
            <w:tcBorders>
              <w:left w:val="nil"/>
              <w:right w:val="nil"/>
            </w:tcBorders>
            <w:tcMar>
              <w:left w:w="29" w:type="dxa"/>
              <w:right w:w="29" w:type="dxa"/>
            </w:tcMar>
            <w:vAlign w:val="center"/>
          </w:tcPr>
          <w:p w14:paraId="3A26D4E3" w14:textId="77777777" w:rsidR="00A5531B" w:rsidRPr="0023367D" w:rsidRDefault="00A5531B" w:rsidP="000516BC">
            <w:pPr>
              <w:ind w:left="360"/>
              <w:jc w:val="center"/>
              <w:rPr>
                <w:sz w:val="20"/>
                <w:szCs w:val="20"/>
              </w:rPr>
            </w:pPr>
          </w:p>
        </w:tc>
      </w:tr>
      <w:tr w:rsidR="00A5531B" w:rsidRPr="0023367D" w14:paraId="6067FB89" w14:textId="77777777" w:rsidTr="00AE2DE7">
        <w:trPr>
          <w:trHeight w:hRule="exact" w:val="432"/>
          <w:jc w:val="center"/>
        </w:trPr>
        <w:tc>
          <w:tcPr>
            <w:tcW w:w="1645" w:type="dxa"/>
            <w:gridSpan w:val="2"/>
            <w:tcMar>
              <w:left w:w="29" w:type="dxa"/>
              <w:right w:w="29" w:type="dxa"/>
            </w:tcMar>
            <w:vAlign w:val="center"/>
          </w:tcPr>
          <w:p w14:paraId="6FD9C513" w14:textId="77777777" w:rsidR="00A5531B" w:rsidRPr="0023367D" w:rsidRDefault="00A5531B" w:rsidP="00A5531B">
            <w:pPr>
              <w:rPr>
                <w:sz w:val="20"/>
                <w:szCs w:val="22"/>
              </w:rPr>
            </w:pPr>
          </w:p>
        </w:tc>
        <w:tc>
          <w:tcPr>
            <w:tcW w:w="3240" w:type="dxa"/>
            <w:gridSpan w:val="4"/>
            <w:tcBorders>
              <w:right w:val="single" w:sz="18" w:space="0" w:color="auto"/>
            </w:tcBorders>
            <w:vAlign w:val="center"/>
          </w:tcPr>
          <w:p w14:paraId="106A6C0E" w14:textId="77777777" w:rsidR="00A5531B" w:rsidRPr="0023367D" w:rsidRDefault="00A5531B" w:rsidP="00A5531B">
            <w:pPr>
              <w:jc w:val="center"/>
              <w:rPr>
                <w:sz w:val="20"/>
              </w:rPr>
            </w:pPr>
            <w:r w:rsidRPr="0023367D">
              <w:rPr>
                <w:bCs/>
                <w:color w:val="000000"/>
                <w:sz w:val="20"/>
                <w:szCs w:val="22"/>
              </w:rPr>
              <w:t>CONSERV</w:t>
            </w:r>
          </w:p>
        </w:tc>
        <w:tc>
          <w:tcPr>
            <w:tcW w:w="3060" w:type="dxa"/>
            <w:gridSpan w:val="4"/>
            <w:tcBorders>
              <w:left w:val="single" w:sz="18" w:space="0" w:color="auto"/>
              <w:bottom w:val="single" w:sz="4" w:space="0" w:color="auto"/>
              <w:right w:val="single" w:sz="18" w:space="0" w:color="auto"/>
            </w:tcBorders>
            <w:shd w:val="clear" w:color="auto" w:fill="auto"/>
            <w:noWrap/>
            <w:tcMar>
              <w:left w:w="29" w:type="dxa"/>
              <w:right w:w="29" w:type="dxa"/>
            </w:tcMar>
            <w:vAlign w:val="center"/>
          </w:tcPr>
          <w:p w14:paraId="5DC01C31" w14:textId="77777777" w:rsidR="00A5531B" w:rsidRPr="0023367D" w:rsidRDefault="00A5531B" w:rsidP="00A5531B">
            <w:pPr>
              <w:jc w:val="center"/>
              <w:rPr>
                <w:bCs/>
                <w:color w:val="000000"/>
                <w:sz w:val="20"/>
              </w:rPr>
            </w:pPr>
            <w:proofErr w:type="spellStart"/>
            <w:r w:rsidRPr="0023367D">
              <w:rPr>
                <w:bCs/>
                <w:color w:val="000000"/>
                <w:sz w:val="20"/>
                <w:szCs w:val="22"/>
              </w:rPr>
              <w:t>VRatio</w:t>
            </w:r>
            <w:proofErr w:type="spellEnd"/>
            <w:r w:rsidRPr="0023367D">
              <w:rPr>
                <w:bCs/>
                <w:color w:val="000000"/>
                <w:sz w:val="20"/>
                <w:szCs w:val="22"/>
              </w:rPr>
              <w:t xml:space="preserve"> </w:t>
            </w:r>
            <w:r w:rsidRPr="009874E6">
              <w:rPr>
                <w:bCs/>
                <w:color w:val="000000"/>
                <w:sz w:val="18"/>
                <w:szCs w:val="22"/>
              </w:rPr>
              <w:t>(Fair value adjustments)</w:t>
            </w:r>
          </w:p>
        </w:tc>
        <w:tc>
          <w:tcPr>
            <w:tcW w:w="3240" w:type="dxa"/>
            <w:gridSpan w:val="4"/>
            <w:tcBorders>
              <w:left w:val="single" w:sz="18" w:space="0" w:color="auto"/>
              <w:right w:val="single" w:sz="18" w:space="0" w:color="auto"/>
            </w:tcBorders>
            <w:tcMar>
              <w:left w:w="29" w:type="dxa"/>
              <w:right w:w="29" w:type="dxa"/>
            </w:tcMar>
            <w:vAlign w:val="center"/>
          </w:tcPr>
          <w:p w14:paraId="2E066C1A" w14:textId="77777777" w:rsidR="00A5531B" w:rsidRPr="0023367D" w:rsidRDefault="00A5531B" w:rsidP="00A5531B">
            <w:pPr>
              <w:jc w:val="center"/>
              <w:rPr>
                <w:bCs/>
                <w:color w:val="000000"/>
                <w:sz w:val="20"/>
              </w:rPr>
            </w:pPr>
            <w:r w:rsidRPr="0023367D">
              <w:rPr>
                <w:bCs/>
                <w:color w:val="000000"/>
                <w:sz w:val="20"/>
                <w:szCs w:val="22"/>
              </w:rPr>
              <w:t>LOSS</w:t>
            </w:r>
          </w:p>
        </w:tc>
        <w:tc>
          <w:tcPr>
            <w:tcW w:w="3048" w:type="dxa"/>
            <w:gridSpan w:val="4"/>
            <w:tcBorders>
              <w:left w:val="single" w:sz="18" w:space="0" w:color="auto"/>
              <w:right w:val="single" w:sz="4" w:space="0" w:color="auto"/>
            </w:tcBorders>
            <w:tcMar>
              <w:left w:w="29" w:type="dxa"/>
              <w:right w:w="29" w:type="dxa"/>
            </w:tcMar>
            <w:vAlign w:val="center"/>
          </w:tcPr>
          <w:p w14:paraId="476DF54A" w14:textId="77777777" w:rsidR="00A5531B" w:rsidRPr="0023367D" w:rsidRDefault="00A5531B" w:rsidP="00A5531B">
            <w:pPr>
              <w:ind w:left="360"/>
              <w:jc w:val="center"/>
              <w:rPr>
                <w:bCs/>
                <w:color w:val="000000"/>
                <w:sz w:val="18"/>
              </w:rPr>
            </w:pPr>
            <w:r w:rsidRPr="0023367D">
              <w:rPr>
                <w:bCs/>
                <w:color w:val="000000"/>
                <w:sz w:val="18"/>
                <w:szCs w:val="22"/>
              </w:rPr>
              <w:t>Intangibles</w:t>
            </w:r>
          </w:p>
        </w:tc>
      </w:tr>
      <w:tr w:rsidR="00072AA7" w:rsidRPr="0023367D" w14:paraId="6C776DE3" w14:textId="77777777" w:rsidTr="00AE2DE7">
        <w:trPr>
          <w:trHeight w:hRule="exact" w:val="432"/>
          <w:jc w:val="center"/>
        </w:trPr>
        <w:tc>
          <w:tcPr>
            <w:tcW w:w="1645" w:type="dxa"/>
            <w:gridSpan w:val="2"/>
            <w:tcMar>
              <w:left w:w="29" w:type="dxa"/>
              <w:right w:w="29" w:type="dxa"/>
            </w:tcMar>
            <w:vAlign w:val="center"/>
          </w:tcPr>
          <w:p w14:paraId="1029A6F1" w14:textId="77777777" w:rsidR="00A5531B" w:rsidRPr="0023367D" w:rsidRDefault="00A5531B" w:rsidP="00A5531B">
            <w:pPr>
              <w:rPr>
                <w:sz w:val="20"/>
                <w:szCs w:val="22"/>
              </w:rPr>
            </w:pPr>
          </w:p>
        </w:tc>
        <w:tc>
          <w:tcPr>
            <w:tcW w:w="1530" w:type="dxa"/>
            <w:gridSpan w:val="2"/>
            <w:vAlign w:val="center"/>
          </w:tcPr>
          <w:p w14:paraId="28F61BCE" w14:textId="77777777" w:rsidR="00A5531B" w:rsidRPr="0023367D" w:rsidRDefault="00A5531B" w:rsidP="00A5531B">
            <w:pPr>
              <w:jc w:val="center"/>
              <w:rPr>
                <w:bCs/>
                <w:color w:val="FF0000"/>
                <w:sz w:val="20"/>
              </w:rPr>
            </w:pPr>
            <w:r w:rsidRPr="0023367D">
              <w:rPr>
                <w:bCs/>
                <w:color w:val="000000"/>
                <w:sz w:val="20"/>
                <w:szCs w:val="22"/>
              </w:rPr>
              <w:t>Low</w:t>
            </w:r>
          </w:p>
        </w:tc>
        <w:tc>
          <w:tcPr>
            <w:tcW w:w="1710" w:type="dxa"/>
            <w:gridSpan w:val="2"/>
            <w:tcBorders>
              <w:right w:val="single" w:sz="18" w:space="0" w:color="auto"/>
            </w:tcBorders>
            <w:shd w:val="clear" w:color="auto" w:fill="auto"/>
            <w:tcMar>
              <w:left w:w="29" w:type="dxa"/>
              <w:right w:w="29" w:type="dxa"/>
            </w:tcMar>
            <w:vAlign w:val="center"/>
          </w:tcPr>
          <w:p w14:paraId="049586C8" w14:textId="77777777" w:rsidR="00A5531B" w:rsidRPr="0023367D" w:rsidRDefault="00A5531B" w:rsidP="00A5531B">
            <w:pPr>
              <w:jc w:val="center"/>
              <w:rPr>
                <w:bCs/>
                <w:color w:val="000000"/>
                <w:sz w:val="18"/>
                <w:szCs w:val="22"/>
              </w:rPr>
            </w:pPr>
            <w:r w:rsidRPr="0023367D">
              <w:rPr>
                <w:bCs/>
                <w:color w:val="000000"/>
                <w:sz w:val="20"/>
                <w:szCs w:val="22"/>
              </w:rPr>
              <w:t>High</w:t>
            </w:r>
          </w:p>
        </w:tc>
        <w:tc>
          <w:tcPr>
            <w:tcW w:w="1440" w:type="dxa"/>
            <w:gridSpan w:val="2"/>
            <w:tcBorders>
              <w:left w:val="single" w:sz="18" w:space="0" w:color="auto"/>
              <w:right w:val="single" w:sz="12" w:space="0" w:color="auto"/>
            </w:tcBorders>
            <w:shd w:val="clear" w:color="auto" w:fill="auto"/>
            <w:noWrap/>
            <w:tcMar>
              <w:left w:w="29" w:type="dxa"/>
              <w:right w:w="29" w:type="dxa"/>
            </w:tcMar>
            <w:vAlign w:val="center"/>
          </w:tcPr>
          <w:p w14:paraId="77604B11" w14:textId="77777777" w:rsidR="00A5531B" w:rsidRPr="0023367D" w:rsidRDefault="00A5531B" w:rsidP="00A5531B">
            <w:pPr>
              <w:jc w:val="center"/>
              <w:rPr>
                <w:bCs/>
                <w:color w:val="FF0000"/>
                <w:sz w:val="20"/>
              </w:rPr>
            </w:pPr>
            <w:r w:rsidRPr="0023367D">
              <w:rPr>
                <w:bCs/>
                <w:color w:val="000000"/>
                <w:sz w:val="20"/>
                <w:szCs w:val="22"/>
              </w:rPr>
              <w:t>Low</w:t>
            </w:r>
          </w:p>
        </w:tc>
        <w:tc>
          <w:tcPr>
            <w:tcW w:w="1620" w:type="dxa"/>
            <w:gridSpan w:val="2"/>
            <w:tcBorders>
              <w:left w:val="single" w:sz="12" w:space="0" w:color="auto"/>
              <w:right w:val="single" w:sz="18" w:space="0" w:color="auto"/>
            </w:tcBorders>
            <w:shd w:val="clear" w:color="auto" w:fill="auto"/>
            <w:vAlign w:val="center"/>
          </w:tcPr>
          <w:p w14:paraId="442CD605" w14:textId="77777777" w:rsidR="00A5531B" w:rsidRPr="0023367D" w:rsidRDefault="00A5531B" w:rsidP="00A5531B">
            <w:pPr>
              <w:jc w:val="center"/>
              <w:rPr>
                <w:bCs/>
                <w:color w:val="000000"/>
                <w:sz w:val="18"/>
                <w:szCs w:val="22"/>
              </w:rPr>
            </w:pPr>
            <w:r w:rsidRPr="0023367D">
              <w:rPr>
                <w:bCs/>
                <w:color w:val="000000"/>
                <w:sz w:val="20"/>
                <w:szCs w:val="22"/>
              </w:rPr>
              <w:t>High</w:t>
            </w:r>
          </w:p>
        </w:tc>
        <w:tc>
          <w:tcPr>
            <w:tcW w:w="1608" w:type="dxa"/>
            <w:gridSpan w:val="2"/>
            <w:tcBorders>
              <w:left w:val="single" w:sz="18" w:space="0" w:color="auto"/>
              <w:right w:val="single" w:sz="12" w:space="0" w:color="auto"/>
            </w:tcBorders>
            <w:tcMar>
              <w:left w:w="29" w:type="dxa"/>
              <w:right w:w="29" w:type="dxa"/>
            </w:tcMar>
            <w:vAlign w:val="center"/>
          </w:tcPr>
          <w:p w14:paraId="071B47A0" w14:textId="77777777" w:rsidR="00A5531B" w:rsidRPr="0023367D" w:rsidRDefault="00A5531B" w:rsidP="00A5531B">
            <w:pPr>
              <w:ind w:left="7"/>
              <w:jc w:val="center"/>
              <w:rPr>
                <w:bCs/>
                <w:color w:val="FF0000"/>
                <w:sz w:val="18"/>
              </w:rPr>
            </w:pPr>
            <w:r w:rsidRPr="0023367D">
              <w:rPr>
                <w:bCs/>
                <w:color w:val="000000"/>
                <w:sz w:val="18"/>
                <w:szCs w:val="22"/>
              </w:rPr>
              <w:t>No</w:t>
            </w:r>
          </w:p>
        </w:tc>
        <w:tc>
          <w:tcPr>
            <w:tcW w:w="1632" w:type="dxa"/>
            <w:gridSpan w:val="2"/>
            <w:tcBorders>
              <w:left w:val="single" w:sz="12" w:space="0" w:color="auto"/>
              <w:right w:val="single" w:sz="18" w:space="0" w:color="auto"/>
            </w:tcBorders>
            <w:vAlign w:val="center"/>
          </w:tcPr>
          <w:p w14:paraId="3C977561" w14:textId="77777777" w:rsidR="00A5531B" w:rsidRPr="0023367D" w:rsidRDefault="00A5531B" w:rsidP="00A5531B">
            <w:pPr>
              <w:jc w:val="center"/>
              <w:rPr>
                <w:bCs/>
                <w:color w:val="FF0000"/>
                <w:sz w:val="20"/>
              </w:rPr>
            </w:pPr>
            <w:r>
              <w:rPr>
                <w:bCs/>
                <w:color w:val="000000"/>
                <w:sz w:val="20"/>
                <w:szCs w:val="22"/>
              </w:rPr>
              <w:t>Yes</w:t>
            </w:r>
          </w:p>
        </w:tc>
        <w:tc>
          <w:tcPr>
            <w:tcW w:w="1350" w:type="dxa"/>
            <w:gridSpan w:val="2"/>
            <w:tcBorders>
              <w:left w:val="single" w:sz="18" w:space="0" w:color="auto"/>
              <w:right w:val="single" w:sz="12" w:space="0" w:color="auto"/>
            </w:tcBorders>
            <w:tcMar>
              <w:left w:w="29" w:type="dxa"/>
              <w:right w:w="29" w:type="dxa"/>
            </w:tcMar>
            <w:vAlign w:val="center"/>
          </w:tcPr>
          <w:p w14:paraId="197EE32E" w14:textId="77777777" w:rsidR="00A5531B" w:rsidRPr="0023367D" w:rsidRDefault="00A5531B" w:rsidP="00A5531B">
            <w:pPr>
              <w:jc w:val="center"/>
              <w:rPr>
                <w:bCs/>
                <w:color w:val="FF0000"/>
                <w:sz w:val="20"/>
              </w:rPr>
            </w:pPr>
            <w:r w:rsidRPr="0023367D">
              <w:rPr>
                <w:bCs/>
                <w:color w:val="000000"/>
                <w:sz w:val="20"/>
                <w:szCs w:val="22"/>
              </w:rPr>
              <w:t>Low</w:t>
            </w:r>
          </w:p>
        </w:tc>
        <w:tc>
          <w:tcPr>
            <w:tcW w:w="1698" w:type="dxa"/>
            <w:gridSpan w:val="2"/>
            <w:tcBorders>
              <w:left w:val="single" w:sz="12" w:space="0" w:color="auto"/>
              <w:right w:val="single" w:sz="4" w:space="0" w:color="auto"/>
            </w:tcBorders>
            <w:vAlign w:val="center"/>
          </w:tcPr>
          <w:p w14:paraId="33DE267E" w14:textId="77777777" w:rsidR="00A5531B" w:rsidRPr="0023367D" w:rsidRDefault="00A5531B" w:rsidP="00A5531B">
            <w:pPr>
              <w:jc w:val="center"/>
              <w:rPr>
                <w:bCs/>
                <w:color w:val="000000"/>
                <w:sz w:val="18"/>
                <w:szCs w:val="22"/>
              </w:rPr>
            </w:pPr>
            <w:r w:rsidRPr="0023367D">
              <w:rPr>
                <w:bCs/>
                <w:color w:val="000000"/>
                <w:sz w:val="20"/>
                <w:szCs w:val="22"/>
              </w:rPr>
              <w:t>High</w:t>
            </w:r>
          </w:p>
        </w:tc>
      </w:tr>
      <w:tr w:rsidR="00A9787F" w:rsidRPr="0023367D" w14:paraId="52CE1BE6" w14:textId="77777777" w:rsidTr="00AE2DE7">
        <w:trPr>
          <w:trHeight w:hRule="exact" w:val="576"/>
          <w:jc w:val="center"/>
        </w:trPr>
        <w:tc>
          <w:tcPr>
            <w:tcW w:w="1645" w:type="dxa"/>
            <w:gridSpan w:val="2"/>
            <w:tcMar>
              <w:left w:w="29" w:type="dxa"/>
              <w:right w:w="29" w:type="dxa"/>
            </w:tcMar>
            <w:vAlign w:val="center"/>
          </w:tcPr>
          <w:p w14:paraId="3CBF8D8F" w14:textId="77777777" w:rsidR="00A9787F" w:rsidRPr="0023367D" w:rsidRDefault="00A9787F" w:rsidP="00A9787F">
            <w:pPr>
              <w:rPr>
                <w:sz w:val="20"/>
                <w:szCs w:val="22"/>
              </w:rPr>
            </w:pPr>
          </w:p>
        </w:tc>
        <w:tc>
          <w:tcPr>
            <w:tcW w:w="720" w:type="dxa"/>
            <w:vAlign w:val="center"/>
          </w:tcPr>
          <w:p w14:paraId="1BA6769A" w14:textId="77777777" w:rsidR="00A9787F" w:rsidRPr="0023367D" w:rsidRDefault="00A9787F" w:rsidP="00A9787F">
            <w:pPr>
              <w:jc w:val="center"/>
              <w:rPr>
                <w:color w:val="000000"/>
                <w:sz w:val="20"/>
                <w:szCs w:val="20"/>
              </w:rPr>
            </w:pPr>
            <w:r w:rsidRPr="0023367D">
              <w:rPr>
                <w:color w:val="000000"/>
                <w:sz w:val="20"/>
                <w:szCs w:val="20"/>
              </w:rPr>
              <w:t>N</w:t>
            </w:r>
          </w:p>
        </w:tc>
        <w:tc>
          <w:tcPr>
            <w:tcW w:w="810" w:type="dxa"/>
            <w:vAlign w:val="center"/>
          </w:tcPr>
          <w:p w14:paraId="5C20A8A4" w14:textId="77777777" w:rsidR="00A9787F" w:rsidRPr="0023367D" w:rsidRDefault="00A9787F" w:rsidP="00A9787F">
            <w:pPr>
              <w:jc w:val="center"/>
              <w:rPr>
                <w:color w:val="000000"/>
                <w:sz w:val="20"/>
                <w:szCs w:val="20"/>
              </w:rPr>
            </w:pPr>
            <w:r w:rsidRPr="0023367D">
              <w:rPr>
                <w:sz w:val="20"/>
                <w:szCs w:val="20"/>
              </w:rPr>
              <w:t>Adj. R</w:t>
            </w:r>
            <w:r w:rsidRPr="0023367D">
              <w:rPr>
                <w:sz w:val="20"/>
                <w:szCs w:val="20"/>
                <w:vertAlign w:val="superscript"/>
              </w:rPr>
              <w:t>2</w:t>
            </w:r>
            <w:r w:rsidRPr="0023367D">
              <w:rPr>
                <w:sz w:val="20"/>
                <w:szCs w:val="20"/>
                <w:vertAlign w:val="subscript"/>
              </w:rPr>
              <w:t>ACCT</w:t>
            </w:r>
          </w:p>
        </w:tc>
        <w:tc>
          <w:tcPr>
            <w:tcW w:w="810" w:type="dxa"/>
            <w:shd w:val="clear" w:color="auto" w:fill="auto"/>
            <w:tcMar>
              <w:left w:w="29" w:type="dxa"/>
              <w:right w:w="29" w:type="dxa"/>
            </w:tcMar>
            <w:vAlign w:val="center"/>
          </w:tcPr>
          <w:p w14:paraId="6BF28C58" w14:textId="77777777" w:rsidR="00A9787F" w:rsidRPr="0023367D" w:rsidRDefault="00A9787F" w:rsidP="00A9787F">
            <w:pPr>
              <w:jc w:val="center"/>
              <w:rPr>
                <w:color w:val="000000"/>
                <w:sz w:val="20"/>
                <w:szCs w:val="20"/>
              </w:rPr>
            </w:pPr>
            <w:r w:rsidRPr="0023367D">
              <w:rPr>
                <w:color w:val="000000"/>
                <w:sz w:val="20"/>
                <w:szCs w:val="20"/>
              </w:rPr>
              <w:t>N</w:t>
            </w:r>
          </w:p>
        </w:tc>
        <w:tc>
          <w:tcPr>
            <w:tcW w:w="900" w:type="dxa"/>
            <w:tcBorders>
              <w:right w:val="single" w:sz="18" w:space="0" w:color="auto"/>
            </w:tcBorders>
            <w:shd w:val="clear" w:color="auto" w:fill="auto"/>
            <w:noWrap/>
            <w:tcMar>
              <w:left w:w="29" w:type="dxa"/>
              <w:right w:w="29" w:type="dxa"/>
            </w:tcMar>
            <w:vAlign w:val="center"/>
          </w:tcPr>
          <w:p w14:paraId="52FEF3F8" w14:textId="77777777" w:rsidR="00A9787F" w:rsidRPr="0023367D" w:rsidRDefault="00A9787F" w:rsidP="00A9787F">
            <w:pPr>
              <w:jc w:val="center"/>
              <w:rPr>
                <w:color w:val="000000"/>
                <w:sz w:val="20"/>
                <w:szCs w:val="20"/>
              </w:rPr>
            </w:pPr>
            <w:r w:rsidRPr="0023367D">
              <w:rPr>
                <w:sz w:val="20"/>
                <w:szCs w:val="20"/>
              </w:rPr>
              <w:t>Adj. R</w:t>
            </w:r>
            <w:r w:rsidRPr="0023367D">
              <w:rPr>
                <w:sz w:val="20"/>
                <w:szCs w:val="20"/>
                <w:vertAlign w:val="superscript"/>
              </w:rPr>
              <w:t>2</w:t>
            </w:r>
            <w:r w:rsidRPr="0023367D">
              <w:rPr>
                <w:sz w:val="20"/>
                <w:szCs w:val="20"/>
                <w:vertAlign w:val="subscript"/>
              </w:rPr>
              <w:t>ACCT</w:t>
            </w:r>
          </w:p>
        </w:tc>
        <w:tc>
          <w:tcPr>
            <w:tcW w:w="630" w:type="dxa"/>
            <w:tcBorders>
              <w:left w:val="single" w:sz="18" w:space="0" w:color="auto"/>
              <w:right w:val="single" w:sz="2" w:space="0" w:color="auto"/>
            </w:tcBorders>
            <w:shd w:val="clear" w:color="auto" w:fill="auto"/>
            <w:noWrap/>
            <w:tcMar>
              <w:left w:w="29" w:type="dxa"/>
              <w:right w:w="29" w:type="dxa"/>
            </w:tcMar>
            <w:vAlign w:val="center"/>
          </w:tcPr>
          <w:p w14:paraId="19E24F6E" w14:textId="77777777" w:rsidR="00A9787F" w:rsidRPr="0023367D" w:rsidRDefault="00A9787F" w:rsidP="00A9787F">
            <w:pPr>
              <w:jc w:val="center"/>
              <w:rPr>
                <w:color w:val="000000"/>
                <w:sz w:val="20"/>
                <w:szCs w:val="20"/>
              </w:rPr>
            </w:pPr>
            <w:r w:rsidRPr="0023367D">
              <w:rPr>
                <w:color w:val="000000"/>
                <w:sz w:val="20"/>
                <w:szCs w:val="20"/>
              </w:rPr>
              <w:t>N</w:t>
            </w:r>
          </w:p>
        </w:tc>
        <w:tc>
          <w:tcPr>
            <w:tcW w:w="810" w:type="dxa"/>
            <w:tcBorders>
              <w:left w:val="single" w:sz="2" w:space="0" w:color="auto"/>
              <w:right w:val="single" w:sz="12" w:space="0" w:color="auto"/>
            </w:tcBorders>
            <w:shd w:val="clear" w:color="auto" w:fill="auto"/>
            <w:vAlign w:val="center"/>
          </w:tcPr>
          <w:p w14:paraId="1A0DFCBD" w14:textId="77777777" w:rsidR="00A9787F" w:rsidRPr="0023367D" w:rsidRDefault="00A9787F" w:rsidP="00A9787F">
            <w:pPr>
              <w:jc w:val="center"/>
              <w:rPr>
                <w:color w:val="000000"/>
                <w:sz w:val="20"/>
                <w:szCs w:val="20"/>
              </w:rPr>
            </w:pPr>
            <w:r w:rsidRPr="0023367D">
              <w:rPr>
                <w:sz w:val="20"/>
                <w:szCs w:val="20"/>
              </w:rPr>
              <w:t>Adj. R</w:t>
            </w:r>
            <w:r w:rsidRPr="0023367D">
              <w:rPr>
                <w:sz w:val="20"/>
                <w:szCs w:val="20"/>
                <w:vertAlign w:val="superscript"/>
              </w:rPr>
              <w:t>2</w:t>
            </w:r>
            <w:r w:rsidRPr="0023367D">
              <w:rPr>
                <w:sz w:val="20"/>
                <w:szCs w:val="20"/>
                <w:vertAlign w:val="subscript"/>
              </w:rPr>
              <w:t>ACCT</w:t>
            </w:r>
          </w:p>
        </w:tc>
        <w:tc>
          <w:tcPr>
            <w:tcW w:w="720" w:type="dxa"/>
            <w:tcBorders>
              <w:left w:val="single" w:sz="12" w:space="0" w:color="auto"/>
              <w:right w:val="single" w:sz="2" w:space="0" w:color="auto"/>
            </w:tcBorders>
            <w:shd w:val="clear" w:color="auto" w:fill="auto"/>
            <w:vAlign w:val="center"/>
          </w:tcPr>
          <w:p w14:paraId="25A5A6F8" w14:textId="77777777" w:rsidR="00A9787F" w:rsidRPr="0023367D" w:rsidRDefault="00A9787F" w:rsidP="00A9787F">
            <w:pPr>
              <w:jc w:val="center"/>
              <w:rPr>
                <w:color w:val="000000"/>
                <w:sz w:val="20"/>
                <w:szCs w:val="20"/>
              </w:rPr>
            </w:pPr>
            <w:r w:rsidRPr="0023367D">
              <w:rPr>
                <w:color w:val="000000"/>
                <w:sz w:val="20"/>
                <w:szCs w:val="20"/>
              </w:rPr>
              <w:t>N</w:t>
            </w:r>
          </w:p>
        </w:tc>
        <w:tc>
          <w:tcPr>
            <w:tcW w:w="900" w:type="dxa"/>
            <w:tcBorders>
              <w:left w:val="single" w:sz="2" w:space="0" w:color="auto"/>
              <w:right w:val="single" w:sz="18" w:space="0" w:color="auto"/>
            </w:tcBorders>
            <w:shd w:val="clear" w:color="auto" w:fill="auto"/>
            <w:vAlign w:val="center"/>
          </w:tcPr>
          <w:p w14:paraId="5F03366F" w14:textId="77777777" w:rsidR="00A9787F" w:rsidRPr="0023367D" w:rsidRDefault="00A9787F" w:rsidP="00A9787F">
            <w:pPr>
              <w:jc w:val="center"/>
              <w:rPr>
                <w:color w:val="000000"/>
                <w:sz w:val="20"/>
                <w:szCs w:val="20"/>
              </w:rPr>
            </w:pPr>
            <w:r>
              <w:rPr>
                <w:sz w:val="20"/>
                <w:szCs w:val="20"/>
              </w:rPr>
              <w:t>Adj. R</w:t>
            </w:r>
            <w:r>
              <w:rPr>
                <w:sz w:val="20"/>
                <w:szCs w:val="20"/>
                <w:vertAlign w:val="superscript"/>
              </w:rPr>
              <w:t>2</w:t>
            </w:r>
            <w:r>
              <w:rPr>
                <w:sz w:val="20"/>
                <w:szCs w:val="20"/>
                <w:vertAlign w:val="subscript"/>
              </w:rPr>
              <w:t>ACCT</w:t>
            </w:r>
          </w:p>
        </w:tc>
        <w:tc>
          <w:tcPr>
            <w:tcW w:w="720" w:type="dxa"/>
            <w:tcBorders>
              <w:left w:val="single" w:sz="18" w:space="0" w:color="auto"/>
              <w:right w:val="single" w:sz="2" w:space="0" w:color="auto"/>
            </w:tcBorders>
            <w:tcMar>
              <w:left w:w="29" w:type="dxa"/>
              <w:right w:w="29" w:type="dxa"/>
            </w:tcMar>
            <w:vAlign w:val="center"/>
          </w:tcPr>
          <w:p w14:paraId="194C1EF6" w14:textId="77777777" w:rsidR="00A9787F" w:rsidRPr="0023367D" w:rsidRDefault="00A9787F" w:rsidP="00A9787F">
            <w:pPr>
              <w:jc w:val="center"/>
              <w:rPr>
                <w:color w:val="000000"/>
                <w:sz w:val="20"/>
                <w:szCs w:val="20"/>
              </w:rPr>
            </w:pPr>
            <w:r w:rsidRPr="0023367D">
              <w:rPr>
                <w:color w:val="000000"/>
                <w:sz w:val="20"/>
                <w:szCs w:val="20"/>
              </w:rPr>
              <w:t>N</w:t>
            </w:r>
          </w:p>
        </w:tc>
        <w:tc>
          <w:tcPr>
            <w:tcW w:w="888" w:type="dxa"/>
            <w:tcBorders>
              <w:left w:val="single" w:sz="2" w:space="0" w:color="auto"/>
              <w:right w:val="single" w:sz="12" w:space="0" w:color="auto"/>
            </w:tcBorders>
            <w:vAlign w:val="center"/>
          </w:tcPr>
          <w:p w14:paraId="184C86A8" w14:textId="77777777" w:rsidR="00A9787F" w:rsidRPr="0023367D" w:rsidRDefault="00A9787F" w:rsidP="00A9787F">
            <w:pPr>
              <w:jc w:val="center"/>
              <w:rPr>
                <w:color w:val="000000"/>
                <w:sz w:val="20"/>
                <w:szCs w:val="20"/>
              </w:rPr>
            </w:pPr>
            <w:r>
              <w:rPr>
                <w:sz w:val="20"/>
                <w:szCs w:val="20"/>
              </w:rPr>
              <w:t>Adj. R</w:t>
            </w:r>
            <w:r>
              <w:rPr>
                <w:sz w:val="20"/>
                <w:szCs w:val="20"/>
                <w:vertAlign w:val="superscript"/>
              </w:rPr>
              <w:t>2</w:t>
            </w:r>
            <w:r>
              <w:rPr>
                <w:sz w:val="20"/>
                <w:szCs w:val="20"/>
                <w:vertAlign w:val="subscript"/>
              </w:rPr>
              <w:t>ACCT</w:t>
            </w:r>
          </w:p>
        </w:tc>
        <w:tc>
          <w:tcPr>
            <w:tcW w:w="720" w:type="dxa"/>
            <w:tcBorders>
              <w:left w:val="single" w:sz="12" w:space="0" w:color="auto"/>
              <w:right w:val="single" w:sz="2" w:space="0" w:color="auto"/>
            </w:tcBorders>
            <w:vAlign w:val="center"/>
          </w:tcPr>
          <w:p w14:paraId="4AD692DA" w14:textId="77777777" w:rsidR="00A9787F" w:rsidRPr="0023367D" w:rsidRDefault="00A9787F" w:rsidP="00A9787F">
            <w:pPr>
              <w:jc w:val="center"/>
              <w:rPr>
                <w:color w:val="000000"/>
                <w:sz w:val="20"/>
                <w:szCs w:val="20"/>
              </w:rPr>
            </w:pPr>
            <w:r w:rsidRPr="0023367D">
              <w:rPr>
                <w:color w:val="000000"/>
                <w:sz w:val="20"/>
                <w:szCs w:val="20"/>
              </w:rPr>
              <w:t>N</w:t>
            </w:r>
          </w:p>
        </w:tc>
        <w:tc>
          <w:tcPr>
            <w:tcW w:w="912" w:type="dxa"/>
            <w:tcBorders>
              <w:left w:val="single" w:sz="2" w:space="0" w:color="auto"/>
              <w:right w:val="single" w:sz="18" w:space="0" w:color="auto"/>
            </w:tcBorders>
            <w:tcMar>
              <w:left w:w="86" w:type="dxa"/>
              <w:right w:w="58" w:type="dxa"/>
            </w:tcMar>
            <w:vAlign w:val="center"/>
          </w:tcPr>
          <w:p w14:paraId="24CC9B66" w14:textId="77777777" w:rsidR="00A9787F" w:rsidRPr="0023367D" w:rsidRDefault="00A9787F" w:rsidP="00A9787F">
            <w:pPr>
              <w:jc w:val="center"/>
              <w:rPr>
                <w:color w:val="000000"/>
                <w:sz w:val="20"/>
                <w:szCs w:val="20"/>
              </w:rPr>
            </w:pPr>
            <w:r w:rsidRPr="0023367D">
              <w:rPr>
                <w:sz w:val="20"/>
                <w:szCs w:val="20"/>
              </w:rPr>
              <w:t>Adj. R</w:t>
            </w:r>
            <w:r w:rsidRPr="0023367D">
              <w:rPr>
                <w:sz w:val="20"/>
                <w:szCs w:val="20"/>
                <w:vertAlign w:val="superscript"/>
              </w:rPr>
              <w:t>2</w:t>
            </w:r>
            <w:r w:rsidRPr="0023367D">
              <w:rPr>
                <w:sz w:val="20"/>
                <w:szCs w:val="20"/>
                <w:vertAlign w:val="subscript"/>
              </w:rPr>
              <w:t>ACCT</w:t>
            </w:r>
            <w:r w:rsidRPr="0023367D">
              <w:rPr>
                <w:sz w:val="20"/>
                <w:szCs w:val="20"/>
                <w:vertAlign w:val="superscript"/>
              </w:rPr>
              <w:t>(g)</w:t>
            </w:r>
            <w:r w:rsidRPr="0023367D">
              <w:rPr>
                <w:sz w:val="20"/>
                <w:szCs w:val="20"/>
                <w:vertAlign w:val="subscript"/>
              </w:rPr>
              <w:t xml:space="preserve"> </w:t>
            </w:r>
          </w:p>
        </w:tc>
        <w:tc>
          <w:tcPr>
            <w:tcW w:w="540" w:type="dxa"/>
            <w:tcBorders>
              <w:left w:val="single" w:sz="18" w:space="0" w:color="auto"/>
              <w:right w:val="single" w:sz="2" w:space="0" w:color="auto"/>
            </w:tcBorders>
            <w:tcMar>
              <w:left w:w="29" w:type="dxa"/>
              <w:right w:w="29" w:type="dxa"/>
            </w:tcMar>
            <w:vAlign w:val="center"/>
          </w:tcPr>
          <w:p w14:paraId="5872689A" w14:textId="77777777" w:rsidR="00A9787F" w:rsidRPr="0023367D" w:rsidRDefault="00A9787F" w:rsidP="00A9787F">
            <w:pPr>
              <w:ind w:left="-9"/>
              <w:jc w:val="center"/>
              <w:rPr>
                <w:color w:val="000000"/>
                <w:sz w:val="20"/>
                <w:szCs w:val="20"/>
              </w:rPr>
            </w:pPr>
            <w:r w:rsidRPr="0023367D">
              <w:rPr>
                <w:color w:val="000000"/>
                <w:sz w:val="20"/>
                <w:szCs w:val="20"/>
              </w:rPr>
              <w:t>N</w:t>
            </w:r>
          </w:p>
        </w:tc>
        <w:tc>
          <w:tcPr>
            <w:tcW w:w="810" w:type="dxa"/>
            <w:tcBorders>
              <w:left w:val="single" w:sz="2" w:space="0" w:color="auto"/>
              <w:right w:val="single" w:sz="12" w:space="0" w:color="auto"/>
            </w:tcBorders>
            <w:vAlign w:val="center"/>
          </w:tcPr>
          <w:p w14:paraId="3823BFE7" w14:textId="77777777" w:rsidR="00A9787F" w:rsidRPr="0023367D" w:rsidRDefault="00A9787F" w:rsidP="00A9787F">
            <w:pPr>
              <w:ind w:left="-20"/>
              <w:jc w:val="center"/>
              <w:rPr>
                <w:color w:val="000000"/>
                <w:sz w:val="20"/>
                <w:szCs w:val="20"/>
              </w:rPr>
            </w:pPr>
            <w:r w:rsidRPr="0023367D">
              <w:rPr>
                <w:sz w:val="20"/>
                <w:szCs w:val="20"/>
              </w:rPr>
              <w:t>Adj. R</w:t>
            </w:r>
            <w:r w:rsidRPr="0023367D">
              <w:rPr>
                <w:sz w:val="20"/>
                <w:szCs w:val="20"/>
                <w:vertAlign w:val="superscript"/>
              </w:rPr>
              <w:t>2</w:t>
            </w:r>
            <w:r w:rsidRPr="0023367D">
              <w:rPr>
                <w:sz w:val="20"/>
                <w:szCs w:val="20"/>
                <w:vertAlign w:val="subscript"/>
              </w:rPr>
              <w:t>ACCT</w:t>
            </w:r>
          </w:p>
        </w:tc>
        <w:tc>
          <w:tcPr>
            <w:tcW w:w="720" w:type="dxa"/>
            <w:tcBorders>
              <w:left w:val="single" w:sz="12" w:space="0" w:color="auto"/>
              <w:right w:val="single" w:sz="2" w:space="0" w:color="auto"/>
            </w:tcBorders>
            <w:vAlign w:val="center"/>
          </w:tcPr>
          <w:p w14:paraId="4E85C03B" w14:textId="77777777" w:rsidR="00A9787F" w:rsidRPr="0023367D" w:rsidRDefault="00A9787F" w:rsidP="00A9787F">
            <w:pPr>
              <w:jc w:val="center"/>
              <w:rPr>
                <w:color w:val="000000"/>
                <w:sz w:val="20"/>
                <w:szCs w:val="20"/>
              </w:rPr>
            </w:pPr>
            <w:r w:rsidRPr="0023367D">
              <w:rPr>
                <w:color w:val="000000"/>
                <w:sz w:val="20"/>
                <w:szCs w:val="20"/>
              </w:rPr>
              <w:t>N</w:t>
            </w:r>
          </w:p>
        </w:tc>
        <w:tc>
          <w:tcPr>
            <w:tcW w:w="978" w:type="dxa"/>
            <w:tcBorders>
              <w:left w:val="single" w:sz="2" w:space="0" w:color="auto"/>
              <w:right w:val="single" w:sz="4" w:space="0" w:color="auto"/>
            </w:tcBorders>
            <w:vAlign w:val="center"/>
          </w:tcPr>
          <w:p w14:paraId="7C2C83ED" w14:textId="77777777" w:rsidR="00A9787F" w:rsidRPr="0023367D" w:rsidRDefault="00A9787F" w:rsidP="00A9787F">
            <w:pPr>
              <w:jc w:val="center"/>
              <w:rPr>
                <w:color w:val="000000"/>
                <w:sz w:val="20"/>
                <w:szCs w:val="20"/>
              </w:rPr>
            </w:pPr>
            <w:r w:rsidRPr="0023367D">
              <w:rPr>
                <w:sz w:val="20"/>
                <w:szCs w:val="20"/>
              </w:rPr>
              <w:t>Adj. R</w:t>
            </w:r>
            <w:r w:rsidRPr="0023367D">
              <w:rPr>
                <w:sz w:val="20"/>
                <w:szCs w:val="20"/>
                <w:vertAlign w:val="superscript"/>
              </w:rPr>
              <w:t>2</w:t>
            </w:r>
            <w:r w:rsidRPr="0023367D">
              <w:rPr>
                <w:sz w:val="20"/>
                <w:szCs w:val="20"/>
                <w:vertAlign w:val="subscript"/>
              </w:rPr>
              <w:t>ACCT</w:t>
            </w:r>
          </w:p>
        </w:tc>
      </w:tr>
      <w:tr w:rsidR="00A9787F" w:rsidRPr="0023367D" w14:paraId="37478B34" w14:textId="77777777" w:rsidTr="00AE2DE7">
        <w:trPr>
          <w:trHeight w:hRule="exact" w:val="432"/>
          <w:jc w:val="center"/>
        </w:trPr>
        <w:tc>
          <w:tcPr>
            <w:tcW w:w="1645" w:type="dxa"/>
            <w:gridSpan w:val="2"/>
            <w:tcMar>
              <w:left w:w="29" w:type="dxa"/>
              <w:right w:w="29" w:type="dxa"/>
            </w:tcMar>
            <w:vAlign w:val="center"/>
          </w:tcPr>
          <w:p w14:paraId="481129AF" w14:textId="77777777" w:rsidR="00A9787F" w:rsidRPr="0023367D" w:rsidRDefault="00A9787F" w:rsidP="00A9787F">
            <w:pPr>
              <w:ind w:left="14"/>
              <w:jc w:val="both"/>
              <w:rPr>
                <w:sz w:val="20"/>
                <w:szCs w:val="20"/>
              </w:rPr>
            </w:pPr>
            <w:r w:rsidRPr="0023367D">
              <w:rPr>
                <w:sz w:val="20"/>
                <w:szCs w:val="22"/>
              </w:rPr>
              <w:t>Bond Valuation</w:t>
            </w:r>
            <w:r w:rsidRPr="0023367D">
              <w:rPr>
                <w:sz w:val="20"/>
                <w:szCs w:val="22"/>
                <w:vertAlign w:val="superscript"/>
              </w:rPr>
              <w:t>(c)</w:t>
            </w:r>
            <w:r w:rsidRPr="0023367D">
              <w:rPr>
                <w:sz w:val="20"/>
                <w:szCs w:val="22"/>
              </w:rPr>
              <w:t xml:space="preserve">  </w:t>
            </w:r>
          </w:p>
        </w:tc>
        <w:tc>
          <w:tcPr>
            <w:tcW w:w="720" w:type="dxa"/>
            <w:vAlign w:val="center"/>
          </w:tcPr>
          <w:p w14:paraId="55790453" w14:textId="77777777" w:rsidR="00A9787F" w:rsidRPr="0023367D" w:rsidRDefault="00A9787F" w:rsidP="00A9787F">
            <w:pPr>
              <w:jc w:val="center"/>
              <w:rPr>
                <w:sz w:val="20"/>
              </w:rPr>
            </w:pPr>
            <w:r w:rsidRPr="0023367D">
              <w:rPr>
                <w:sz w:val="20"/>
              </w:rPr>
              <w:t>6,968</w:t>
            </w:r>
          </w:p>
        </w:tc>
        <w:tc>
          <w:tcPr>
            <w:tcW w:w="810" w:type="dxa"/>
            <w:vAlign w:val="center"/>
          </w:tcPr>
          <w:p w14:paraId="1EA7D79F" w14:textId="77777777" w:rsidR="00A9787F" w:rsidRPr="0023367D" w:rsidRDefault="00A9787F" w:rsidP="00A9787F">
            <w:pPr>
              <w:jc w:val="center"/>
              <w:rPr>
                <w:sz w:val="20"/>
              </w:rPr>
            </w:pPr>
            <w:r w:rsidRPr="0023367D">
              <w:rPr>
                <w:sz w:val="20"/>
              </w:rPr>
              <w:t>20.3%</w:t>
            </w:r>
          </w:p>
        </w:tc>
        <w:tc>
          <w:tcPr>
            <w:tcW w:w="810" w:type="dxa"/>
            <w:shd w:val="clear" w:color="auto" w:fill="auto"/>
            <w:tcMar>
              <w:left w:w="29" w:type="dxa"/>
              <w:right w:w="29" w:type="dxa"/>
            </w:tcMar>
            <w:vAlign w:val="center"/>
          </w:tcPr>
          <w:p w14:paraId="28079EB8" w14:textId="77777777" w:rsidR="00A9787F" w:rsidRPr="0023367D" w:rsidRDefault="00A9787F" w:rsidP="00A9787F">
            <w:pPr>
              <w:jc w:val="center"/>
              <w:rPr>
                <w:sz w:val="20"/>
              </w:rPr>
            </w:pPr>
            <w:r w:rsidRPr="0023367D">
              <w:rPr>
                <w:sz w:val="20"/>
              </w:rPr>
              <w:t>7,032</w:t>
            </w:r>
          </w:p>
        </w:tc>
        <w:tc>
          <w:tcPr>
            <w:tcW w:w="900" w:type="dxa"/>
            <w:tcBorders>
              <w:right w:val="single" w:sz="18" w:space="0" w:color="auto"/>
            </w:tcBorders>
            <w:shd w:val="clear" w:color="auto" w:fill="auto"/>
            <w:noWrap/>
            <w:tcMar>
              <w:left w:w="29" w:type="dxa"/>
              <w:right w:w="29" w:type="dxa"/>
            </w:tcMar>
            <w:vAlign w:val="center"/>
          </w:tcPr>
          <w:p w14:paraId="4760B5E9" w14:textId="77777777" w:rsidR="00A9787F" w:rsidRPr="0023367D" w:rsidRDefault="00A9787F" w:rsidP="00A9787F">
            <w:pPr>
              <w:jc w:val="center"/>
              <w:rPr>
                <w:sz w:val="20"/>
              </w:rPr>
            </w:pPr>
            <w:r w:rsidRPr="0023367D">
              <w:rPr>
                <w:sz w:val="20"/>
              </w:rPr>
              <w:t>23.0%</w:t>
            </w:r>
          </w:p>
        </w:tc>
        <w:tc>
          <w:tcPr>
            <w:tcW w:w="630" w:type="dxa"/>
            <w:tcBorders>
              <w:left w:val="single" w:sz="18" w:space="0" w:color="auto"/>
              <w:right w:val="single" w:sz="2" w:space="0" w:color="auto"/>
            </w:tcBorders>
            <w:shd w:val="clear" w:color="auto" w:fill="auto"/>
            <w:noWrap/>
            <w:tcMar>
              <w:left w:w="29" w:type="dxa"/>
              <w:right w:w="29" w:type="dxa"/>
            </w:tcMar>
            <w:vAlign w:val="center"/>
          </w:tcPr>
          <w:p w14:paraId="642F86E8" w14:textId="77777777" w:rsidR="00A9787F" w:rsidRPr="0023367D" w:rsidRDefault="00A9787F" w:rsidP="00A9787F">
            <w:pPr>
              <w:jc w:val="center"/>
              <w:rPr>
                <w:sz w:val="20"/>
              </w:rPr>
            </w:pPr>
            <w:r w:rsidRPr="0023367D">
              <w:rPr>
                <w:sz w:val="20"/>
              </w:rPr>
              <w:t>4,313</w:t>
            </w:r>
          </w:p>
        </w:tc>
        <w:tc>
          <w:tcPr>
            <w:tcW w:w="810" w:type="dxa"/>
            <w:tcBorders>
              <w:left w:val="single" w:sz="2" w:space="0" w:color="auto"/>
              <w:right w:val="single" w:sz="12" w:space="0" w:color="auto"/>
            </w:tcBorders>
            <w:shd w:val="clear" w:color="auto" w:fill="auto"/>
            <w:vAlign w:val="center"/>
          </w:tcPr>
          <w:p w14:paraId="0E575544" w14:textId="77777777" w:rsidR="00A9787F" w:rsidRPr="0023367D" w:rsidRDefault="00A9787F" w:rsidP="00A9787F">
            <w:pPr>
              <w:jc w:val="center"/>
              <w:rPr>
                <w:sz w:val="20"/>
              </w:rPr>
            </w:pPr>
            <w:r w:rsidRPr="0023367D">
              <w:rPr>
                <w:sz w:val="20"/>
              </w:rPr>
              <w:t>19.5%</w:t>
            </w:r>
          </w:p>
        </w:tc>
        <w:tc>
          <w:tcPr>
            <w:tcW w:w="720" w:type="dxa"/>
            <w:tcBorders>
              <w:left w:val="single" w:sz="12" w:space="0" w:color="auto"/>
              <w:right w:val="single" w:sz="2" w:space="0" w:color="auto"/>
            </w:tcBorders>
            <w:shd w:val="clear" w:color="auto" w:fill="auto"/>
            <w:vAlign w:val="center"/>
          </w:tcPr>
          <w:p w14:paraId="476EC328" w14:textId="77777777" w:rsidR="00A9787F" w:rsidRPr="0023367D" w:rsidRDefault="00A9787F" w:rsidP="00A9787F">
            <w:pPr>
              <w:jc w:val="center"/>
              <w:rPr>
                <w:sz w:val="20"/>
              </w:rPr>
            </w:pPr>
            <w:r w:rsidRPr="0023367D">
              <w:rPr>
                <w:sz w:val="20"/>
              </w:rPr>
              <w:t>4,308</w:t>
            </w:r>
          </w:p>
        </w:tc>
        <w:tc>
          <w:tcPr>
            <w:tcW w:w="900" w:type="dxa"/>
            <w:tcBorders>
              <w:left w:val="single" w:sz="2" w:space="0" w:color="auto"/>
              <w:right w:val="single" w:sz="18" w:space="0" w:color="auto"/>
            </w:tcBorders>
            <w:shd w:val="clear" w:color="auto" w:fill="auto"/>
            <w:vAlign w:val="center"/>
          </w:tcPr>
          <w:p w14:paraId="7F41AADF" w14:textId="77777777" w:rsidR="00A9787F" w:rsidRDefault="00A9787F" w:rsidP="00A9787F">
            <w:pPr>
              <w:jc w:val="center"/>
              <w:rPr>
                <w:sz w:val="20"/>
              </w:rPr>
            </w:pPr>
            <w:r>
              <w:rPr>
                <w:sz w:val="20"/>
              </w:rPr>
              <w:t>28.1%</w:t>
            </w:r>
          </w:p>
        </w:tc>
        <w:tc>
          <w:tcPr>
            <w:tcW w:w="720" w:type="dxa"/>
            <w:tcBorders>
              <w:left w:val="single" w:sz="18" w:space="0" w:color="auto"/>
              <w:right w:val="single" w:sz="2" w:space="0" w:color="auto"/>
            </w:tcBorders>
            <w:tcMar>
              <w:left w:w="29" w:type="dxa"/>
              <w:right w:w="29" w:type="dxa"/>
            </w:tcMar>
            <w:vAlign w:val="center"/>
          </w:tcPr>
          <w:p w14:paraId="154528F2" w14:textId="77777777" w:rsidR="00A9787F" w:rsidRDefault="00A9787F" w:rsidP="00A9787F">
            <w:pPr>
              <w:ind w:left="83"/>
              <w:jc w:val="center"/>
              <w:rPr>
                <w:sz w:val="20"/>
                <w:szCs w:val="20"/>
              </w:rPr>
            </w:pPr>
            <w:r>
              <w:rPr>
                <w:sz w:val="20"/>
                <w:szCs w:val="20"/>
              </w:rPr>
              <w:t>17,131</w:t>
            </w:r>
          </w:p>
        </w:tc>
        <w:tc>
          <w:tcPr>
            <w:tcW w:w="888" w:type="dxa"/>
            <w:tcBorders>
              <w:left w:val="single" w:sz="2" w:space="0" w:color="auto"/>
              <w:right w:val="single" w:sz="12" w:space="0" w:color="auto"/>
            </w:tcBorders>
            <w:tcMar>
              <w:left w:w="86" w:type="dxa"/>
              <w:right w:w="86" w:type="dxa"/>
            </w:tcMar>
            <w:vAlign w:val="center"/>
          </w:tcPr>
          <w:p w14:paraId="1940902D" w14:textId="77777777" w:rsidR="00A9787F" w:rsidRDefault="00A9787F" w:rsidP="00A9787F">
            <w:pPr>
              <w:tabs>
                <w:tab w:val="left" w:pos="690"/>
              </w:tabs>
              <w:ind w:left="150"/>
              <w:jc w:val="center"/>
              <w:rPr>
                <w:sz w:val="20"/>
                <w:szCs w:val="20"/>
              </w:rPr>
            </w:pPr>
            <w:r>
              <w:rPr>
                <w:sz w:val="20"/>
                <w:szCs w:val="20"/>
              </w:rPr>
              <w:t>10.2%</w:t>
            </w:r>
          </w:p>
        </w:tc>
        <w:tc>
          <w:tcPr>
            <w:tcW w:w="720" w:type="dxa"/>
            <w:tcBorders>
              <w:left w:val="single" w:sz="12" w:space="0" w:color="auto"/>
              <w:right w:val="single" w:sz="2" w:space="0" w:color="auto"/>
            </w:tcBorders>
            <w:vAlign w:val="center"/>
          </w:tcPr>
          <w:p w14:paraId="5CE7D408" w14:textId="77777777" w:rsidR="00A9787F" w:rsidRDefault="00A9787F" w:rsidP="00A9787F">
            <w:pPr>
              <w:jc w:val="center"/>
              <w:rPr>
                <w:sz w:val="20"/>
                <w:szCs w:val="20"/>
              </w:rPr>
            </w:pPr>
            <w:r>
              <w:rPr>
                <w:sz w:val="20"/>
                <w:szCs w:val="20"/>
              </w:rPr>
              <w:t>2,601</w:t>
            </w:r>
          </w:p>
        </w:tc>
        <w:tc>
          <w:tcPr>
            <w:tcW w:w="912" w:type="dxa"/>
            <w:tcBorders>
              <w:left w:val="single" w:sz="2" w:space="0" w:color="auto"/>
              <w:right w:val="single" w:sz="18" w:space="0" w:color="auto"/>
            </w:tcBorders>
            <w:vAlign w:val="center"/>
          </w:tcPr>
          <w:p w14:paraId="44BE0DE6" w14:textId="77777777" w:rsidR="00A9787F" w:rsidRDefault="00A9787F" w:rsidP="00A9787F">
            <w:pPr>
              <w:jc w:val="center"/>
              <w:rPr>
                <w:sz w:val="20"/>
                <w:szCs w:val="20"/>
              </w:rPr>
            </w:pPr>
            <w:r>
              <w:rPr>
                <w:sz w:val="20"/>
                <w:szCs w:val="20"/>
              </w:rPr>
              <w:t>14.2%</w:t>
            </w:r>
          </w:p>
        </w:tc>
        <w:tc>
          <w:tcPr>
            <w:tcW w:w="540" w:type="dxa"/>
            <w:tcBorders>
              <w:left w:val="single" w:sz="18" w:space="0" w:color="auto"/>
              <w:right w:val="single" w:sz="2" w:space="0" w:color="auto"/>
            </w:tcBorders>
            <w:tcMar>
              <w:left w:w="29" w:type="dxa"/>
              <w:right w:w="29" w:type="dxa"/>
            </w:tcMar>
            <w:vAlign w:val="center"/>
          </w:tcPr>
          <w:p w14:paraId="4A2805F9" w14:textId="77777777" w:rsidR="00A9787F" w:rsidRPr="0023367D" w:rsidRDefault="00A9787F" w:rsidP="00A9787F">
            <w:pPr>
              <w:ind w:left="-9"/>
              <w:jc w:val="center"/>
              <w:rPr>
                <w:sz w:val="20"/>
                <w:szCs w:val="20"/>
              </w:rPr>
            </w:pPr>
            <w:r w:rsidRPr="0023367D">
              <w:rPr>
                <w:sz w:val="20"/>
                <w:szCs w:val="20"/>
              </w:rPr>
              <w:t>9,874</w:t>
            </w:r>
          </w:p>
        </w:tc>
        <w:tc>
          <w:tcPr>
            <w:tcW w:w="810" w:type="dxa"/>
            <w:tcBorders>
              <w:left w:val="single" w:sz="2" w:space="0" w:color="auto"/>
              <w:right w:val="single" w:sz="12" w:space="0" w:color="auto"/>
            </w:tcBorders>
            <w:vAlign w:val="center"/>
          </w:tcPr>
          <w:p w14:paraId="7C79FDFD" w14:textId="77777777" w:rsidR="00A9787F" w:rsidRPr="0023367D" w:rsidRDefault="00A9787F" w:rsidP="00A9787F">
            <w:pPr>
              <w:ind w:left="-9"/>
              <w:jc w:val="center"/>
              <w:rPr>
                <w:sz w:val="20"/>
                <w:szCs w:val="20"/>
              </w:rPr>
            </w:pPr>
            <w:r w:rsidRPr="0023367D">
              <w:rPr>
                <w:sz w:val="20"/>
                <w:szCs w:val="20"/>
              </w:rPr>
              <w:t>25.9%</w:t>
            </w:r>
          </w:p>
        </w:tc>
        <w:tc>
          <w:tcPr>
            <w:tcW w:w="720" w:type="dxa"/>
            <w:tcBorders>
              <w:left w:val="single" w:sz="12" w:space="0" w:color="auto"/>
              <w:right w:val="single" w:sz="2" w:space="0" w:color="auto"/>
            </w:tcBorders>
            <w:vAlign w:val="center"/>
          </w:tcPr>
          <w:p w14:paraId="6F11DF9F" w14:textId="77777777" w:rsidR="00A9787F" w:rsidRPr="0023367D" w:rsidRDefault="00A9787F" w:rsidP="00A9787F">
            <w:pPr>
              <w:jc w:val="center"/>
              <w:rPr>
                <w:sz w:val="20"/>
                <w:szCs w:val="20"/>
              </w:rPr>
            </w:pPr>
            <w:r w:rsidRPr="0023367D">
              <w:rPr>
                <w:sz w:val="20"/>
                <w:szCs w:val="20"/>
              </w:rPr>
              <w:t>9,858</w:t>
            </w:r>
          </w:p>
        </w:tc>
        <w:tc>
          <w:tcPr>
            <w:tcW w:w="978" w:type="dxa"/>
            <w:tcBorders>
              <w:left w:val="single" w:sz="2" w:space="0" w:color="auto"/>
              <w:right w:val="single" w:sz="4" w:space="0" w:color="auto"/>
            </w:tcBorders>
            <w:vAlign w:val="center"/>
          </w:tcPr>
          <w:p w14:paraId="1BBCDBC3" w14:textId="77777777" w:rsidR="00A9787F" w:rsidRPr="0023367D" w:rsidRDefault="00A9787F" w:rsidP="00A9787F">
            <w:pPr>
              <w:jc w:val="center"/>
              <w:rPr>
                <w:sz w:val="20"/>
                <w:szCs w:val="20"/>
              </w:rPr>
            </w:pPr>
            <w:r w:rsidRPr="0023367D">
              <w:rPr>
                <w:sz w:val="20"/>
                <w:szCs w:val="20"/>
              </w:rPr>
              <w:t>23.5%</w:t>
            </w:r>
          </w:p>
        </w:tc>
      </w:tr>
      <w:tr w:rsidR="00A9787F" w:rsidRPr="0023367D" w14:paraId="14D32D0D" w14:textId="77777777" w:rsidTr="00AE2DE7">
        <w:trPr>
          <w:trHeight w:hRule="exact" w:val="432"/>
          <w:jc w:val="center"/>
        </w:trPr>
        <w:tc>
          <w:tcPr>
            <w:tcW w:w="1645" w:type="dxa"/>
            <w:gridSpan w:val="2"/>
            <w:tcMar>
              <w:left w:w="29" w:type="dxa"/>
              <w:right w:w="29" w:type="dxa"/>
            </w:tcMar>
            <w:vAlign w:val="center"/>
          </w:tcPr>
          <w:p w14:paraId="4EB408AE" w14:textId="77777777" w:rsidR="00A9787F" w:rsidRPr="00475160" w:rsidRDefault="00A9787F" w:rsidP="00A9787F">
            <w:pPr>
              <w:ind w:left="14"/>
              <w:jc w:val="both"/>
              <w:rPr>
                <w:sz w:val="12"/>
                <w:szCs w:val="22"/>
              </w:rPr>
            </w:pPr>
          </w:p>
          <w:p w14:paraId="6BBDDD4A" w14:textId="77777777" w:rsidR="00A9787F" w:rsidRDefault="00A9787F" w:rsidP="00A9787F">
            <w:pPr>
              <w:ind w:left="14"/>
              <w:jc w:val="both"/>
              <w:rPr>
                <w:sz w:val="20"/>
                <w:szCs w:val="22"/>
                <w:vertAlign w:val="superscript"/>
              </w:rPr>
            </w:pPr>
            <w:r w:rsidRPr="0023367D">
              <w:rPr>
                <w:sz w:val="20"/>
                <w:szCs w:val="22"/>
              </w:rPr>
              <w:t>Bond Returns</w:t>
            </w:r>
            <w:r w:rsidRPr="0023367D">
              <w:rPr>
                <w:sz w:val="20"/>
                <w:szCs w:val="22"/>
                <w:vertAlign w:val="superscript"/>
              </w:rPr>
              <w:t xml:space="preserve"> (d)</w:t>
            </w:r>
          </w:p>
          <w:p w14:paraId="6DDF572B" w14:textId="77777777" w:rsidR="00A9787F" w:rsidRPr="0023367D" w:rsidRDefault="00A9787F" w:rsidP="00A9787F">
            <w:pPr>
              <w:ind w:left="14"/>
              <w:jc w:val="both"/>
              <w:rPr>
                <w:sz w:val="20"/>
                <w:szCs w:val="20"/>
              </w:rPr>
            </w:pPr>
          </w:p>
        </w:tc>
        <w:tc>
          <w:tcPr>
            <w:tcW w:w="720" w:type="dxa"/>
            <w:vAlign w:val="center"/>
          </w:tcPr>
          <w:p w14:paraId="2C1FED0E" w14:textId="77777777" w:rsidR="00A9787F" w:rsidRPr="0023367D" w:rsidRDefault="00A9787F" w:rsidP="00A9787F">
            <w:pPr>
              <w:jc w:val="center"/>
              <w:rPr>
                <w:sz w:val="20"/>
              </w:rPr>
            </w:pPr>
            <w:r w:rsidRPr="0023367D">
              <w:rPr>
                <w:sz w:val="20"/>
              </w:rPr>
              <w:t>7,068</w:t>
            </w:r>
          </w:p>
        </w:tc>
        <w:tc>
          <w:tcPr>
            <w:tcW w:w="810" w:type="dxa"/>
            <w:vAlign w:val="center"/>
          </w:tcPr>
          <w:p w14:paraId="5FD6033B" w14:textId="77777777" w:rsidR="00A9787F" w:rsidRPr="0023367D" w:rsidRDefault="00A9787F" w:rsidP="00A9787F">
            <w:pPr>
              <w:jc w:val="center"/>
              <w:rPr>
                <w:sz w:val="20"/>
              </w:rPr>
            </w:pPr>
            <w:r w:rsidRPr="0023367D">
              <w:rPr>
                <w:sz w:val="20"/>
              </w:rPr>
              <w:t>5.5%</w:t>
            </w:r>
          </w:p>
        </w:tc>
        <w:tc>
          <w:tcPr>
            <w:tcW w:w="810" w:type="dxa"/>
            <w:shd w:val="clear" w:color="auto" w:fill="auto"/>
            <w:tcMar>
              <w:left w:w="29" w:type="dxa"/>
              <w:right w:w="29" w:type="dxa"/>
            </w:tcMar>
            <w:vAlign w:val="center"/>
          </w:tcPr>
          <w:p w14:paraId="3046E3C6" w14:textId="77777777" w:rsidR="00A9787F" w:rsidRPr="0023367D" w:rsidRDefault="00A9787F" w:rsidP="00A9787F">
            <w:pPr>
              <w:jc w:val="center"/>
              <w:rPr>
                <w:sz w:val="20"/>
              </w:rPr>
            </w:pPr>
            <w:r w:rsidRPr="0023367D">
              <w:rPr>
                <w:sz w:val="20"/>
              </w:rPr>
              <w:t>7,088</w:t>
            </w:r>
          </w:p>
        </w:tc>
        <w:tc>
          <w:tcPr>
            <w:tcW w:w="900" w:type="dxa"/>
            <w:tcBorders>
              <w:right w:val="single" w:sz="18" w:space="0" w:color="auto"/>
            </w:tcBorders>
            <w:shd w:val="clear" w:color="auto" w:fill="auto"/>
            <w:noWrap/>
            <w:tcMar>
              <w:left w:w="29" w:type="dxa"/>
              <w:right w:w="29" w:type="dxa"/>
            </w:tcMar>
            <w:vAlign w:val="center"/>
          </w:tcPr>
          <w:p w14:paraId="2A9CE7A4" w14:textId="77777777" w:rsidR="00A9787F" w:rsidRPr="0023367D" w:rsidRDefault="00A9787F" w:rsidP="00A9787F">
            <w:pPr>
              <w:jc w:val="center"/>
              <w:rPr>
                <w:sz w:val="20"/>
              </w:rPr>
            </w:pPr>
            <w:r w:rsidRPr="0023367D">
              <w:rPr>
                <w:sz w:val="20"/>
              </w:rPr>
              <w:t>6.9%</w:t>
            </w:r>
          </w:p>
        </w:tc>
        <w:tc>
          <w:tcPr>
            <w:tcW w:w="630" w:type="dxa"/>
            <w:tcBorders>
              <w:left w:val="single" w:sz="18" w:space="0" w:color="auto"/>
              <w:right w:val="single" w:sz="2" w:space="0" w:color="auto"/>
            </w:tcBorders>
            <w:shd w:val="clear" w:color="auto" w:fill="auto"/>
            <w:noWrap/>
            <w:tcMar>
              <w:left w:w="29" w:type="dxa"/>
              <w:right w:w="29" w:type="dxa"/>
            </w:tcMar>
            <w:vAlign w:val="center"/>
          </w:tcPr>
          <w:p w14:paraId="606F47B5" w14:textId="77777777" w:rsidR="00A9787F" w:rsidRPr="0023367D" w:rsidRDefault="00A9787F" w:rsidP="00A9787F">
            <w:pPr>
              <w:jc w:val="center"/>
              <w:rPr>
                <w:sz w:val="20"/>
              </w:rPr>
            </w:pPr>
            <w:r w:rsidRPr="0023367D">
              <w:rPr>
                <w:sz w:val="20"/>
              </w:rPr>
              <w:t>4,405</w:t>
            </w:r>
          </w:p>
        </w:tc>
        <w:tc>
          <w:tcPr>
            <w:tcW w:w="810" w:type="dxa"/>
            <w:tcBorders>
              <w:left w:val="single" w:sz="2" w:space="0" w:color="auto"/>
              <w:right w:val="single" w:sz="12" w:space="0" w:color="auto"/>
            </w:tcBorders>
            <w:shd w:val="clear" w:color="auto" w:fill="auto"/>
            <w:vAlign w:val="center"/>
          </w:tcPr>
          <w:p w14:paraId="281ECF62" w14:textId="77777777" w:rsidR="00A9787F" w:rsidRPr="0023367D" w:rsidRDefault="00A9787F" w:rsidP="00A9787F">
            <w:pPr>
              <w:jc w:val="center"/>
              <w:rPr>
                <w:sz w:val="20"/>
              </w:rPr>
            </w:pPr>
            <w:r w:rsidRPr="0023367D">
              <w:rPr>
                <w:sz w:val="20"/>
              </w:rPr>
              <w:t>5.2%</w:t>
            </w:r>
          </w:p>
        </w:tc>
        <w:tc>
          <w:tcPr>
            <w:tcW w:w="720" w:type="dxa"/>
            <w:tcBorders>
              <w:left w:val="single" w:sz="12" w:space="0" w:color="auto"/>
              <w:right w:val="single" w:sz="2" w:space="0" w:color="auto"/>
            </w:tcBorders>
            <w:shd w:val="clear" w:color="auto" w:fill="auto"/>
            <w:vAlign w:val="center"/>
          </w:tcPr>
          <w:p w14:paraId="4106BA45" w14:textId="77777777" w:rsidR="00A9787F" w:rsidRPr="0023367D" w:rsidRDefault="00A9787F" w:rsidP="00A9787F">
            <w:pPr>
              <w:jc w:val="center"/>
              <w:rPr>
                <w:sz w:val="20"/>
              </w:rPr>
            </w:pPr>
            <w:r w:rsidRPr="0023367D">
              <w:rPr>
                <w:sz w:val="20"/>
              </w:rPr>
              <w:t>4,357</w:t>
            </w:r>
          </w:p>
        </w:tc>
        <w:tc>
          <w:tcPr>
            <w:tcW w:w="900" w:type="dxa"/>
            <w:tcBorders>
              <w:left w:val="single" w:sz="2" w:space="0" w:color="auto"/>
              <w:right w:val="single" w:sz="18" w:space="0" w:color="auto"/>
            </w:tcBorders>
            <w:shd w:val="clear" w:color="auto" w:fill="auto"/>
            <w:vAlign w:val="center"/>
          </w:tcPr>
          <w:p w14:paraId="3A24B079" w14:textId="77777777" w:rsidR="00A9787F" w:rsidRDefault="00A9787F" w:rsidP="00A9787F">
            <w:pPr>
              <w:jc w:val="center"/>
              <w:rPr>
                <w:sz w:val="20"/>
              </w:rPr>
            </w:pPr>
            <w:r>
              <w:rPr>
                <w:sz w:val="20"/>
              </w:rPr>
              <w:t>7.2%</w:t>
            </w:r>
          </w:p>
        </w:tc>
        <w:tc>
          <w:tcPr>
            <w:tcW w:w="720" w:type="dxa"/>
            <w:tcBorders>
              <w:left w:val="single" w:sz="18" w:space="0" w:color="auto"/>
              <w:right w:val="single" w:sz="2" w:space="0" w:color="auto"/>
            </w:tcBorders>
            <w:tcMar>
              <w:left w:w="29" w:type="dxa"/>
              <w:right w:w="29" w:type="dxa"/>
            </w:tcMar>
            <w:vAlign w:val="center"/>
          </w:tcPr>
          <w:p w14:paraId="2C92EFC5" w14:textId="77777777" w:rsidR="00A9787F" w:rsidRDefault="00A9787F" w:rsidP="00A9787F">
            <w:pPr>
              <w:ind w:left="83"/>
              <w:jc w:val="center"/>
              <w:rPr>
                <w:sz w:val="20"/>
                <w:szCs w:val="20"/>
              </w:rPr>
            </w:pPr>
            <w:r>
              <w:rPr>
                <w:sz w:val="20"/>
                <w:szCs w:val="20"/>
              </w:rPr>
              <w:t>17,120</w:t>
            </w:r>
          </w:p>
        </w:tc>
        <w:tc>
          <w:tcPr>
            <w:tcW w:w="888" w:type="dxa"/>
            <w:tcBorders>
              <w:left w:val="single" w:sz="2" w:space="0" w:color="auto"/>
              <w:right w:val="single" w:sz="12" w:space="0" w:color="auto"/>
            </w:tcBorders>
            <w:tcMar>
              <w:left w:w="86" w:type="dxa"/>
              <w:right w:w="86" w:type="dxa"/>
            </w:tcMar>
            <w:vAlign w:val="center"/>
          </w:tcPr>
          <w:p w14:paraId="1C051BEE" w14:textId="77777777" w:rsidR="00A9787F" w:rsidRDefault="00A9787F" w:rsidP="00A9787F">
            <w:pPr>
              <w:tabs>
                <w:tab w:val="left" w:pos="690"/>
              </w:tabs>
              <w:ind w:left="150"/>
              <w:jc w:val="center"/>
              <w:rPr>
                <w:sz w:val="20"/>
                <w:szCs w:val="20"/>
              </w:rPr>
            </w:pPr>
            <w:r>
              <w:rPr>
                <w:sz w:val="20"/>
                <w:szCs w:val="20"/>
              </w:rPr>
              <w:t>4.4%</w:t>
            </w:r>
          </w:p>
        </w:tc>
        <w:tc>
          <w:tcPr>
            <w:tcW w:w="720" w:type="dxa"/>
            <w:tcBorders>
              <w:left w:val="single" w:sz="12" w:space="0" w:color="auto"/>
              <w:right w:val="single" w:sz="2" w:space="0" w:color="auto"/>
            </w:tcBorders>
            <w:vAlign w:val="center"/>
          </w:tcPr>
          <w:p w14:paraId="0B0D3841" w14:textId="77777777" w:rsidR="00A9787F" w:rsidRDefault="00A9787F" w:rsidP="00A9787F">
            <w:pPr>
              <w:jc w:val="center"/>
              <w:rPr>
                <w:sz w:val="20"/>
                <w:szCs w:val="20"/>
              </w:rPr>
            </w:pPr>
            <w:r>
              <w:rPr>
                <w:sz w:val="20"/>
                <w:szCs w:val="20"/>
              </w:rPr>
              <w:t>2,538</w:t>
            </w:r>
          </w:p>
        </w:tc>
        <w:tc>
          <w:tcPr>
            <w:tcW w:w="912" w:type="dxa"/>
            <w:tcBorders>
              <w:left w:val="single" w:sz="2" w:space="0" w:color="auto"/>
              <w:right w:val="single" w:sz="18" w:space="0" w:color="auto"/>
            </w:tcBorders>
            <w:vAlign w:val="center"/>
          </w:tcPr>
          <w:p w14:paraId="1533D156" w14:textId="77777777" w:rsidR="00A9787F" w:rsidRDefault="00A9787F" w:rsidP="00A9787F">
            <w:pPr>
              <w:jc w:val="center"/>
              <w:rPr>
                <w:sz w:val="20"/>
                <w:szCs w:val="20"/>
              </w:rPr>
            </w:pPr>
            <w:r>
              <w:rPr>
                <w:sz w:val="20"/>
                <w:szCs w:val="20"/>
              </w:rPr>
              <w:t>6.9%</w:t>
            </w:r>
          </w:p>
        </w:tc>
        <w:tc>
          <w:tcPr>
            <w:tcW w:w="540" w:type="dxa"/>
            <w:tcBorders>
              <w:left w:val="single" w:sz="18" w:space="0" w:color="auto"/>
              <w:right w:val="single" w:sz="2" w:space="0" w:color="auto"/>
            </w:tcBorders>
            <w:tcMar>
              <w:left w:w="29" w:type="dxa"/>
              <w:right w:w="29" w:type="dxa"/>
            </w:tcMar>
            <w:vAlign w:val="center"/>
          </w:tcPr>
          <w:p w14:paraId="7FF27ACC" w14:textId="77777777" w:rsidR="00A9787F" w:rsidRPr="0023367D" w:rsidRDefault="00A9787F" w:rsidP="00A9787F">
            <w:pPr>
              <w:ind w:left="-9"/>
              <w:jc w:val="center"/>
              <w:rPr>
                <w:sz w:val="20"/>
                <w:szCs w:val="20"/>
              </w:rPr>
            </w:pPr>
            <w:r w:rsidRPr="0023367D">
              <w:rPr>
                <w:sz w:val="20"/>
                <w:szCs w:val="20"/>
              </w:rPr>
              <w:t>9,796</w:t>
            </w:r>
          </w:p>
        </w:tc>
        <w:tc>
          <w:tcPr>
            <w:tcW w:w="810" w:type="dxa"/>
            <w:tcBorders>
              <w:left w:val="single" w:sz="2" w:space="0" w:color="auto"/>
              <w:right w:val="single" w:sz="12" w:space="0" w:color="auto"/>
            </w:tcBorders>
            <w:vAlign w:val="center"/>
          </w:tcPr>
          <w:p w14:paraId="145DEAE9" w14:textId="77777777" w:rsidR="00A9787F" w:rsidRPr="0023367D" w:rsidRDefault="00A9787F" w:rsidP="00A9787F">
            <w:pPr>
              <w:ind w:left="-9"/>
              <w:jc w:val="center"/>
              <w:rPr>
                <w:sz w:val="20"/>
                <w:szCs w:val="20"/>
              </w:rPr>
            </w:pPr>
            <w:r w:rsidRPr="0023367D">
              <w:rPr>
                <w:sz w:val="20"/>
                <w:szCs w:val="20"/>
              </w:rPr>
              <w:t>6.6%</w:t>
            </w:r>
          </w:p>
        </w:tc>
        <w:tc>
          <w:tcPr>
            <w:tcW w:w="720" w:type="dxa"/>
            <w:tcBorders>
              <w:left w:val="single" w:sz="12" w:space="0" w:color="auto"/>
              <w:right w:val="single" w:sz="2" w:space="0" w:color="auto"/>
            </w:tcBorders>
            <w:vAlign w:val="center"/>
          </w:tcPr>
          <w:p w14:paraId="7209976D" w14:textId="77777777" w:rsidR="00A9787F" w:rsidRPr="0023367D" w:rsidRDefault="00A9787F" w:rsidP="00A9787F">
            <w:pPr>
              <w:jc w:val="center"/>
              <w:rPr>
                <w:sz w:val="20"/>
                <w:szCs w:val="20"/>
              </w:rPr>
            </w:pPr>
            <w:r w:rsidRPr="0023367D">
              <w:rPr>
                <w:sz w:val="20"/>
                <w:szCs w:val="20"/>
              </w:rPr>
              <w:t>9,862</w:t>
            </w:r>
          </w:p>
        </w:tc>
        <w:tc>
          <w:tcPr>
            <w:tcW w:w="978" w:type="dxa"/>
            <w:tcBorders>
              <w:left w:val="single" w:sz="2" w:space="0" w:color="auto"/>
              <w:right w:val="single" w:sz="4" w:space="0" w:color="auto"/>
            </w:tcBorders>
            <w:vAlign w:val="center"/>
          </w:tcPr>
          <w:p w14:paraId="750325EF" w14:textId="77777777" w:rsidR="00A9787F" w:rsidRPr="0023367D" w:rsidRDefault="00A9787F" w:rsidP="00A9787F">
            <w:pPr>
              <w:jc w:val="center"/>
              <w:rPr>
                <w:sz w:val="20"/>
                <w:szCs w:val="20"/>
              </w:rPr>
            </w:pPr>
            <w:r w:rsidRPr="0023367D">
              <w:rPr>
                <w:sz w:val="20"/>
                <w:szCs w:val="20"/>
              </w:rPr>
              <w:t>6.0%</w:t>
            </w:r>
          </w:p>
        </w:tc>
      </w:tr>
      <w:tr w:rsidR="003D36EE" w:rsidRPr="0023367D" w14:paraId="62E5379E" w14:textId="77777777" w:rsidTr="00AE2DE7">
        <w:trPr>
          <w:trHeight w:val="665"/>
          <w:jc w:val="center"/>
        </w:trPr>
        <w:tc>
          <w:tcPr>
            <w:tcW w:w="1645" w:type="dxa"/>
            <w:gridSpan w:val="2"/>
            <w:tcMar>
              <w:left w:w="29" w:type="dxa"/>
              <w:right w:w="29" w:type="dxa"/>
            </w:tcMar>
            <w:vAlign w:val="center"/>
          </w:tcPr>
          <w:p w14:paraId="0473FC81" w14:textId="77777777" w:rsidR="003D36EE" w:rsidRPr="0023367D" w:rsidRDefault="003D36EE" w:rsidP="003D36EE">
            <w:pPr>
              <w:ind w:left="14"/>
              <w:rPr>
                <w:sz w:val="20"/>
                <w:szCs w:val="22"/>
              </w:rPr>
            </w:pPr>
            <w:r w:rsidRPr="0023367D">
              <w:rPr>
                <w:sz w:val="20"/>
                <w:szCs w:val="22"/>
              </w:rPr>
              <w:t xml:space="preserve">Trend Slope Coefficient </w:t>
            </w:r>
            <w:r w:rsidRPr="0023367D">
              <w:rPr>
                <w:sz w:val="20"/>
                <w:szCs w:val="22"/>
                <w:vertAlign w:val="superscript"/>
              </w:rPr>
              <w:t xml:space="preserve">(e) </w:t>
            </w:r>
            <w:r w:rsidRPr="0023367D">
              <w:rPr>
                <w:sz w:val="20"/>
                <w:szCs w:val="22"/>
              </w:rPr>
              <w:t>x</w:t>
            </w:r>
            <w:r w:rsidRPr="0023367D">
              <w:rPr>
                <w:sz w:val="20"/>
                <w:szCs w:val="22"/>
                <w:vertAlign w:val="superscript"/>
              </w:rPr>
              <w:t xml:space="preserve"> </w:t>
            </w:r>
            <w:r w:rsidRPr="0023367D">
              <w:rPr>
                <w:sz w:val="20"/>
                <w:szCs w:val="22"/>
              </w:rPr>
              <w:t>100 (t-stat)</w:t>
            </w:r>
          </w:p>
        </w:tc>
        <w:tc>
          <w:tcPr>
            <w:tcW w:w="3240" w:type="dxa"/>
            <w:gridSpan w:val="4"/>
            <w:tcBorders>
              <w:right w:val="single" w:sz="18" w:space="0" w:color="auto"/>
            </w:tcBorders>
            <w:vAlign w:val="center"/>
          </w:tcPr>
          <w:p w14:paraId="70AA9DDA" w14:textId="77777777" w:rsidR="003D36EE" w:rsidRPr="0023367D" w:rsidRDefault="003D36EE" w:rsidP="003D36EE">
            <w:pPr>
              <w:jc w:val="center"/>
              <w:rPr>
                <w:sz w:val="20"/>
              </w:rPr>
            </w:pPr>
            <w:r>
              <w:rPr>
                <w:sz w:val="20"/>
              </w:rPr>
              <w:t>0.338</w:t>
            </w:r>
          </w:p>
          <w:p w14:paraId="5C76AEDA" w14:textId="77777777" w:rsidR="003D36EE" w:rsidRPr="0023367D" w:rsidRDefault="003D36EE" w:rsidP="003D36EE">
            <w:pPr>
              <w:jc w:val="center"/>
              <w:rPr>
                <w:sz w:val="20"/>
              </w:rPr>
            </w:pPr>
            <w:r w:rsidRPr="0023367D">
              <w:rPr>
                <w:sz w:val="20"/>
              </w:rPr>
              <w:t>(</w:t>
            </w:r>
            <w:r>
              <w:rPr>
                <w:sz w:val="20"/>
              </w:rPr>
              <w:t>3.38</w:t>
            </w:r>
            <w:r w:rsidRPr="0023367D">
              <w:rPr>
                <w:sz w:val="20"/>
              </w:rPr>
              <w:t>)</w:t>
            </w:r>
            <w:r w:rsidRPr="0023367D">
              <w:rPr>
                <w:sz w:val="20"/>
                <w:vertAlign w:val="superscript"/>
              </w:rPr>
              <w:t>***</w:t>
            </w:r>
          </w:p>
        </w:tc>
        <w:tc>
          <w:tcPr>
            <w:tcW w:w="3060" w:type="dxa"/>
            <w:gridSpan w:val="4"/>
            <w:tcBorders>
              <w:left w:val="single" w:sz="18" w:space="0" w:color="auto"/>
              <w:right w:val="single" w:sz="18" w:space="0" w:color="auto"/>
            </w:tcBorders>
            <w:shd w:val="clear" w:color="auto" w:fill="auto"/>
            <w:noWrap/>
            <w:tcMar>
              <w:left w:w="29" w:type="dxa"/>
              <w:right w:w="29" w:type="dxa"/>
            </w:tcMar>
            <w:vAlign w:val="center"/>
          </w:tcPr>
          <w:p w14:paraId="501EC85F" w14:textId="77777777" w:rsidR="003D36EE" w:rsidRPr="0023367D" w:rsidRDefault="003D36EE" w:rsidP="003D36EE">
            <w:pPr>
              <w:jc w:val="center"/>
              <w:rPr>
                <w:sz w:val="20"/>
              </w:rPr>
            </w:pPr>
            <w:r w:rsidRPr="0023367D">
              <w:rPr>
                <w:sz w:val="20"/>
              </w:rPr>
              <w:t>3.4</w:t>
            </w:r>
            <w:r>
              <w:rPr>
                <w:sz w:val="20"/>
              </w:rPr>
              <w:t>52</w:t>
            </w:r>
          </w:p>
          <w:p w14:paraId="47F9C2EC" w14:textId="77777777" w:rsidR="003D36EE" w:rsidRPr="0023367D" w:rsidRDefault="003D36EE" w:rsidP="003D36EE">
            <w:pPr>
              <w:ind w:left="360"/>
              <w:jc w:val="center"/>
              <w:rPr>
                <w:sz w:val="18"/>
              </w:rPr>
            </w:pPr>
            <w:r w:rsidRPr="0023367D">
              <w:rPr>
                <w:sz w:val="20"/>
              </w:rPr>
              <w:t>(</w:t>
            </w:r>
            <w:r>
              <w:rPr>
                <w:sz w:val="20"/>
              </w:rPr>
              <w:t>10.19</w:t>
            </w:r>
            <w:r w:rsidRPr="0023367D">
              <w:rPr>
                <w:sz w:val="20"/>
              </w:rPr>
              <w:t>)</w:t>
            </w:r>
            <w:r w:rsidRPr="0023367D">
              <w:rPr>
                <w:sz w:val="20"/>
                <w:vertAlign w:val="superscript"/>
              </w:rPr>
              <w:t>***</w:t>
            </w:r>
          </w:p>
        </w:tc>
        <w:tc>
          <w:tcPr>
            <w:tcW w:w="3240" w:type="dxa"/>
            <w:gridSpan w:val="4"/>
            <w:tcBorders>
              <w:left w:val="single" w:sz="18" w:space="0" w:color="auto"/>
              <w:right w:val="single" w:sz="18" w:space="0" w:color="auto"/>
            </w:tcBorders>
            <w:tcMar>
              <w:left w:w="29" w:type="dxa"/>
              <w:right w:w="29" w:type="dxa"/>
            </w:tcMar>
            <w:vAlign w:val="center"/>
          </w:tcPr>
          <w:p w14:paraId="53B7AC7A" w14:textId="77777777" w:rsidR="003D36EE" w:rsidRPr="0023367D" w:rsidRDefault="003D36EE" w:rsidP="003D36EE">
            <w:pPr>
              <w:ind w:left="360"/>
              <w:jc w:val="center"/>
              <w:rPr>
                <w:sz w:val="20"/>
                <w:szCs w:val="20"/>
              </w:rPr>
            </w:pPr>
            <w:r w:rsidRPr="0023367D">
              <w:rPr>
                <w:sz w:val="20"/>
                <w:szCs w:val="20"/>
              </w:rPr>
              <w:t>0.345</w:t>
            </w:r>
          </w:p>
          <w:p w14:paraId="4860AEDE" w14:textId="77777777" w:rsidR="003D36EE" w:rsidRPr="0023367D" w:rsidRDefault="003D36EE" w:rsidP="003D36EE">
            <w:pPr>
              <w:ind w:left="360"/>
              <w:jc w:val="center"/>
              <w:rPr>
                <w:sz w:val="20"/>
                <w:szCs w:val="20"/>
              </w:rPr>
            </w:pPr>
            <w:r w:rsidRPr="0023367D">
              <w:rPr>
                <w:sz w:val="20"/>
                <w:szCs w:val="20"/>
              </w:rPr>
              <w:t>(3.07)</w:t>
            </w:r>
            <w:r w:rsidRPr="0023367D">
              <w:rPr>
                <w:sz w:val="20"/>
                <w:szCs w:val="20"/>
                <w:vertAlign w:val="superscript"/>
              </w:rPr>
              <w:t>***</w:t>
            </w:r>
          </w:p>
        </w:tc>
        <w:tc>
          <w:tcPr>
            <w:tcW w:w="3048" w:type="dxa"/>
            <w:gridSpan w:val="4"/>
            <w:tcBorders>
              <w:left w:val="single" w:sz="18" w:space="0" w:color="auto"/>
              <w:right w:val="single" w:sz="4" w:space="0" w:color="auto"/>
            </w:tcBorders>
            <w:tcMar>
              <w:left w:w="29" w:type="dxa"/>
              <w:right w:w="29" w:type="dxa"/>
            </w:tcMar>
            <w:vAlign w:val="center"/>
          </w:tcPr>
          <w:p w14:paraId="40215FBA" w14:textId="77777777" w:rsidR="003D36EE" w:rsidRPr="0023367D" w:rsidRDefault="003D36EE" w:rsidP="003D36EE">
            <w:pPr>
              <w:ind w:left="360"/>
              <w:jc w:val="center"/>
              <w:rPr>
                <w:sz w:val="20"/>
                <w:szCs w:val="20"/>
              </w:rPr>
            </w:pPr>
            <w:r w:rsidRPr="0023367D">
              <w:rPr>
                <w:sz w:val="20"/>
                <w:szCs w:val="20"/>
              </w:rPr>
              <w:t>0.694</w:t>
            </w:r>
          </w:p>
          <w:p w14:paraId="5B623DAF" w14:textId="77777777" w:rsidR="003D36EE" w:rsidRPr="0023367D" w:rsidRDefault="003D36EE" w:rsidP="003D36EE">
            <w:pPr>
              <w:ind w:left="360"/>
              <w:jc w:val="center"/>
              <w:rPr>
                <w:sz w:val="20"/>
                <w:szCs w:val="20"/>
              </w:rPr>
            </w:pPr>
            <w:r w:rsidRPr="0023367D">
              <w:rPr>
                <w:sz w:val="20"/>
                <w:szCs w:val="20"/>
              </w:rPr>
              <w:t>(21.60)</w:t>
            </w:r>
            <w:r w:rsidRPr="0023367D">
              <w:rPr>
                <w:sz w:val="20"/>
                <w:szCs w:val="20"/>
                <w:vertAlign w:val="superscript"/>
              </w:rPr>
              <w:t>***</w:t>
            </w:r>
          </w:p>
        </w:tc>
      </w:tr>
    </w:tbl>
    <w:p w14:paraId="0E938876" w14:textId="77777777" w:rsidR="00BB1234" w:rsidRPr="0023367D" w:rsidRDefault="00BB1234" w:rsidP="00072AA7">
      <w:pPr>
        <w:pStyle w:val="NormalWeb"/>
        <w:spacing w:before="120"/>
        <w:ind w:left="90" w:right="-108" w:hanging="176"/>
        <w:rPr>
          <w:color w:val="000000"/>
          <w:sz w:val="17"/>
          <w:szCs w:val="17"/>
        </w:rPr>
      </w:pPr>
      <w:r w:rsidRPr="0023367D">
        <w:rPr>
          <w:color w:val="000000"/>
          <w:sz w:val="18"/>
          <w:szCs w:val="16"/>
          <w:vertAlign w:val="superscript"/>
        </w:rPr>
        <w:t>(</w:t>
      </w:r>
      <w:r w:rsidRPr="0023367D">
        <w:rPr>
          <w:color w:val="000000"/>
          <w:sz w:val="17"/>
          <w:szCs w:val="17"/>
          <w:vertAlign w:val="superscript"/>
        </w:rPr>
        <w:t>a)</w:t>
      </w:r>
      <w:r w:rsidRPr="0023367D">
        <w:rPr>
          <w:color w:val="000000"/>
          <w:sz w:val="17"/>
          <w:szCs w:val="17"/>
        </w:rPr>
        <w:t xml:space="preserve"> R</w:t>
      </w:r>
      <w:r w:rsidRPr="0023367D">
        <w:rPr>
          <w:color w:val="000000"/>
          <w:sz w:val="17"/>
          <w:szCs w:val="17"/>
          <w:vertAlign w:val="superscript"/>
        </w:rPr>
        <w:t>2</w:t>
      </w:r>
      <w:r w:rsidRPr="0023367D">
        <w:rPr>
          <w:color w:val="000000"/>
          <w:sz w:val="17"/>
          <w:szCs w:val="17"/>
          <w:vertAlign w:val="subscript"/>
        </w:rPr>
        <w:t>ACCT</w:t>
      </w:r>
      <w:r w:rsidRPr="0023367D">
        <w:rPr>
          <w:color w:val="000000"/>
          <w:sz w:val="17"/>
          <w:szCs w:val="17"/>
        </w:rPr>
        <w:t xml:space="preserve"> values measure the association of bond valuation or bond returns, with accounting numbers. </w:t>
      </w:r>
    </w:p>
    <w:p w14:paraId="4CE6C519" w14:textId="77777777" w:rsidR="00335619" w:rsidRPr="0023367D" w:rsidRDefault="00BB1234" w:rsidP="00072AA7">
      <w:pPr>
        <w:pStyle w:val="NormalWeb"/>
        <w:ind w:left="90" w:right="-108" w:hanging="176"/>
        <w:rPr>
          <w:color w:val="000000"/>
          <w:sz w:val="16"/>
          <w:szCs w:val="19"/>
          <w:vertAlign w:val="superscript"/>
        </w:rPr>
      </w:pPr>
      <w:r w:rsidRPr="0023367D">
        <w:rPr>
          <w:color w:val="000000"/>
          <w:sz w:val="16"/>
          <w:szCs w:val="19"/>
          <w:vertAlign w:val="superscript"/>
        </w:rPr>
        <w:t xml:space="preserve"> </w:t>
      </w:r>
      <w:r w:rsidR="00A3121F" w:rsidRPr="0023367D">
        <w:rPr>
          <w:color w:val="000000"/>
          <w:sz w:val="16"/>
          <w:szCs w:val="19"/>
          <w:vertAlign w:val="superscript"/>
        </w:rPr>
        <w:t>(</w:t>
      </w:r>
      <w:r w:rsidRPr="0023367D">
        <w:rPr>
          <w:color w:val="000000"/>
          <w:sz w:val="16"/>
          <w:szCs w:val="19"/>
          <w:vertAlign w:val="superscript"/>
        </w:rPr>
        <w:t>b</w:t>
      </w:r>
      <w:r w:rsidR="00A3121F" w:rsidRPr="0023367D">
        <w:rPr>
          <w:color w:val="000000"/>
          <w:sz w:val="16"/>
          <w:szCs w:val="19"/>
          <w:vertAlign w:val="superscript"/>
        </w:rPr>
        <w:t xml:space="preserve">) </w:t>
      </w:r>
      <w:r w:rsidR="00A3121F" w:rsidRPr="0023367D">
        <w:rPr>
          <w:b/>
          <w:i/>
          <w:sz w:val="17"/>
          <w:szCs w:val="17"/>
        </w:rPr>
        <w:t>High and Low</w:t>
      </w:r>
      <w:r w:rsidR="00A3121F" w:rsidRPr="0023367D">
        <w:rPr>
          <w:sz w:val="17"/>
          <w:szCs w:val="17"/>
        </w:rPr>
        <w:t xml:space="preserve"> values are above or below/equal to the median value each year</w:t>
      </w:r>
      <w:r w:rsidR="0084558B">
        <w:rPr>
          <w:sz w:val="17"/>
          <w:szCs w:val="17"/>
        </w:rPr>
        <w:t xml:space="preserve">. </w:t>
      </w:r>
      <w:r w:rsidR="00A3121F" w:rsidRPr="0023367D">
        <w:rPr>
          <w:b/>
          <w:i/>
          <w:iCs/>
          <w:sz w:val="17"/>
          <w:szCs w:val="17"/>
        </w:rPr>
        <w:t>PROB</w:t>
      </w:r>
      <w:r w:rsidR="00A3121F" w:rsidRPr="0023367D">
        <w:rPr>
          <w:b/>
          <w:sz w:val="17"/>
          <w:szCs w:val="17"/>
        </w:rPr>
        <w:t xml:space="preserve"> </w:t>
      </w:r>
      <w:r w:rsidR="00A3121F" w:rsidRPr="0023367D">
        <w:rPr>
          <w:sz w:val="17"/>
          <w:szCs w:val="17"/>
        </w:rPr>
        <w:t xml:space="preserve">is an estimate of the probability of default based on the Black–Scholes–Merton option-pricing model. </w:t>
      </w:r>
      <w:r w:rsidR="00A3121F" w:rsidRPr="0023367D">
        <w:rPr>
          <w:b/>
          <w:i/>
          <w:iCs/>
          <w:sz w:val="17"/>
          <w:szCs w:val="17"/>
        </w:rPr>
        <w:t>CONSERV</w:t>
      </w:r>
      <w:r w:rsidR="00A3121F" w:rsidRPr="0023367D">
        <w:rPr>
          <w:i/>
          <w:iCs/>
          <w:sz w:val="17"/>
          <w:szCs w:val="17"/>
        </w:rPr>
        <w:t xml:space="preserve"> </w:t>
      </w:r>
      <w:r w:rsidR="00A3121F" w:rsidRPr="0023367D">
        <w:rPr>
          <w:sz w:val="17"/>
          <w:szCs w:val="17"/>
        </w:rPr>
        <w:t xml:space="preserve">is a measure of conservatism defined as the coefficient </w:t>
      </w:r>
      <w:r w:rsidR="00A3121F" w:rsidRPr="0023367D">
        <w:rPr>
          <w:rFonts w:ascii="Symbol" w:hAnsi="Symbol" w:cs="Symbol"/>
          <w:sz w:val="17"/>
          <w:szCs w:val="17"/>
          <w:lang w:bidi="he-IL"/>
        </w:rPr>
        <w:t></w:t>
      </w:r>
      <w:r w:rsidR="00A3121F" w:rsidRPr="0023367D">
        <w:rPr>
          <w:sz w:val="17"/>
          <w:szCs w:val="17"/>
          <w:vertAlign w:val="subscript"/>
          <w:lang w:val="fr-FR" w:bidi="he-IL"/>
        </w:rPr>
        <w:t>3</w:t>
      </w:r>
      <w:r w:rsidR="00A3121F" w:rsidRPr="0023367D">
        <w:rPr>
          <w:sz w:val="17"/>
          <w:szCs w:val="17"/>
        </w:rPr>
        <w:t xml:space="preserve"> in regression (6) estimated from the time-series of each firm-year t, from the 12-year period ending with year t. </w:t>
      </w:r>
      <w:r w:rsidR="00A3121F" w:rsidRPr="0023367D">
        <w:rPr>
          <w:sz w:val="17"/>
          <w:szCs w:val="17"/>
          <w:lang w:val="fr-FR" w:bidi="he-IL"/>
        </w:rPr>
        <w:t>T</w:t>
      </w:r>
      <w:r w:rsidR="00A3121F" w:rsidRPr="0023367D">
        <w:rPr>
          <w:sz w:val="17"/>
          <w:szCs w:val="17"/>
          <w:lang w:bidi="he-IL"/>
        </w:rPr>
        <w:t>he sign of the resulting coefficient is multiplied by negative one.</w:t>
      </w:r>
      <w:r w:rsidR="003D36EE" w:rsidRPr="0023367D">
        <w:rPr>
          <w:sz w:val="17"/>
          <w:szCs w:val="17"/>
          <w:lang w:bidi="he-IL"/>
        </w:rPr>
        <w:t xml:space="preserve"> </w:t>
      </w:r>
      <w:proofErr w:type="spellStart"/>
      <w:r w:rsidR="003D36EE" w:rsidRPr="0023367D">
        <w:rPr>
          <w:b/>
          <w:i/>
          <w:iCs/>
          <w:sz w:val="17"/>
          <w:szCs w:val="17"/>
        </w:rPr>
        <w:t>VRatio</w:t>
      </w:r>
      <w:proofErr w:type="spellEnd"/>
      <w:r w:rsidR="003D36EE" w:rsidRPr="0023367D">
        <w:rPr>
          <w:sz w:val="17"/>
          <w:szCs w:val="17"/>
        </w:rPr>
        <w:t xml:space="preserve"> is the volatility ratio from </w:t>
      </w:r>
      <w:proofErr w:type="spellStart"/>
      <w:r w:rsidR="003D36EE" w:rsidRPr="00A8306A">
        <w:rPr>
          <w:sz w:val="17"/>
          <w:szCs w:val="17"/>
        </w:rPr>
        <w:t>Demerjian</w:t>
      </w:r>
      <w:proofErr w:type="spellEnd"/>
      <w:r w:rsidR="003D36EE" w:rsidRPr="00A8306A">
        <w:rPr>
          <w:sz w:val="17"/>
          <w:szCs w:val="17"/>
        </w:rPr>
        <w:t xml:space="preserve"> (2011), computed for year t. </w:t>
      </w:r>
      <w:r w:rsidR="003D36EE">
        <w:rPr>
          <w:sz w:val="17"/>
          <w:szCs w:val="17"/>
        </w:rPr>
        <w:t xml:space="preserve">It is </w:t>
      </w:r>
      <w:r w:rsidR="00A3121F" w:rsidRPr="0023367D">
        <w:rPr>
          <w:sz w:val="17"/>
          <w:szCs w:val="17"/>
        </w:rPr>
        <w:t>defined as the ratio of Book Value Volatility to Adjusted Net Income Volatility</w:t>
      </w:r>
      <w:r w:rsidR="009874E6">
        <w:rPr>
          <w:sz w:val="17"/>
          <w:szCs w:val="17"/>
        </w:rPr>
        <w:t xml:space="preserve">, where </w:t>
      </w:r>
      <w:r w:rsidR="00475160">
        <w:rPr>
          <w:sz w:val="17"/>
          <w:szCs w:val="17"/>
        </w:rPr>
        <w:t>v</w:t>
      </w:r>
      <w:r w:rsidR="00A3121F" w:rsidRPr="0023367D">
        <w:rPr>
          <w:sz w:val="17"/>
          <w:szCs w:val="17"/>
        </w:rPr>
        <w:t xml:space="preserve">olatility is measured as the variance over a window of 60 quarters (5-years). </w:t>
      </w:r>
      <w:r w:rsidR="00475160">
        <w:rPr>
          <w:sz w:val="17"/>
          <w:szCs w:val="17"/>
        </w:rPr>
        <w:t>Q</w:t>
      </w:r>
      <w:r w:rsidR="00A3121F" w:rsidRPr="0023367D">
        <w:rPr>
          <w:sz w:val="17"/>
          <w:szCs w:val="17"/>
        </w:rPr>
        <w:t xml:space="preserve">uarterly variables are annualized by summing the current and three prior quarterly observations. Book Value Volatility is the five-year standard deviation of changes in retained earnings plus dividends. Adjusted Net Income Volatility is the five-year standard deviation of Net Income minus Special Items and Non-Operating Income and Expense. </w:t>
      </w:r>
      <w:r w:rsidR="00A3121F" w:rsidRPr="0023367D">
        <w:rPr>
          <w:b/>
          <w:i/>
          <w:iCs/>
          <w:sz w:val="17"/>
          <w:szCs w:val="17"/>
        </w:rPr>
        <w:t xml:space="preserve">LOSS </w:t>
      </w:r>
      <w:r w:rsidR="00A3121F" w:rsidRPr="0023367D">
        <w:rPr>
          <w:iCs/>
          <w:sz w:val="17"/>
          <w:szCs w:val="17"/>
        </w:rPr>
        <w:t xml:space="preserve">is negative income from continuing operations. </w:t>
      </w:r>
      <w:proofErr w:type="spellStart"/>
      <w:r w:rsidR="00A3121F" w:rsidRPr="0023367D">
        <w:rPr>
          <w:b/>
          <w:i/>
          <w:iCs/>
          <w:sz w:val="17"/>
          <w:szCs w:val="17"/>
        </w:rPr>
        <w:t>NegCFO</w:t>
      </w:r>
      <w:proofErr w:type="spellEnd"/>
      <w:r w:rsidR="00A3121F" w:rsidRPr="0023367D">
        <w:rPr>
          <w:i/>
          <w:iCs/>
          <w:sz w:val="17"/>
          <w:szCs w:val="17"/>
        </w:rPr>
        <w:t xml:space="preserve"> </w:t>
      </w:r>
      <w:r w:rsidR="00A3121F" w:rsidRPr="0023367D">
        <w:rPr>
          <w:sz w:val="17"/>
          <w:szCs w:val="17"/>
        </w:rPr>
        <w:t xml:space="preserve">is negative cash flows from operating activities. </w:t>
      </w:r>
      <w:r w:rsidR="00A3121F" w:rsidRPr="0023367D">
        <w:rPr>
          <w:b/>
          <w:i/>
          <w:iCs/>
          <w:sz w:val="17"/>
          <w:szCs w:val="17"/>
        </w:rPr>
        <w:t>Intangibles</w:t>
      </w:r>
      <w:r w:rsidR="00A3121F" w:rsidRPr="0023367D">
        <w:rPr>
          <w:sz w:val="17"/>
          <w:szCs w:val="17"/>
        </w:rPr>
        <w:t xml:space="preserve"> is the ratio of intangible assets on the balance sheet plus an estimate of </w:t>
      </w:r>
      <w:r w:rsidR="009874E6">
        <w:rPr>
          <w:sz w:val="17"/>
          <w:szCs w:val="17"/>
        </w:rPr>
        <w:t xml:space="preserve">the </w:t>
      </w:r>
      <w:r w:rsidR="00A3121F" w:rsidRPr="0023367D">
        <w:rPr>
          <w:sz w:val="17"/>
          <w:szCs w:val="17"/>
        </w:rPr>
        <w:t xml:space="preserve">unrecognized R&amp;D asset, deflated by total assets. </w:t>
      </w:r>
      <w:r w:rsidR="00A3121F" w:rsidRPr="0023367D">
        <w:rPr>
          <w:b/>
          <w:i/>
          <w:iCs/>
          <w:sz w:val="17"/>
          <w:szCs w:val="17"/>
        </w:rPr>
        <w:t>Bond Ratings</w:t>
      </w:r>
      <w:r w:rsidR="00A3121F" w:rsidRPr="0023367D">
        <w:rPr>
          <w:i/>
          <w:iCs/>
          <w:sz w:val="17"/>
          <w:szCs w:val="17"/>
        </w:rPr>
        <w:t xml:space="preserve"> </w:t>
      </w:r>
      <w:r w:rsidR="00A3121F" w:rsidRPr="0023367D">
        <w:rPr>
          <w:iCs/>
          <w:sz w:val="17"/>
          <w:szCs w:val="17"/>
        </w:rPr>
        <w:t xml:space="preserve">are the S&amp;P rating available on </w:t>
      </w:r>
      <w:proofErr w:type="spellStart"/>
      <w:r w:rsidR="00A3121F" w:rsidRPr="0023367D">
        <w:rPr>
          <w:iCs/>
          <w:sz w:val="17"/>
          <w:szCs w:val="17"/>
        </w:rPr>
        <w:t>Compustat</w:t>
      </w:r>
      <w:proofErr w:type="spellEnd"/>
      <w:r w:rsidR="00A3121F" w:rsidRPr="0023367D">
        <w:rPr>
          <w:iCs/>
          <w:sz w:val="17"/>
          <w:szCs w:val="17"/>
        </w:rPr>
        <w:t xml:space="preserve"> since 1985. </w:t>
      </w:r>
      <w:r w:rsidR="00A3121F" w:rsidRPr="0023367D">
        <w:rPr>
          <w:b/>
          <w:iCs/>
          <w:sz w:val="17"/>
          <w:szCs w:val="17"/>
        </w:rPr>
        <w:t xml:space="preserve">High Yield (Investment Grade) </w:t>
      </w:r>
      <w:r w:rsidR="00A3121F" w:rsidRPr="0023367D">
        <w:rPr>
          <w:iCs/>
          <w:sz w:val="17"/>
          <w:szCs w:val="17"/>
        </w:rPr>
        <w:t>is defined as an S&amp;P rating of BB or lower (above BB</w:t>
      </w:r>
      <w:r w:rsidR="009874E6">
        <w:rPr>
          <w:iCs/>
          <w:sz w:val="17"/>
          <w:szCs w:val="17"/>
        </w:rPr>
        <w:t>).</w:t>
      </w:r>
    </w:p>
    <w:p w14:paraId="4C242CB1" w14:textId="77777777" w:rsidR="00335619" w:rsidRPr="0023367D" w:rsidRDefault="00BB1234" w:rsidP="00072AA7">
      <w:pPr>
        <w:pStyle w:val="NormalWeb"/>
        <w:ind w:left="90" w:right="-108" w:hanging="176"/>
        <w:rPr>
          <w:color w:val="000000"/>
          <w:sz w:val="17"/>
          <w:szCs w:val="17"/>
        </w:rPr>
      </w:pPr>
      <w:r w:rsidRPr="0023367D">
        <w:rPr>
          <w:color w:val="000000"/>
          <w:sz w:val="17"/>
          <w:szCs w:val="17"/>
          <w:vertAlign w:val="superscript"/>
        </w:rPr>
        <w:t xml:space="preserve"> </w:t>
      </w:r>
      <w:r w:rsidR="00335619" w:rsidRPr="0023367D">
        <w:rPr>
          <w:color w:val="000000"/>
          <w:sz w:val="17"/>
          <w:szCs w:val="17"/>
          <w:vertAlign w:val="superscript"/>
        </w:rPr>
        <w:t>(</w:t>
      </w:r>
      <w:proofErr w:type="gramStart"/>
      <w:r w:rsidR="00A3121F" w:rsidRPr="0023367D">
        <w:rPr>
          <w:color w:val="000000"/>
          <w:sz w:val="17"/>
          <w:szCs w:val="17"/>
          <w:vertAlign w:val="superscript"/>
        </w:rPr>
        <w:t>c</w:t>
      </w:r>
      <w:proofErr w:type="gramEnd"/>
      <w:r w:rsidR="00335619" w:rsidRPr="0023367D">
        <w:rPr>
          <w:color w:val="000000"/>
          <w:sz w:val="17"/>
          <w:szCs w:val="17"/>
          <w:vertAlign w:val="superscript"/>
        </w:rPr>
        <w:t>)</w:t>
      </w:r>
      <w:r w:rsidR="00335619" w:rsidRPr="0023367D">
        <w:rPr>
          <w:color w:val="000000"/>
          <w:sz w:val="17"/>
          <w:szCs w:val="17"/>
        </w:rPr>
        <w:t xml:space="preserve"> Bond valuations are derived from valuation </w:t>
      </w:r>
      <w:r w:rsidR="00A3121F" w:rsidRPr="0023367D">
        <w:rPr>
          <w:color w:val="000000"/>
          <w:sz w:val="17"/>
          <w:szCs w:val="17"/>
        </w:rPr>
        <w:t>model</w:t>
      </w:r>
      <w:r w:rsidR="00335619" w:rsidRPr="0023367D">
        <w:rPr>
          <w:color w:val="000000"/>
          <w:sz w:val="17"/>
          <w:szCs w:val="17"/>
        </w:rPr>
        <w:t xml:space="preserve"> (3) estimated from the accounting variables only. See section </w:t>
      </w:r>
      <w:r w:rsidR="00106609" w:rsidRPr="0023367D">
        <w:rPr>
          <w:color w:val="000000"/>
          <w:sz w:val="17"/>
          <w:szCs w:val="17"/>
        </w:rPr>
        <w:t>4</w:t>
      </w:r>
      <w:r w:rsidR="00335619" w:rsidRPr="0023367D">
        <w:rPr>
          <w:color w:val="000000"/>
          <w:sz w:val="17"/>
          <w:szCs w:val="17"/>
        </w:rPr>
        <w:t>.2.1 for a description of this regression.</w:t>
      </w:r>
    </w:p>
    <w:p w14:paraId="22D36FA0" w14:textId="77777777" w:rsidR="00335619" w:rsidRPr="0023367D" w:rsidRDefault="00335619" w:rsidP="00072AA7">
      <w:pPr>
        <w:ind w:left="90" w:right="-108" w:hanging="176"/>
        <w:rPr>
          <w:sz w:val="17"/>
          <w:szCs w:val="17"/>
        </w:rPr>
      </w:pPr>
      <w:r w:rsidRPr="0023367D">
        <w:rPr>
          <w:sz w:val="17"/>
          <w:szCs w:val="17"/>
          <w:vertAlign w:val="superscript"/>
        </w:rPr>
        <w:t>(</w:t>
      </w:r>
      <w:proofErr w:type="gramStart"/>
      <w:r w:rsidR="00A3121F" w:rsidRPr="0023367D">
        <w:rPr>
          <w:sz w:val="17"/>
          <w:szCs w:val="17"/>
          <w:vertAlign w:val="superscript"/>
        </w:rPr>
        <w:t>d</w:t>
      </w:r>
      <w:proofErr w:type="gramEnd"/>
      <w:r w:rsidRPr="0023367D">
        <w:rPr>
          <w:sz w:val="17"/>
          <w:szCs w:val="17"/>
          <w:vertAlign w:val="superscript"/>
        </w:rPr>
        <w:t xml:space="preserve">) </w:t>
      </w:r>
      <w:r w:rsidRPr="0023367D">
        <w:rPr>
          <w:sz w:val="17"/>
          <w:szCs w:val="17"/>
        </w:rPr>
        <w:t xml:space="preserve">Bond returns are derived from return </w:t>
      </w:r>
      <w:r w:rsidR="00A3121F" w:rsidRPr="0023367D">
        <w:rPr>
          <w:sz w:val="17"/>
          <w:szCs w:val="17"/>
        </w:rPr>
        <w:t>model</w:t>
      </w:r>
      <w:r w:rsidRPr="0023367D">
        <w:rPr>
          <w:sz w:val="17"/>
          <w:szCs w:val="17"/>
        </w:rPr>
        <w:t xml:space="preserve"> (5) estimated from the accounting variables only. See section </w:t>
      </w:r>
      <w:r w:rsidR="00106609" w:rsidRPr="0023367D">
        <w:rPr>
          <w:sz w:val="17"/>
          <w:szCs w:val="17"/>
        </w:rPr>
        <w:t>4</w:t>
      </w:r>
      <w:r w:rsidRPr="0023367D">
        <w:rPr>
          <w:sz w:val="17"/>
          <w:szCs w:val="17"/>
        </w:rPr>
        <w:t xml:space="preserve">.2.2 for a description of this regression. </w:t>
      </w:r>
    </w:p>
    <w:p w14:paraId="246E0121" w14:textId="77777777" w:rsidR="00335619" w:rsidRPr="0023367D" w:rsidRDefault="00335619" w:rsidP="00072AA7">
      <w:pPr>
        <w:ind w:left="90" w:right="-108" w:hanging="176"/>
        <w:rPr>
          <w:sz w:val="17"/>
          <w:szCs w:val="17"/>
        </w:rPr>
      </w:pPr>
      <w:r w:rsidRPr="0023367D">
        <w:rPr>
          <w:sz w:val="17"/>
          <w:szCs w:val="17"/>
          <w:vertAlign w:val="superscript"/>
        </w:rPr>
        <w:t>(</w:t>
      </w:r>
      <w:r w:rsidR="00A3121F" w:rsidRPr="0023367D">
        <w:rPr>
          <w:sz w:val="17"/>
          <w:szCs w:val="17"/>
          <w:vertAlign w:val="superscript"/>
        </w:rPr>
        <w:t>e</w:t>
      </w:r>
      <w:r w:rsidRPr="0023367D">
        <w:rPr>
          <w:sz w:val="17"/>
          <w:szCs w:val="17"/>
          <w:vertAlign w:val="superscript"/>
        </w:rPr>
        <w:t xml:space="preserve">) </w:t>
      </w:r>
      <w:r w:rsidRPr="0023367D">
        <w:rPr>
          <w:sz w:val="17"/>
          <w:szCs w:val="17"/>
        </w:rPr>
        <w:t>Results are from estimation of a trend line regression</w:t>
      </w:r>
      <w:r w:rsidR="003D36EE" w:rsidRPr="0023367D">
        <w:rPr>
          <w:sz w:val="17"/>
          <w:szCs w:val="17"/>
        </w:rPr>
        <w:t xml:space="preserve"> </w:t>
      </w:r>
      <w:r w:rsidR="003D36EE">
        <w:rPr>
          <w:sz w:val="17"/>
          <w:szCs w:val="17"/>
        </w:rPr>
        <w:t xml:space="preserve">of PROB, </w:t>
      </w:r>
      <w:proofErr w:type="spellStart"/>
      <w:r w:rsidR="003D36EE">
        <w:rPr>
          <w:sz w:val="17"/>
          <w:szCs w:val="17"/>
        </w:rPr>
        <w:t>NegCFO</w:t>
      </w:r>
      <w:proofErr w:type="spellEnd"/>
      <w:r w:rsidR="003D36EE">
        <w:rPr>
          <w:sz w:val="17"/>
          <w:szCs w:val="17"/>
        </w:rPr>
        <w:t xml:space="preserve">, CONSERV, </w:t>
      </w:r>
      <w:proofErr w:type="spellStart"/>
      <w:r w:rsidR="003D36EE">
        <w:rPr>
          <w:sz w:val="17"/>
          <w:szCs w:val="17"/>
        </w:rPr>
        <w:t>VRatio</w:t>
      </w:r>
      <w:proofErr w:type="spellEnd"/>
      <w:r w:rsidR="003D36EE">
        <w:rPr>
          <w:sz w:val="17"/>
          <w:szCs w:val="17"/>
        </w:rPr>
        <w:t>, LOSS or Intangibles on</w:t>
      </w:r>
      <w:r w:rsidR="003D36EE" w:rsidRPr="0023367D">
        <w:rPr>
          <w:sz w:val="17"/>
          <w:szCs w:val="17"/>
        </w:rPr>
        <w:t xml:space="preserve"> a + </w:t>
      </w:r>
      <w:proofErr w:type="spellStart"/>
      <w:r w:rsidR="003D36EE" w:rsidRPr="0023367D">
        <w:rPr>
          <w:sz w:val="17"/>
          <w:szCs w:val="17"/>
        </w:rPr>
        <w:t>bT</w:t>
      </w:r>
      <w:proofErr w:type="spellEnd"/>
      <w:r w:rsidR="003D36EE" w:rsidRPr="0023367D">
        <w:rPr>
          <w:sz w:val="17"/>
          <w:szCs w:val="17"/>
        </w:rPr>
        <w:t xml:space="preserve"> + e</w:t>
      </w:r>
      <w:proofErr w:type="gramStart"/>
      <w:r w:rsidR="003D36EE" w:rsidRPr="0023367D">
        <w:rPr>
          <w:sz w:val="17"/>
          <w:szCs w:val="17"/>
        </w:rPr>
        <w:t>,</w:t>
      </w:r>
      <w:r w:rsidRPr="0023367D">
        <w:rPr>
          <w:sz w:val="17"/>
          <w:szCs w:val="17"/>
        </w:rPr>
        <w:t>,</w:t>
      </w:r>
      <w:proofErr w:type="gramEnd"/>
      <w:r w:rsidRPr="0023367D">
        <w:rPr>
          <w:sz w:val="17"/>
          <w:szCs w:val="17"/>
        </w:rPr>
        <w:t xml:space="preserve"> estimated from the 39 annual observations where T is a year index, T=1,…, 39 (29 annual observations for Bond Rating). </w:t>
      </w:r>
      <w:r w:rsidR="0084558B">
        <w:rPr>
          <w:iCs/>
          <w:sz w:val="17"/>
          <w:szCs w:val="17"/>
        </w:rPr>
        <w:t xml:space="preserve"> </w:t>
      </w:r>
      <w:r w:rsidR="00E322F6" w:rsidRPr="0023367D">
        <w:rPr>
          <w:rFonts w:eastAsia="Calibri"/>
          <w:sz w:val="17"/>
          <w:szCs w:val="17"/>
        </w:rPr>
        <w:t>Asterisks next to t-statistics indicate significance at the 10% (</w:t>
      </w:r>
      <w:r w:rsidR="00E322F6" w:rsidRPr="0023367D">
        <w:rPr>
          <w:rFonts w:eastAsia="Calibri"/>
          <w:sz w:val="14"/>
          <w:szCs w:val="17"/>
        </w:rPr>
        <w:t>*</w:t>
      </w:r>
      <w:r w:rsidR="00E322F6" w:rsidRPr="0023367D">
        <w:rPr>
          <w:rFonts w:eastAsia="Calibri"/>
          <w:sz w:val="17"/>
          <w:szCs w:val="17"/>
        </w:rPr>
        <w:t>), 5% (</w:t>
      </w:r>
      <w:r w:rsidR="00E322F6" w:rsidRPr="0023367D">
        <w:rPr>
          <w:rFonts w:eastAsia="Calibri"/>
          <w:sz w:val="14"/>
          <w:szCs w:val="17"/>
        </w:rPr>
        <w:t>**</w:t>
      </w:r>
      <w:r w:rsidR="00E322F6" w:rsidRPr="0023367D">
        <w:rPr>
          <w:rFonts w:eastAsia="Calibri"/>
          <w:sz w:val="17"/>
          <w:szCs w:val="17"/>
        </w:rPr>
        <w:t>) and 1% (</w:t>
      </w:r>
      <w:r w:rsidR="00E322F6" w:rsidRPr="0023367D">
        <w:rPr>
          <w:rFonts w:eastAsia="Calibri"/>
          <w:sz w:val="14"/>
          <w:szCs w:val="17"/>
        </w:rPr>
        <w:t>***</w:t>
      </w:r>
      <w:r w:rsidR="00E322F6" w:rsidRPr="0023367D">
        <w:rPr>
          <w:rFonts w:eastAsia="Calibri"/>
          <w:sz w:val="17"/>
          <w:szCs w:val="17"/>
        </w:rPr>
        <w:t>) levels, respectively, using a two-tailed test.</w:t>
      </w:r>
    </w:p>
    <w:p w14:paraId="2B2E04B7" w14:textId="77777777" w:rsidR="00335619" w:rsidRPr="0023367D" w:rsidRDefault="00335619" w:rsidP="00072AA7">
      <w:pPr>
        <w:ind w:left="90" w:hanging="176"/>
        <w:rPr>
          <w:iCs/>
          <w:sz w:val="17"/>
          <w:szCs w:val="17"/>
        </w:rPr>
        <w:sectPr w:rsidR="00335619" w:rsidRPr="0023367D" w:rsidSect="00475160">
          <w:pgSz w:w="15840" w:h="12240" w:orient="landscape"/>
          <w:pgMar w:top="576" w:right="1152" w:bottom="432" w:left="288" w:header="720" w:footer="720" w:gutter="0"/>
          <w:cols w:space="720"/>
          <w:titlePg/>
          <w:docGrid w:linePitch="360"/>
        </w:sectPr>
      </w:pPr>
      <w:r w:rsidRPr="0023367D">
        <w:rPr>
          <w:sz w:val="17"/>
          <w:szCs w:val="17"/>
          <w:vertAlign w:val="superscript"/>
        </w:rPr>
        <w:t>(</w:t>
      </w:r>
      <w:r w:rsidR="00A3121F" w:rsidRPr="0023367D">
        <w:rPr>
          <w:sz w:val="17"/>
          <w:szCs w:val="17"/>
          <w:vertAlign w:val="superscript"/>
        </w:rPr>
        <w:t>f</w:t>
      </w:r>
      <w:r w:rsidRPr="0023367D">
        <w:rPr>
          <w:sz w:val="17"/>
          <w:szCs w:val="17"/>
          <w:vertAlign w:val="superscript"/>
        </w:rPr>
        <w:t>)</w:t>
      </w:r>
      <w:r w:rsidRPr="0023367D">
        <w:rPr>
          <w:sz w:val="17"/>
          <w:szCs w:val="17"/>
        </w:rPr>
        <w:t xml:space="preserve"> </w:t>
      </w:r>
      <w:r w:rsidRPr="0023367D">
        <w:rPr>
          <w:bCs/>
          <w:iCs/>
          <w:sz w:val="17"/>
          <w:szCs w:val="17"/>
        </w:rPr>
        <w:t>The number of observations is smaller than the full sample (20,700) due to missing data</w:t>
      </w:r>
      <w:r w:rsidR="00D6244A">
        <w:rPr>
          <w:bCs/>
          <w:iCs/>
          <w:sz w:val="17"/>
          <w:szCs w:val="17"/>
        </w:rPr>
        <w:t xml:space="preserve"> on independent variables</w:t>
      </w:r>
      <w:r w:rsidRPr="0023367D">
        <w:rPr>
          <w:bCs/>
          <w:iCs/>
          <w:sz w:val="17"/>
          <w:szCs w:val="17"/>
        </w:rPr>
        <w:t>.</w:t>
      </w:r>
      <w:r w:rsidR="00475160">
        <w:rPr>
          <w:bCs/>
          <w:iCs/>
          <w:sz w:val="17"/>
          <w:szCs w:val="17"/>
        </w:rPr>
        <w:t xml:space="preserve"> </w:t>
      </w:r>
      <w:r w:rsidRPr="0023367D">
        <w:rPr>
          <w:bCs/>
          <w:iCs/>
          <w:sz w:val="17"/>
          <w:szCs w:val="17"/>
          <w:vertAlign w:val="superscript"/>
        </w:rPr>
        <w:t>(</w:t>
      </w:r>
      <w:r w:rsidR="00A3121F" w:rsidRPr="0023367D">
        <w:rPr>
          <w:bCs/>
          <w:iCs/>
          <w:sz w:val="17"/>
          <w:szCs w:val="17"/>
          <w:vertAlign w:val="superscript"/>
        </w:rPr>
        <w:t>g</w:t>
      </w:r>
      <w:r w:rsidRPr="0023367D">
        <w:rPr>
          <w:bCs/>
          <w:iCs/>
          <w:sz w:val="17"/>
          <w:szCs w:val="17"/>
          <w:vertAlign w:val="superscript"/>
        </w:rPr>
        <w:t xml:space="preserve">) </w:t>
      </w:r>
      <w:r w:rsidRPr="0023367D">
        <w:rPr>
          <w:iCs/>
          <w:sz w:val="17"/>
          <w:szCs w:val="17"/>
        </w:rPr>
        <w:t xml:space="preserve">In estimating bond valuation model (3) and bond return model (5), the variable </w:t>
      </w:r>
      <w:r w:rsidRPr="0023367D">
        <w:rPr>
          <w:i/>
          <w:sz w:val="17"/>
          <w:szCs w:val="17"/>
        </w:rPr>
        <w:t>Loss</w:t>
      </w:r>
      <w:r w:rsidRPr="0023367D">
        <w:rPr>
          <w:sz w:val="17"/>
          <w:szCs w:val="17"/>
        </w:rPr>
        <w:t xml:space="preserve"> (defined </w:t>
      </w:r>
      <w:r w:rsidR="00475160">
        <w:rPr>
          <w:sz w:val="17"/>
          <w:szCs w:val="17"/>
        </w:rPr>
        <w:t>above</w:t>
      </w:r>
      <w:r w:rsidRPr="0023367D">
        <w:rPr>
          <w:sz w:val="17"/>
          <w:szCs w:val="17"/>
        </w:rPr>
        <w:t>) and the variables interacting with it are omitted.</w:t>
      </w:r>
    </w:p>
    <w:p w14:paraId="1F779D06" w14:textId="77777777" w:rsidR="00FC1F24" w:rsidRDefault="00FC1F24" w:rsidP="00FC1F24">
      <w:pPr>
        <w:ind w:left="720"/>
        <w:contextualSpacing/>
        <w:jc w:val="center"/>
        <w:rPr>
          <w:b/>
          <w:bCs/>
        </w:rPr>
      </w:pPr>
      <w:r>
        <w:rPr>
          <w:b/>
          <w:bCs/>
        </w:rPr>
        <w:tab/>
        <w:t>Table 6</w:t>
      </w:r>
    </w:p>
    <w:p w14:paraId="4ACFC007" w14:textId="77777777" w:rsidR="00FC1F24" w:rsidRDefault="00FC1F24" w:rsidP="00FC1F24">
      <w:pPr>
        <w:ind w:left="720"/>
        <w:contextualSpacing/>
        <w:jc w:val="center"/>
        <w:rPr>
          <w:b/>
          <w:bCs/>
        </w:rPr>
      </w:pPr>
      <w:r>
        <w:rPr>
          <w:b/>
          <w:bCs/>
        </w:rPr>
        <w:t>Association between the Information Content of Accounting Numbers for</w:t>
      </w:r>
    </w:p>
    <w:p w14:paraId="1F06A602" w14:textId="77777777" w:rsidR="00FC1F24" w:rsidRDefault="00FC1F24" w:rsidP="00FC1F24">
      <w:pPr>
        <w:ind w:left="720"/>
        <w:contextualSpacing/>
        <w:jc w:val="center"/>
        <w:rPr>
          <w:b/>
          <w:bCs/>
        </w:rPr>
      </w:pPr>
      <w:r>
        <w:rPr>
          <w:b/>
          <w:bCs/>
        </w:rPr>
        <w:t>Bond holders and Its Potential Determinants</w:t>
      </w:r>
    </w:p>
    <w:p w14:paraId="5D1B6FEB" w14:textId="77777777" w:rsidR="00FC1F24" w:rsidRDefault="00FC1F24" w:rsidP="00FC1F24">
      <w:pPr>
        <w:ind w:left="720"/>
        <w:contextualSpacing/>
        <w:jc w:val="center"/>
        <w:rPr>
          <w:iCs/>
        </w:rPr>
      </w:pPr>
      <w:r>
        <w:rPr>
          <w:iCs/>
        </w:rPr>
        <w:t>Summary Results from Estimating:</w:t>
      </w:r>
    </w:p>
    <w:p w14:paraId="00A1785F" w14:textId="77777777" w:rsidR="00D6244A" w:rsidRPr="00157504" w:rsidRDefault="00D6244A" w:rsidP="00D6244A">
      <w:pPr>
        <w:spacing w:before="120"/>
        <w:contextualSpacing/>
        <w:jc w:val="center"/>
        <w:rPr>
          <w:sz w:val="18"/>
          <w:szCs w:val="18"/>
          <w:vertAlign w:val="superscript"/>
        </w:rPr>
      </w:pPr>
      <w:proofErr w:type="spellStart"/>
      <w:r w:rsidRPr="00157504">
        <w:rPr>
          <w:sz w:val="18"/>
          <w:szCs w:val="18"/>
        </w:rPr>
        <w:t>INFO_</w:t>
      </w:r>
      <w:proofErr w:type="gramStart"/>
      <w:r w:rsidRPr="00157504">
        <w:rPr>
          <w:sz w:val="18"/>
          <w:szCs w:val="18"/>
        </w:rPr>
        <w:t>CONT</w:t>
      </w:r>
      <w:r w:rsidRPr="00157504">
        <w:rPr>
          <w:sz w:val="18"/>
          <w:szCs w:val="18"/>
          <w:vertAlign w:val="subscript"/>
        </w:rPr>
        <w:t>t</w:t>
      </w:r>
      <w:proofErr w:type="spellEnd"/>
      <w:r w:rsidRPr="00157504">
        <w:rPr>
          <w:sz w:val="18"/>
          <w:szCs w:val="18"/>
          <w:vertAlign w:val="subscript"/>
        </w:rPr>
        <w:t xml:space="preserve">  </w:t>
      </w:r>
      <w:r w:rsidRPr="00157504">
        <w:rPr>
          <w:sz w:val="18"/>
          <w:szCs w:val="18"/>
        </w:rPr>
        <w:t>=</w:t>
      </w:r>
      <w:proofErr w:type="gramEnd"/>
      <w:r w:rsidRPr="00157504">
        <w:rPr>
          <w:sz w:val="18"/>
          <w:szCs w:val="18"/>
        </w:rPr>
        <w:t xml:space="preserve">  </w:t>
      </w:r>
      <w:r w:rsidRPr="00157504">
        <w:rPr>
          <w:rFonts w:ascii="Blackadder ITC" w:hAnsi="Blackadder ITC" w:cs="Andalus"/>
          <w:sz w:val="18"/>
          <w:szCs w:val="18"/>
        </w:rPr>
        <w:t>f</w:t>
      </w:r>
      <w:r w:rsidRPr="00157504">
        <w:rPr>
          <w:sz w:val="18"/>
          <w:szCs w:val="18"/>
        </w:rPr>
        <w:t xml:space="preserve"> {</w:t>
      </w:r>
      <w:proofErr w:type="spellStart"/>
      <w:r w:rsidRPr="00157504">
        <w:rPr>
          <w:sz w:val="18"/>
          <w:szCs w:val="18"/>
        </w:rPr>
        <w:t>PROB</w:t>
      </w:r>
      <w:r w:rsidRPr="00157504">
        <w:rPr>
          <w:sz w:val="18"/>
          <w:szCs w:val="18"/>
          <w:vertAlign w:val="subscript"/>
        </w:rPr>
        <w:t>t</w:t>
      </w:r>
      <w:proofErr w:type="spellEnd"/>
      <w:r w:rsidRPr="00157504">
        <w:rPr>
          <w:sz w:val="18"/>
          <w:szCs w:val="18"/>
        </w:rPr>
        <w:t xml:space="preserve">, </w:t>
      </w:r>
      <w:proofErr w:type="spellStart"/>
      <w:r w:rsidRPr="00157504">
        <w:rPr>
          <w:sz w:val="18"/>
          <w:szCs w:val="18"/>
        </w:rPr>
        <w:t>NegCFO</w:t>
      </w:r>
      <w:r w:rsidRPr="00157504">
        <w:rPr>
          <w:sz w:val="18"/>
          <w:szCs w:val="18"/>
          <w:vertAlign w:val="subscript"/>
        </w:rPr>
        <w:t>t</w:t>
      </w:r>
      <w:proofErr w:type="spellEnd"/>
      <w:r w:rsidRPr="00157504">
        <w:rPr>
          <w:sz w:val="18"/>
          <w:szCs w:val="18"/>
        </w:rPr>
        <w:t xml:space="preserve">, </w:t>
      </w:r>
      <w:proofErr w:type="spellStart"/>
      <w:r w:rsidRPr="00157504">
        <w:rPr>
          <w:sz w:val="18"/>
          <w:szCs w:val="18"/>
        </w:rPr>
        <w:t>CONSERV</w:t>
      </w:r>
      <w:r w:rsidRPr="00157504">
        <w:rPr>
          <w:sz w:val="18"/>
          <w:szCs w:val="18"/>
          <w:vertAlign w:val="subscript"/>
        </w:rPr>
        <w:t>t</w:t>
      </w:r>
      <w:proofErr w:type="spellEnd"/>
      <w:r w:rsidRPr="00157504">
        <w:rPr>
          <w:sz w:val="18"/>
          <w:szCs w:val="18"/>
        </w:rPr>
        <w:t xml:space="preserve">, </w:t>
      </w:r>
      <w:proofErr w:type="spellStart"/>
      <w:r w:rsidRPr="00157504">
        <w:rPr>
          <w:sz w:val="18"/>
          <w:szCs w:val="18"/>
        </w:rPr>
        <w:t>VRatio</w:t>
      </w:r>
      <w:r w:rsidRPr="00157504">
        <w:rPr>
          <w:sz w:val="18"/>
          <w:szCs w:val="18"/>
          <w:vertAlign w:val="subscript"/>
        </w:rPr>
        <w:t>t</w:t>
      </w:r>
      <w:proofErr w:type="spellEnd"/>
      <w:r w:rsidRPr="00157504">
        <w:rPr>
          <w:sz w:val="18"/>
          <w:szCs w:val="18"/>
        </w:rPr>
        <w:t xml:space="preserve">, LOSS, </w:t>
      </w:r>
      <w:proofErr w:type="spellStart"/>
      <w:r w:rsidRPr="00157504">
        <w:rPr>
          <w:sz w:val="18"/>
          <w:szCs w:val="18"/>
        </w:rPr>
        <w:t>Intangibles</w:t>
      </w:r>
      <w:r w:rsidRPr="00157504">
        <w:rPr>
          <w:sz w:val="18"/>
          <w:szCs w:val="18"/>
          <w:vertAlign w:val="subscript"/>
        </w:rPr>
        <w:t>t</w:t>
      </w:r>
      <w:proofErr w:type="spellEnd"/>
      <w:r w:rsidRPr="00157504">
        <w:rPr>
          <w:sz w:val="18"/>
          <w:szCs w:val="18"/>
        </w:rPr>
        <w:t xml:space="preserve">, </w:t>
      </w:r>
      <w:proofErr w:type="spellStart"/>
      <w:r w:rsidRPr="00157504">
        <w:rPr>
          <w:sz w:val="18"/>
          <w:szCs w:val="18"/>
        </w:rPr>
        <w:t>GDP</w:t>
      </w:r>
      <w:r w:rsidRPr="00157504">
        <w:rPr>
          <w:sz w:val="18"/>
          <w:szCs w:val="18"/>
          <w:vertAlign w:val="subscript"/>
        </w:rPr>
        <w:t>t</w:t>
      </w:r>
      <w:proofErr w:type="spellEnd"/>
      <w:r w:rsidRPr="00157504">
        <w:rPr>
          <w:sz w:val="18"/>
          <w:szCs w:val="18"/>
        </w:rPr>
        <w:t xml:space="preserve">}   (7) </w:t>
      </w:r>
    </w:p>
    <w:tbl>
      <w:tblPr>
        <w:tblpPr w:leftFromText="180" w:rightFromText="180" w:vertAnchor="page" w:horzAnchor="margin" w:tblpY="2533"/>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1484"/>
        <w:gridCol w:w="1485"/>
        <w:gridCol w:w="1485"/>
        <w:gridCol w:w="1485"/>
        <w:gridCol w:w="1485"/>
        <w:gridCol w:w="1486"/>
      </w:tblGrid>
      <w:tr w:rsidR="00FC1F24" w:rsidRPr="00F56C32" w14:paraId="4BB37B9B" w14:textId="77777777" w:rsidTr="009110D7">
        <w:tc>
          <w:tcPr>
            <w:tcW w:w="2065" w:type="dxa"/>
            <w:vMerge w:val="restart"/>
            <w:tcBorders>
              <w:right w:val="single" w:sz="18" w:space="0" w:color="auto"/>
            </w:tcBorders>
            <w:shd w:val="clear" w:color="auto" w:fill="auto"/>
            <w:vAlign w:val="center"/>
          </w:tcPr>
          <w:p w14:paraId="4D937A80" w14:textId="77777777" w:rsidR="00FC1F24" w:rsidRPr="00F56C32" w:rsidRDefault="00FC1F24" w:rsidP="009110D7">
            <w:pPr>
              <w:widowControl w:val="0"/>
              <w:rPr>
                <w:sz w:val="20"/>
                <w:szCs w:val="20"/>
                <w:lang w:bidi="he-IL"/>
              </w:rPr>
            </w:pPr>
          </w:p>
          <w:p w14:paraId="2DCF5DDD" w14:textId="77777777" w:rsidR="00FC1F24" w:rsidRPr="00F56C32" w:rsidRDefault="00FC1F24" w:rsidP="009110D7">
            <w:pPr>
              <w:widowControl w:val="0"/>
              <w:jc w:val="center"/>
              <w:rPr>
                <w:sz w:val="20"/>
                <w:szCs w:val="20"/>
                <w:lang w:bidi="he-IL"/>
              </w:rPr>
            </w:pPr>
            <w:r w:rsidRPr="00F56C32">
              <w:rPr>
                <w:sz w:val="20"/>
                <w:szCs w:val="20"/>
                <w:lang w:bidi="he-IL"/>
              </w:rPr>
              <w:t>Dependent Variable (Hypothesized sign)</w:t>
            </w:r>
          </w:p>
        </w:tc>
        <w:tc>
          <w:tcPr>
            <w:tcW w:w="2969" w:type="dxa"/>
            <w:gridSpan w:val="2"/>
            <w:tcBorders>
              <w:left w:val="single" w:sz="18" w:space="0" w:color="auto"/>
              <w:right w:val="single" w:sz="18" w:space="0" w:color="auto"/>
            </w:tcBorders>
            <w:shd w:val="clear" w:color="auto" w:fill="auto"/>
            <w:vAlign w:val="center"/>
          </w:tcPr>
          <w:p w14:paraId="0750B2AB" w14:textId="77777777" w:rsidR="00FC1F24" w:rsidRPr="00F56C32" w:rsidRDefault="00D6244A" w:rsidP="009110D7">
            <w:pPr>
              <w:jc w:val="center"/>
              <w:rPr>
                <w:b/>
                <w:bCs/>
                <w:sz w:val="22"/>
                <w:lang w:bidi="he-IL"/>
              </w:rPr>
            </w:pPr>
            <w:r>
              <w:rPr>
                <w:b/>
                <w:bCs/>
                <w:sz w:val="22"/>
                <w:lang w:bidi="he-IL"/>
              </w:rPr>
              <w:t>R</w:t>
            </w:r>
            <w:r w:rsidR="00FC1F24" w:rsidRPr="00F56C32">
              <w:rPr>
                <w:b/>
                <w:bCs/>
                <w:sz w:val="22"/>
                <w:lang w:bidi="he-IL"/>
              </w:rPr>
              <w:t xml:space="preserve">egression (7) </w:t>
            </w:r>
          </w:p>
          <w:p w14:paraId="3DE2F342" w14:textId="77777777" w:rsidR="00FC1F24" w:rsidRPr="00F56C32" w:rsidRDefault="00FC1F24" w:rsidP="009110D7">
            <w:pPr>
              <w:jc w:val="center"/>
              <w:rPr>
                <w:b/>
                <w:bCs/>
                <w:sz w:val="22"/>
                <w:lang w:bidi="he-IL"/>
              </w:rPr>
            </w:pPr>
            <w:r w:rsidRPr="00F56C32">
              <w:rPr>
                <w:b/>
                <w:bCs/>
                <w:sz w:val="22"/>
                <w:lang w:bidi="he-IL"/>
              </w:rPr>
              <w:t xml:space="preserve">Annual Observations </w:t>
            </w:r>
            <w:r w:rsidRPr="00F56C32">
              <w:rPr>
                <w:b/>
                <w:bCs/>
                <w:sz w:val="22"/>
                <w:vertAlign w:val="superscript"/>
                <w:lang w:bidi="he-IL"/>
              </w:rPr>
              <w:t>(a)</w:t>
            </w:r>
            <w:r>
              <w:rPr>
                <w:b/>
                <w:bCs/>
                <w:sz w:val="22"/>
                <w:vertAlign w:val="superscript"/>
                <w:lang w:bidi="he-IL"/>
              </w:rPr>
              <w:t xml:space="preserve">, </w:t>
            </w:r>
            <w:r w:rsidRPr="00322C30">
              <w:rPr>
                <w:b/>
                <w:bCs/>
                <w:sz w:val="22"/>
                <w:vertAlign w:val="superscript"/>
                <w:lang w:bidi="he-IL"/>
              </w:rPr>
              <w:t>(b)</w:t>
            </w:r>
            <w:r w:rsidRPr="00F56C32">
              <w:rPr>
                <w:b/>
                <w:bCs/>
                <w:sz w:val="22"/>
                <w:lang w:bidi="he-IL"/>
              </w:rPr>
              <w:t xml:space="preserve"> </w:t>
            </w:r>
          </w:p>
        </w:tc>
        <w:tc>
          <w:tcPr>
            <w:tcW w:w="5941" w:type="dxa"/>
            <w:gridSpan w:val="4"/>
            <w:tcBorders>
              <w:left w:val="single" w:sz="18" w:space="0" w:color="auto"/>
            </w:tcBorders>
            <w:vAlign w:val="center"/>
          </w:tcPr>
          <w:p w14:paraId="469AFA1A" w14:textId="77777777" w:rsidR="00FC1F24" w:rsidRPr="00F56C32" w:rsidRDefault="00FC1F24" w:rsidP="009110D7">
            <w:pPr>
              <w:jc w:val="center"/>
              <w:rPr>
                <w:b/>
                <w:sz w:val="22"/>
                <w:szCs w:val="22"/>
              </w:rPr>
            </w:pPr>
            <w:r w:rsidRPr="00F56C32">
              <w:rPr>
                <w:b/>
                <w:sz w:val="22"/>
                <w:szCs w:val="22"/>
              </w:rPr>
              <w:t xml:space="preserve">Regression (8) </w:t>
            </w:r>
          </w:p>
          <w:p w14:paraId="42798A17" w14:textId="77777777" w:rsidR="00FC1F24" w:rsidRPr="00F56C32" w:rsidRDefault="00FC1F24" w:rsidP="009110D7">
            <w:pPr>
              <w:jc w:val="center"/>
              <w:rPr>
                <w:b/>
                <w:sz w:val="22"/>
                <w:szCs w:val="22"/>
              </w:rPr>
            </w:pPr>
            <w:r w:rsidRPr="00F56C32">
              <w:rPr>
                <w:b/>
                <w:sz w:val="22"/>
                <w:szCs w:val="22"/>
              </w:rPr>
              <w:t xml:space="preserve">Firm-Year Observations </w:t>
            </w:r>
            <w:r w:rsidRPr="00F56C32">
              <w:rPr>
                <w:b/>
                <w:sz w:val="22"/>
                <w:szCs w:val="22"/>
                <w:vertAlign w:val="superscript"/>
              </w:rPr>
              <w:t>(a)</w:t>
            </w:r>
            <w:r>
              <w:rPr>
                <w:b/>
                <w:sz w:val="22"/>
                <w:szCs w:val="22"/>
                <w:vertAlign w:val="superscript"/>
              </w:rPr>
              <w:t>, (c), (d)</w:t>
            </w:r>
          </w:p>
        </w:tc>
      </w:tr>
      <w:tr w:rsidR="00FC1F24" w:rsidRPr="00F56C32" w14:paraId="2541733D" w14:textId="77777777" w:rsidTr="009110D7">
        <w:trPr>
          <w:trHeight w:val="1367"/>
        </w:trPr>
        <w:tc>
          <w:tcPr>
            <w:tcW w:w="2065" w:type="dxa"/>
            <w:vMerge/>
            <w:tcBorders>
              <w:right w:val="single" w:sz="18" w:space="0" w:color="auto"/>
            </w:tcBorders>
            <w:shd w:val="clear" w:color="auto" w:fill="auto"/>
            <w:vAlign w:val="center"/>
          </w:tcPr>
          <w:p w14:paraId="3F99CEB0" w14:textId="77777777" w:rsidR="00FC1F24" w:rsidRPr="00F56C32" w:rsidRDefault="00FC1F24" w:rsidP="009110D7">
            <w:pPr>
              <w:widowControl w:val="0"/>
              <w:rPr>
                <w:sz w:val="20"/>
                <w:szCs w:val="20"/>
                <w:lang w:bidi="he-IL"/>
              </w:rPr>
            </w:pPr>
          </w:p>
        </w:tc>
        <w:tc>
          <w:tcPr>
            <w:tcW w:w="2969" w:type="dxa"/>
            <w:gridSpan w:val="2"/>
            <w:tcBorders>
              <w:left w:val="single" w:sz="18" w:space="0" w:color="auto"/>
              <w:right w:val="single" w:sz="12" w:space="0" w:color="auto"/>
            </w:tcBorders>
            <w:shd w:val="clear" w:color="auto" w:fill="auto"/>
          </w:tcPr>
          <w:p w14:paraId="0A9B0690" w14:textId="77777777" w:rsidR="00FC1F24" w:rsidRPr="00F56C32" w:rsidRDefault="00FC1F24" w:rsidP="009110D7">
            <w:pPr>
              <w:jc w:val="center"/>
              <w:rPr>
                <w:b/>
                <w:sz w:val="20"/>
                <w:szCs w:val="20"/>
              </w:rPr>
            </w:pPr>
          </w:p>
          <w:p w14:paraId="785786DE" w14:textId="77777777" w:rsidR="00FC1F24" w:rsidRPr="00F56C32" w:rsidRDefault="00FC1F24" w:rsidP="009110D7">
            <w:pPr>
              <w:jc w:val="center"/>
              <w:rPr>
                <w:b/>
                <w:bCs/>
                <w:sz w:val="20"/>
                <w:szCs w:val="20"/>
                <w:lang w:bidi="he-IL"/>
              </w:rPr>
            </w:pPr>
            <w:r w:rsidRPr="00F56C32">
              <w:rPr>
                <w:b/>
                <w:sz w:val="20"/>
                <w:szCs w:val="20"/>
              </w:rPr>
              <w:t>INFO_CONT (R</w:t>
            </w:r>
            <w:r w:rsidRPr="00F56C32">
              <w:rPr>
                <w:b/>
                <w:sz w:val="20"/>
                <w:szCs w:val="20"/>
                <w:vertAlign w:val="superscript"/>
              </w:rPr>
              <w:t>2</w:t>
            </w:r>
            <w:r w:rsidRPr="00F56C32">
              <w:rPr>
                <w:b/>
                <w:sz w:val="20"/>
                <w:szCs w:val="20"/>
                <w:vertAlign w:val="subscript"/>
              </w:rPr>
              <w:t>ACCT</w:t>
            </w:r>
            <w:r w:rsidRPr="00F56C32">
              <w:rPr>
                <w:b/>
                <w:sz w:val="20"/>
                <w:szCs w:val="20"/>
              </w:rPr>
              <w:t>)</w:t>
            </w:r>
          </w:p>
          <w:p w14:paraId="50DDFA91" w14:textId="77777777" w:rsidR="00FC1F24" w:rsidRPr="00F56C32" w:rsidRDefault="00FC1F24" w:rsidP="009110D7">
            <w:pPr>
              <w:jc w:val="center"/>
              <w:rPr>
                <w:b/>
                <w:bCs/>
                <w:sz w:val="20"/>
                <w:szCs w:val="20"/>
                <w:lang w:bidi="he-IL"/>
              </w:rPr>
            </w:pPr>
            <w:r w:rsidRPr="00F56C32">
              <w:rPr>
                <w:b/>
                <w:bCs/>
                <w:sz w:val="20"/>
                <w:szCs w:val="20"/>
                <w:lang w:bidi="he-IL"/>
              </w:rPr>
              <w:t>from valuation model:</w:t>
            </w:r>
          </w:p>
        </w:tc>
        <w:tc>
          <w:tcPr>
            <w:tcW w:w="2970" w:type="dxa"/>
            <w:gridSpan w:val="2"/>
            <w:tcBorders>
              <w:left w:val="single" w:sz="18" w:space="0" w:color="auto"/>
              <w:right w:val="single" w:sz="12" w:space="0" w:color="auto"/>
            </w:tcBorders>
          </w:tcPr>
          <w:p w14:paraId="6EE279B2" w14:textId="77777777" w:rsidR="00FC1F24" w:rsidRPr="00F56C32" w:rsidRDefault="00FC1F24" w:rsidP="009110D7">
            <w:pPr>
              <w:jc w:val="center"/>
              <w:rPr>
                <w:b/>
                <w:sz w:val="18"/>
                <w:szCs w:val="18"/>
              </w:rPr>
            </w:pPr>
            <w:r w:rsidRPr="00F56C32">
              <w:rPr>
                <w:b/>
                <w:sz w:val="18"/>
                <w:szCs w:val="18"/>
              </w:rPr>
              <w:t>INFO (A)</w:t>
            </w:r>
          </w:p>
          <w:p w14:paraId="01638686" w14:textId="77777777" w:rsidR="00FC1F24" w:rsidRPr="00F56C32" w:rsidRDefault="00FC1F24" w:rsidP="009110D7">
            <w:pPr>
              <w:jc w:val="center"/>
              <w:rPr>
                <w:b/>
                <w:sz w:val="18"/>
                <w:szCs w:val="18"/>
              </w:rPr>
            </w:pPr>
            <w:r w:rsidRPr="00F56C32">
              <w:rPr>
                <w:b/>
                <w:sz w:val="18"/>
                <w:szCs w:val="18"/>
              </w:rPr>
              <w:t>The accuracy in predicting yield based on foreknowledge of accounting numbers.</w:t>
            </w:r>
          </w:p>
          <w:p w14:paraId="622C62AC" w14:textId="77777777" w:rsidR="00FC1F24" w:rsidRPr="00F56C32" w:rsidRDefault="00FC1F24" w:rsidP="009110D7">
            <w:pPr>
              <w:jc w:val="center"/>
              <w:rPr>
                <w:b/>
                <w:sz w:val="18"/>
                <w:szCs w:val="18"/>
              </w:rPr>
            </w:pPr>
          </w:p>
          <w:p w14:paraId="5BD24FD4" w14:textId="77777777" w:rsidR="00FC1F24" w:rsidRPr="00F56C32" w:rsidRDefault="00FC1F24" w:rsidP="009110D7">
            <w:pPr>
              <w:jc w:val="center"/>
              <w:rPr>
                <w:b/>
                <w:sz w:val="18"/>
                <w:szCs w:val="18"/>
              </w:rPr>
            </w:pPr>
          </w:p>
          <w:p w14:paraId="2E4D5A2C" w14:textId="77777777" w:rsidR="00FC1F24" w:rsidRPr="00F56C32" w:rsidRDefault="00FC1F24" w:rsidP="009110D7">
            <w:pPr>
              <w:jc w:val="center"/>
              <w:rPr>
                <w:b/>
                <w:bCs/>
                <w:sz w:val="18"/>
                <w:szCs w:val="18"/>
                <w:lang w:bidi="he-IL"/>
              </w:rPr>
            </w:pPr>
            <w:r w:rsidRPr="00F56C32">
              <w:rPr>
                <w:b/>
                <w:sz w:val="18"/>
                <w:szCs w:val="18"/>
              </w:rPr>
              <w:t>Expected yield is obtained from model:</w:t>
            </w:r>
          </w:p>
        </w:tc>
        <w:tc>
          <w:tcPr>
            <w:tcW w:w="2971" w:type="dxa"/>
            <w:gridSpan w:val="2"/>
            <w:tcBorders>
              <w:left w:val="single" w:sz="12" w:space="0" w:color="auto"/>
              <w:right w:val="single" w:sz="12" w:space="0" w:color="auto"/>
            </w:tcBorders>
          </w:tcPr>
          <w:p w14:paraId="688921E0" w14:textId="77777777" w:rsidR="00FC1F24" w:rsidRPr="00F56C32" w:rsidRDefault="00FC1F24" w:rsidP="009110D7">
            <w:pPr>
              <w:jc w:val="center"/>
              <w:rPr>
                <w:b/>
                <w:sz w:val="18"/>
                <w:szCs w:val="18"/>
              </w:rPr>
            </w:pPr>
            <w:r w:rsidRPr="00F56C32">
              <w:rPr>
                <w:b/>
                <w:sz w:val="18"/>
                <w:szCs w:val="18"/>
              </w:rPr>
              <w:t xml:space="preserve">  INFO  (B)</w:t>
            </w:r>
          </w:p>
          <w:p w14:paraId="6FE56AAF" w14:textId="77777777" w:rsidR="00FC1F24" w:rsidRPr="00F56C32" w:rsidRDefault="00FC1F24" w:rsidP="009110D7">
            <w:pPr>
              <w:jc w:val="center"/>
              <w:rPr>
                <w:b/>
                <w:sz w:val="18"/>
                <w:szCs w:val="18"/>
              </w:rPr>
            </w:pPr>
            <w:r w:rsidRPr="00F56C32">
              <w:rPr>
                <w:b/>
                <w:sz w:val="18"/>
                <w:szCs w:val="18"/>
              </w:rPr>
              <w:t>The return from a hedged portfolio based on sign of expected return using foreknowledge.</w:t>
            </w:r>
          </w:p>
          <w:p w14:paraId="4F3AB362" w14:textId="77777777" w:rsidR="00FC1F24" w:rsidRPr="00F56C32" w:rsidRDefault="00FC1F24" w:rsidP="009110D7">
            <w:pPr>
              <w:jc w:val="center"/>
              <w:rPr>
                <w:b/>
                <w:sz w:val="18"/>
                <w:szCs w:val="18"/>
              </w:rPr>
            </w:pPr>
          </w:p>
          <w:p w14:paraId="1A00A187" w14:textId="77777777" w:rsidR="00FC1F24" w:rsidRPr="00F56C32" w:rsidRDefault="00FC1F24" w:rsidP="001044CE">
            <w:pPr>
              <w:jc w:val="center"/>
              <w:rPr>
                <w:b/>
                <w:sz w:val="18"/>
                <w:szCs w:val="18"/>
              </w:rPr>
            </w:pPr>
            <w:r w:rsidRPr="001161C5">
              <w:rPr>
                <w:b/>
                <w:sz w:val="18"/>
                <w:szCs w:val="18"/>
              </w:rPr>
              <w:t>Expected return is obtained from model</w:t>
            </w:r>
            <w:r w:rsidRPr="001044CE">
              <w:rPr>
                <w:b/>
                <w:sz w:val="18"/>
                <w:szCs w:val="18"/>
              </w:rPr>
              <w:t>:</w:t>
            </w:r>
          </w:p>
        </w:tc>
      </w:tr>
      <w:tr w:rsidR="00FC1F24" w:rsidRPr="00F56C32" w14:paraId="5885103E" w14:textId="77777777" w:rsidTr="009110D7">
        <w:tc>
          <w:tcPr>
            <w:tcW w:w="2065" w:type="dxa"/>
            <w:vMerge/>
            <w:tcBorders>
              <w:right w:val="single" w:sz="18" w:space="0" w:color="auto"/>
            </w:tcBorders>
            <w:shd w:val="clear" w:color="auto" w:fill="auto"/>
            <w:vAlign w:val="center"/>
          </w:tcPr>
          <w:p w14:paraId="5AEEB1AB" w14:textId="77777777" w:rsidR="00FC1F24" w:rsidRPr="00F56C32" w:rsidRDefault="00FC1F24" w:rsidP="009110D7">
            <w:pPr>
              <w:widowControl w:val="0"/>
              <w:rPr>
                <w:sz w:val="20"/>
                <w:szCs w:val="20"/>
                <w:lang w:bidi="he-IL"/>
              </w:rPr>
            </w:pPr>
          </w:p>
        </w:tc>
        <w:tc>
          <w:tcPr>
            <w:tcW w:w="1484" w:type="dxa"/>
            <w:tcBorders>
              <w:left w:val="single" w:sz="18" w:space="0" w:color="auto"/>
              <w:bottom w:val="single" w:sz="4" w:space="0" w:color="auto"/>
            </w:tcBorders>
            <w:shd w:val="clear" w:color="auto" w:fill="auto"/>
            <w:vAlign w:val="center"/>
          </w:tcPr>
          <w:p w14:paraId="1222C40B" w14:textId="77777777" w:rsidR="00FC1F24" w:rsidRPr="00F56C32" w:rsidRDefault="00FC1F24" w:rsidP="009110D7">
            <w:pPr>
              <w:jc w:val="center"/>
              <w:rPr>
                <w:color w:val="000000"/>
                <w:sz w:val="20"/>
                <w:szCs w:val="20"/>
              </w:rPr>
            </w:pPr>
            <w:r w:rsidRPr="00F56C32">
              <w:rPr>
                <w:color w:val="000000"/>
                <w:sz w:val="20"/>
                <w:szCs w:val="20"/>
              </w:rPr>
              <w:t>(1)</w:t>
            </w:r>
          </w:p>
        </w:tc>
        <w:tc>
          <w:tcPr>
            <w:tcW w:w="1485" w:type="dxa"/>
            <w:tcBorders>
              <w:bottom w:val="single" w:sz="4" w:space="0" w:color="auto"/>
              <w:right w:val="single" w:sz="12" w:space="0" w:color="auto"/>
            </w:tcBorders>
            <w:shd w:val="clear" w:color="auto" w:fill="auto"/>
            <w:vAlign w:val="center"/>
          </w:tcPr>
          <w:p w14:paraId="5AC78215" w14:textId="77777777" w:rsidR="00FC1F24" w:rsidRPr="00F56C32" w:rsidRDefault="00FC1F24" w:rsidP="009110D7">
            <w:pPr>
              <w:jc w:val="center"/>
              <w:rPr>
                <w:color w:val="000000"/>
                <w:sz w:val="20"/>
                <w:szCs w:val="20"/>
              </w:rPr>
            </w:pPr>
            <w:r w:rsidRPr="00F56C32">
              <w:rPr>
                <w:color w:val="000000"/>
                <w:sz w:val="20"/>
                <w:szCs w:val="20"/>
              </w:rPr>
              <w:t>(2)</w:t>
            </w:r>
          </w:p>
        </w:tc>
        <w:tc>
          <w:tcPr>
            <w:tcW w:w="1485" w:type="dxa"/>
            <w:tcBorders>
              <w:left w:val="single" w:sz="18" w:space="0" w:color="auto"/>
              <w:bottom w:val="single" w:sz="4" w:space="0" w:color="auto"/>
            </w:tcBorders>
          </w:tcPr>
          <w:p w14:paraId="32D6404A" w14:textId="77777777" w:rsidR="00FC1F24" w:rsidRPr="00F56C32" w:rsidRDefault="00FC1F24" w:rsidP="009110D7">
            <w:pPr>
              <w:jc w:val="center"/>
              <w:rPr>
                <w:color w:val="000000"/>
                <w:sz w:val="20"/>
                <w:szCs w:val="20"/>
              </w:rPr>
            </w:pPr>
            <w:r w:rsidRPr="00F56C32">
              <w:rPr>
                <w:color w:val="000000"/>
                <w:sz w:val="20"/>
                <w:szCs w:val="20"/>
              </w:rPr>
              <w:t>(3)</w:t>
            </w:r>
          </w:p>
        </w:tc>
        <w:tc>
          <w:tcPr>
            <w:tcW w:w="1485" w:type="dxa"/>
            <w:tcBorders>
              <w:bottom w:val="single" w:sz="4" w:space="0" w:color="auto"/>
              <w:right w:val="single" w:sz="12" w:space="0" w:color="auto"/>
            </w:tcBorders>
          </w:tcPr>
          <w:p w14:paraId="606D167F" w14:textId="77777777" w:rsidR="00FC1F24" w:rsidRPr="00F56C32" w:rsidRDefault="00FC1F24" w:rsidP="009110D7">
            <w:pPr>
              <w:jc w:val="center"/>
              <w:rPr>
                <w:color w:val="000000"/>
                <w:sz w:val="20"/>
                <w:szCs w:val="20"/>
              </w:rPr>
            </w:pPr>
            <w:r w:rsidRPr="00F56C32">
              <w:rPr>
                <w:color w:val="000000"/>
                <w:sz w:val="20"/>
                <w:szCs w:val="20"/>
              </w:rPr>
              <w:t>(4)</w:t>
            </w:r>
          </w:p>
        </w:tc>
        <w:tc>
          <w:tcPr>
            <w:tcW w:w="1485" w:type="dxa"/>
            <w:tcBorders>
              <w:left w:val="single" w:sz="12" w:space="0" w:color="auto"/>
            </w:tcBorders>
          </w:tcPr>
          <w:p w14:paraId="5404E824" w14:textId="77777777" w:rsidR="00FC1F24" w:rsidRPr="00F56C32" w:rsidRDefault="00FC1F24" w:rsidP="009110D7">
            <w:pPr>
              <w:jc w:val="center"/>
              <w:rPr>
                <w:color w:val="000000"/>
                <w:sz w:val="20"/>
                <w:szCs w:val="20"/>
              </w:rPr>
            </w:pPr>
            <w:r w:rsidRPr="00F56C32">
              <w:rPr>
                <w:color w:val="000000"/>
                <w:sz w:val="20"/>
                <w:szCs w:val="20"/>
              </w:rPr>
              <w:t>(5)</w:t>
            </w:r>
          </w:p>
        </w:tc>
        <w:tc>
          <w:tcPr>
            <w:tcW w:w="1486" w:type="dxa"/>
            <w:tcBorders>
              <w:right w:val="single" w:sz="12" w:space="0" w:color="auto"/>
            </w:tcBorders>
          </w:tcPr>
          <w:p w14:paraId="5B4A9D65" w14:textId="77777777" w:rsidR="00FC1F24" w:rsidRPr="00F56C32" w:rsidRDefault="00FC1F24" w:rsidP="009110D7">
            <w:pPr>
              <w:jc w:val="center"/>
              <w:rPr>
                <w:color w:val="000000"/>
                <w:sz w:val="20"/>
                <w:szCs w:val="20"/>
              </w:rPr>
            </w:pPr>
            <w:r w:rsidRPr="00F56C32">
              <w:rPr>
                <w:color w:val="000000"/>
                <w:sz w:val="20"/>
                <w:szCs w:val="20"/>
              </w:rPr>
              <w:t>(6)</w:t>
            </w:r>
          </w:p>
        </w:tc>
      </w:tr>
      <w:tr w:rsidR="00FC1F24" w:rsidRPr="00F56C32" w14:paraId="5D2B336A" w14:textId="77777777" w:rsidTr="009110D7">
        <w:tc>
          <w:tcPr>
            <w:tcW w:w="2065" w:type="dxa"/>
            <w:vMerge/>
            <w:tcBorders>
              <w:right w:val="single" w:sz="18" w:space="0" w:color="auto"/>
            </w:tcBorders>
            <w:shd w:val="clear" w:color="auto" w:fill="auto"/>
            <w:vAlign w:val="center"/>
          </w:tcPr>
          <w:p w14:paraId="03CD1197" w14:textId="77777777" w:rsidR="00FC1F24" w:rsidRPr="00F56C32" w:rsidRDefault="00FC1F24" w:rsidP="009110D7">
            <w:pPr>
              <w:widowControl w:val="0"/>
              <w:rPr>
                <w:sz w:val="20"/>
                <w:szCs w:val="20"/>
                <w:lang w:bidi="he-IL"/>
              </w:rPr>
            </w:pPr>
          </w:p>
        </w:tc>
        <w:tc>
          <w:tcPr>
            <w:tcW w:w="1484" w:type="dxa"/>
            <w:tcBorders>
              <w:left w:val="single" w:sz="18" w:space="0" w:color="auto"/>
              <w:bottom w:val="single" w:sz="4" w:space="0" w:color="auto"/>
            </w:tcBorders>
            <w:shd w:val="clear" w:color="auto" w:fill="auto"/>
            <w:vAlign w:val="center"/>
          </w:tcPr>
          <w:p w14:paraId="6D287304" w14:textId="77777777" w:rsidR="00FC1F24" w:rsidRPr="00F56C32" w:rsidRDefault="00FC1F24" w:rsidP="009110D7">
            <w:pPr>
              <w:jc w:val="center"/>
              <w:rPr>
                <w:b/>
                <w:bCs/>
                <w:sz w:val="20"/>
                <w:szCs w:val="20"/>
                <w:lang w:bidi="he-IL"/>
              </w:rPr>
            </w:pPr>
            <w:r w:rsidRPr="00F56C32">
              <w:rPr>
                <w:b/>
                <w:bCs/>
                <w:sz w:val="20"/>
                <w:szCs w:val="20"/>
                <w:lang w:bidi="he-IL"/>
              </w:rPr>
              <w:t>Model  (3)</w:t>
            </w:r>
          </w:p>
        </w:tc>
        <w:tc>
          <w:tcPr>
            <w:tcW w:w="1485" w:type="dxa"/>
            <w:tcBorders>
              <w:bottom w:val="single" w:sz="4" w:space="0" w:color="auto"/>
              <w:right w:val="single" w:sz="12" w:space="0" w:color="auto"/>
            </w:tcBorders>
            <w:shd w:val="clear" w:color="auto" w:fill="auto"/>
            <w:vAlign w:val="center"/>
          </w:tcPr>
          <w:p w14:paraId="43D16441" w14:textId="77777777" w:rsidR="00FC1F24" w:rsidRPr="00F56C32" w:rsidRDefault="00FC1F24" w:rsidP="009110D7">
            <w:pPr>
              <w:jc w:val="center"/>
              <w:rPr>
                <w:b/>
                <w:bCs/>
                <w:sz w:val="20"/>
                <w:szCs w:val="20"/>
                <w:lang w:bidi="he-IL"/>
              </w:rPr>
            </w:pPr>
            <w:r w:rsidRPr="00F56C32">
              <w:rPr>
                <w:b/>
                <w:bCs/>
                <w:sz w:val="20"/>
                <w:szCs w:val="20"/>
                <w:lang w:bidi="he-IL"/>
              </w:rPr>
              <w:t>Model (A1)</w:t>
            </w:r>
          </w:p>
        </w:tc>
        <w:tc>
          <w:tcPr>
            <w:tcW w:w="1485" w:type="dxa"/>
            <w:tcBorders>
              <w:left w:val="single" w:sz="18" w:space="0" w:color="auto"/>
              <w:bottom w:val="single" w:sz="4" w:space="0" w:color="auto"/>
            </w:tcBorders>
            <w:vAlign w:val="center"/>
          </w:tcPr>
          <w:p w14:paraId="52FFD892" w14:textId="77777777" w:rsidR="00FC1F24" w:rsidRPr="00F56C32" w:rsidRDefault="00FC1F24" w:rsidP="009110D7">
            <w:pPr>
              <w:jc w:val="center"/>
              <w:rPr>
                <w:b/>
                <w:bCs/>
                <w:sz w:val="20"/>
                <w:szCs w:val="20"/>
                <w:lang w:bidi="he-IL"/>
              </w:rPr>
            </w:pPr>
            <w:r w:rsidRPr="00F56C32">
              <w:rPr>
                <w:b/>
                <w:bCs/>
                <w:sz w:val="20"/>
                <w:szCs w:val="20"/>
                <w:lang w:bidi="he-IL"/>
              </w:rPr>
              <w:t>Model  (3)</w:t>
            </w:r>
          </w:p>
        </w:tc>
        <w:tc>
          <w:tcPr>
            <w:tcW w:w="1485" w:type="dxa"/>
            <w:tcBorders>
              <w:bottom w:val="single" w:sz="4" w:space="0" w:color="auto"/>
              <w:right w:val="single" w:sz="12" w:space="0" w:color="auto"/>
            </w:tcBorders>
            <w:vAlign w:val="center"/>
          </w:tcPr>
          <w:p w14:paraId="3C243367" w14:textId="77777777" w:rsidR="00FC1F24" w:rsidRPr="00F56C32" w:rsidRDefault="00FC1F24" w:rsidP="009110D7">
            <w:pPr>
              <w:jc w:val="center"/>
              <w:rPr>
                <w:b/>
                <w:bCs/>
                <w:sz w:val="20"/>
                <w:szCs w:val="20"/>
                <w:lang w:bidi="he-IL"/>
              </w:rPr>
            </w:pPr>
            <w:r w:rsidRPr="00F56C32">
              <w:rPr>
                <w:b/>
                <w:bCs/>
                <w:sz w:val="20"/>
                <w:szCs w:val="20"/>
                <w:lang w:bidi="he-IL"/>
              </w:rPr>
              <w:t>Model (A1)</w:t>
            </w:r>
          </w:p>
        </w:tc>
        <w:tc>
          <w:tcPr>
            <w:tcW w:w="1485" w:type="dxa"/>
            <w:tcBorders>
              <w:left w:val="single" w:sz="12" w:space="0" w:color="auto"/>
              <w:bottom w:val="single" w:sz="4" w:space="0" w:color="auto"/>
            </w:tcBorders>
            <w:vAlign w:val="center"/>
          </w:tcPr>
          <w:p w14:paraId="53D4D281" w14:textId="77777777" w:rsidR="00FC1F24" w:rsidRPr="00F56C32" w:rsidRDefault="00FC1F24" w:rsidP="009110D7">
            <w:pPr>
              <w:jc w:val="center"/>
              <w:rPr>
                <w:b/>
                <w:bCs/>
                <w:sz w:val="20"/>
                <w:szCs w:val="20"/>
                <w:lang w:bidi="he-IL"/>
              </w:rPr>
            </w:pPr>
            <w:r w:rsidRPr="00F56C32">
              <w:rPr>
                <w:b/>
                <w:bCs/>
                <w:sz w:val="20"/>
                <w:szCs w:val="20"/>
                <w:lang w:bidi="he-IL"/>
              </w:rPr>
              <w:t>Model (5)</w:t>
            </w:r>
          </w:p>
        </w:tc>
        <w:tc>
          <w:tcPr>
            <w:tcW w:w="1486" w:type="dxa"/>
            <w:tcBorders>
              <w:bottom w:val="single" w:sz="4" w:space="0" w:color="auto"/>
              <w:right w:val="single" w:sz="12" w:space="0" w:color="auto"/>
            </w:tcBorders>
            <w:vAlign w:val="center"/>
          </w:tcPr>
          <w:p w14:paraId="269C81C5" w14:textId="77777777" w:rsidR="00FC1F24" w:rsidRPr="00F56C32" w:rsidRDefault="00FC1F24" w:rsidP="009110D7">
            <w:pPr>
              <w:jc w:val="center"/>
              <w:rPr>
                <w:b/>
                <w:bCs/>
                <w:sz w:val="20"/>
                <w:szCs w:val="20"/>
                <w:lang w:bidi="he-IL"/>
              </w:rPr>
            </w:pPr>
            <w:r w:rsidRPr="00F56C32">
              <w:rPr>
                <w:b/>
                <w:bCs/>
                <w:sz w:val="20"/>
                <w:szCs w:val="20"/>
                <w:lang w:bidi="he-IL"/>
              </w:rPr>
              <w:t>Model (A2)</w:t>
            </w:r>
          </w:p>
        </w:tc>
      </w:tr>
      <w:tr w:rsidR="00FC1F24" w:rsidRPr="00F56C32" w14:paraId="0A5C9E07" w14:textId="77777777" w:rsidTr="009110D7">
        <w:trPr>
          <w:trHeight w:val="20"/>
        </w:trPr>
        <w:tc>
          <w:tcPr>
            <w:tcW w:w="2065" w:type="dxa"/>
            <w:vMerge w:val="restart"/>
            <w:tcBorders>
              <w:right w:val="single" w:sz="18" w:space="0" w:color="auto"/>
            </w:tcBorders>
            <w:shd w:val="clear" w:color="auto" w:fill="auto"/>
            <w:vAlign w:val="center"/>
          </w:tcPr>
          <w:p w14:paraId="5D6042F9" w14:textId="77777777" w:rsidR="00FC1F24" w:rsidRPr="00F56C32" w:rsidRDefault="00FC1F24" w:rsidP="009110D7">
            <w:pPr>
              <w:widowControl w:val="0"/>
              <w:rPr>
                <w:sz w:val="20"/>
                <w:szCs w:val="20"/>
                <w:lang w:bidi="he-IL"/>
              </w:rPr>
            </w:pPr>
            <w:r w:rsidRPr="00F56C32">
              <w:rPr>
                <w:sz w:val="20"/>
                <w:szCs w:val="20"/>
                <w:lang w:bidi="he-IL"/>
              </w:rPr>
              <w:t xml:space="preserve">Intercept   </w:t>
            </w:r>
          </w:p>
        </w:tc>
        <w:tc>
          <w:tcPr>
            <w:tcW w:w="1484" w:type="dxa"/>
            <w:tcBorders>
              <w:left w:val="single" w:sz="18" w:space="0" w:color="auto"/>
              <w:bottom w:val="nil"/>
            </w:tcBorders>
            <w:shd w:val="clear" w:color="auto" w:fill="auto"/>
            <w:vAlign w:val="center"/>
          </w:tcPr>
          <w:p w14:paraId="50F61FA6" w14:textId="77777777" w:rsidR="00FC1F24" w:rsidRPr="00F56C32" w:rsidRDefault="00FC1F24" w:rsidP="009110D7">
            <w:pPr>
              <w:jc w:val="center"/>
              <w:rPr>
                <w:color w:val="000000"/>
                <w:sz w:val="20"/>
                <w:szCs w:val="20"/>
              </w:rPr>
            </w:pPr>
            <w:r w:rsidRPr="00F56C32">
              <w:rPr>
                <w:color w:val="000000"/>
                <w:sz w:val="20"/>
                <w:szCs w:val="20"/>
              </w:rPr>
              <w:t>-0.070</w:t>
            </w:r>
          </w:p>
        </w:tc>
        <w:tc>
          <w:tcPr>
            <w:tcW w:w="1485" w:type="dxa"/>
            <w:tcBorders>
              <w:bottom w:val="nil"/>
              <w:right w:val="single" w:sz="12" w:space="0" w:color="auto"/>
            </w:tcBorders>
            <w:shd w:val="clear" w:color="auto" w:fill="auto"/>
            <w:vAlign w:val="center"/>
          </w:tcPr>
          <w:p w14:paraId="0D29114E" w14:textId="77777777" w:rsidR="00FC1F24" w:rsidRPr="00F56C32" w:rsidRDefault="00FC1F24" w:rsidP="009110D7">
            <w:pPr>
              <w:jc w:val="center"/>
              <w:rPr>
                <w:color w:val="000000"/>
                <w:sz w:val="20"/>
                <w:szCs w:val="20"/>
              </w:rPr>
            </w:pPr>
            <w:r w:rsidRPr="00F56C32">
              <w:rPr>
                <w:color w:val="000000"/>
                <w:sz w:val="20"/>
                <w:szCs w:val="20"/>
              </w:rPr>
              <w:t>-0.030</w:t>
            </w:r>
          </w:p>
        </w:tc>
        <w:tc>
          <w:tcPr>
            <w:tcW w:w="1485" w:type="dxa"/>
            <w:tcBorders>
              <w:left w:val="single" w:sz="18" w:space="0" w:color="auto"/>
              <w:bottom w:val="nil"/>
            </w:tcBorders>
          </w:tcPr>
          <w:p w14:paraId="7B898352" w14:textId="77777777" w:rsidR="00FC1F24" w:rsidRPr="00F56C32" w:rsidRDefault="00FC1F24" w:rsidP="009110D7">
            <w:pPr>
              <w:tabs>
                <w:tab w:val="left" w:pos="252"/>
              </w:tabs>
              <w:rPr>
                <w:color w:val="000000"/>
                <w:sz w:val="20"/>
                <w:szCs w:val="20"/>
              </w:rPr>
            </w:pPr>
            <w:r w:rsidRPr="00F56C32">
              <w:rPr>
                <w:color w:val="000000"/>
                <w:sz w:val="20"/>
                <w:szCs w:val="20"/>
              </w:rPr>
              <w:tab/>
              <w:t>0.535</w:t>
            </w:r>
          </w:p>
        </w:tc>
        <w:tc>
          <w:tcPr>
            <w:tcW w:w="1485" w:type="dxa"/>
            <w:tcBorders>
              <w:bottom w:val="nil"/>
              <w:right w:val="single" w:sz="12" w:space="0" w:color="auto"/>
            </w:tcBorders>
          </w:tcPr>
          <w:p w14:paraId="657FE483" w14:textId="77777777" w:rsidR="00FC1F24" w:rsidRPr="00F56C32" w:rsidRDefault="00FC1F24" w:rsidP="009110D7">
            <w:pPr>
              <w:jc w:val="center"/>
              <w:rPr>
                <w:color w:val="000000"/>
                <w:sz w:val="20"/>
                <w:szCs w:val="20"/>
              </w:rPr>
            </w:pPr>
            <w:r w:rsidRPr="00F56C32">
              <w:rPr>
                <w:color w:val="000000"/>
                <w:sz w:val="20"/>
                <w:szCs w:val="20"/>
              </w:rPr>
              <w:t>0.527</w:t>
            </w:r>
          </w:p>
        </w:tc>
        <w:tc>
          <w:tcPr>
            <w:tcW w:w="1485" w:type="dxa"/>
            <w:tcBorders>
              <w:left w:val="single" w:sz="12" w:space="0" w:color="auto"/>
              <w:bottom w:val="nil"/>
            </w:tcBorders>
            <w:vAlign w:val="center"/>
          </w:tcPr>
          <w:p w14:paraId="766E5C04" w14:textId="77777777" w:rsidR="00FC1F24" w:rsidRPr="00F56C32" w:rsidRDefault="00FC1F24" w:rsidP="009110D7">
            <w:pPr>
              <w:jc w:val="center"/>
              <w:rPr>
                <w:color w:val="000000"/>
                <w:sz w:val="20"/>
                <w:szCs w:val="20"/>
              </w:rPr>
            </w:pPr>
            <w:r w:rsidRPr="00F56C32">
              <w:rPr>
                <w:color w:val="000000"/>
                <w:sz w:val="20"/>
                <w:szCs w:val="20"/>
              </w:rPr>
              <w:t>-0.079</w:t>
            </w:r>
          </w:p>
        </w:tc>
        <w:tc>
          <w:tcPr>
            <w:tcW w:w="1486" w:type="dxa"/>
            <w:tcBorders>
              <w:bottom w:val="nil"/>
              <w:right w:val="single" w:sz="12" w:space="0" w:color="auto"/>
            </w:tcBorders>
            <w:vAlign w:val="center"/>
          </w:tcPr>
          <w:p w14:paraId="02CCEAE9" w14:textId="77777777" w:rsidR="00FC1F24" w:rsidRPr="00F56C32" w:rsidRDefault="00FC1F24" w:rsidP="009110D7">
            <w:pPr>
              <w:jc w:val="center"/>
              <w:rPr>
                <w:color w:val="000000"/>
                <w:sz w:val="20"/>
                <w:szCs w:val="20"/>
              </w:rPr>
            </w:pPr>
            <w:r w:rsidRPr="00F56C32">
              <w:rPr>
                <w:color w:val="000000"/>
                <w:sz w:val="20"/>
                <w:szCs w:val="20"/>
              </w:rPr>
              <w:t>0.041</w:t>
            </w:r>
          </w:p>
        </w:tc>
      </w:tr>
      <w:tr w:rsidR="00FC1F24" w:rsidRPr="00F56C32" w14:paraId="4B457166" w14:textId="77777777" w:rsidTr="009110D7">
        <w:trPr>
          <w:trHeight w:val="20"/>
        </w:trPr>
        <w:tc>
          <w:tcPr>
            <w:tcW w:w="2065" w:type="dxa"/>
            <w:vMerge/>
            <w:tcBorders>
              <w:bottom w:val="single" w:sz="4" w:space="0" w:color="auto"/>
              <w:right w:val="single" w:sz="18" w:space="0" w:color="auto"/>
            </w:tcBorders>
            <w:shd w:val="clear" w:color="auto" w:fill="auto"/>
            <w:vAlign w:val="center"/>
          </w:tcPr>
          <w:p w14:paraId="1E271A8F" w14:textId="77777777" w:rsidR="00FC1F24" w:rsidRPr="00F56C32" w:rsidRDefault="00FC1F24" w:rsidP="009110D7">
            <w:pPr>
              <w:widowControl w:val="0"/>
              <w:rPr>
                <w:sz w:val="20"/>
                <w:szCs w:val="20"/>
                <w:lang w:bidi="he-IL"/>
              </w:rPr>
            </w:pPr>
          </w:p>
        </w:tc>
        <w:tc>
          <w:tcPr>
            <w:tcW w:w="1484" w:type="dxa"/>
            <w:tcBorders>
              <w:top w:val="nil"/>
              <w:left w:val="single" w:sz="18" w:space="0" w:color="auto"/>
              <w:bottom w:val="single" w:sz="4" w:space="0" w:color="auto"/>
            </w:tcBorders>
            <w:shd w:val="clear" w:color="auto" w:fill="auto"/>
            <w:vAlign w:val="center"/>
          </w:tcPr>
          <w:p w14:paraId="5D32AA44" w14:textId="77777777" w:rsidR="00FC1F24" w:rsidRPr="00F56C32" w:rsidRDefault="00FC1F24" w:rsidP="009110D7">
            <w:pPr>
              <w:jc w:val="center"/>
              <w:rPr>
                <w:color w:val="000000"/>
                <w:sz w:val="20"/>
                <w:szCs w:val="20"/>
              </w:rPr>
            </w:pPr>
            <w:r w:rsidRPr="00F56C32">
              <w:rPr>
                <w:color w:val="000000"/>
                <w:sz w:val="20"/>
                <w:szCs w:val="20"/>
              </w:rPr>
              <w:t>(-0.45)</w:t>
            </w:r>
          </w:p>
        </w:tc>
        <w:tc>
          <w:tcPr>
            <w:tcW w:w="1485" w:type="dxa"/>
            <w:tcBorders>
              <w:top w:val="nil"/>
              <w:bottom w:val="single" w:sz="4" w:space="0" w:color="auto"/>
              <w:right w:val="single" w:sz="12" w:space="0" w:color="auto"/>
            </w:tcBorders>
            <w:shd w:val="clear" w:color="auto" w:fill="auto"/>
            <w:vAlign w:val="center"/>
          </w:tcPr>
          <w:p w14:paraId="7BBAEAD9" w14:textId="77777777" w:rsidR="00FC1F24" w:rsidRPr="00F56C32" w:rsidRDefault="00FC1F24" w:rsidP="009110D7">
            <w:pPr>
              <w:jc w:val="center"/>
              <w:rPr>
                <w:color w:val="000000"/>
                <w:sz w:val="20"/>
                <w:szCs w:val="20"/>
              </w:rPr>
            </w:pPr>
            <w:r w:rsidRPr="00F56C32">
              <w:rPr>
                <w:color w:val="000000"/>
                <w:sz w:val="20"/>
                <w:szCs w:val="20"/>
              </w:rPr>
              <w:t>(-0.18)</w:t>
            </w:r>
          </w:p>
        </w:tc>
        <w:tc>
          <w:tcPr>
            <w:tcW w:w="1485" w:type="dxa"/>
            <w:tcBorders>
              <w:top w:val="nil"/>
              <w:left w:val="single" w:sz="18" w:space="0" w:color="auto"/>
              <w:bottom w:val="single" w:sz="4" w:space="0" w:color="auto"/>
            </w:tcBorders>
          </w:tcPr>
          <w:p w14:paraId="4CD07DD1" w14:textId="77777777" w:rsidR="00FC1F24" w:rsidRPr="00F56C32" w:rsidRDefault="00FC1F24" w:rsidP="009110D7">
            <w:pPr>
              <w:jc w:val="center"/>
              <w:rPr>
                <w:color w:val="000000"/>
                <w:sz w:val="20"/>
                <w:szCs w:val="20"/>
              </w:rPr>
            </w:pPr>
            <w:r w:rsidRPr="00F56C32">
              <w:rPr>
                <w:color w:val="000000"/>
                <w:sz w:val="20"/>
                <w:szCs w:val="20"/>
              </w:rPr>
              <w:t>(26.28)</w:t>
            </w:r>
            <w:r w:rsidRPr="00F56C32">
              <w:rPr>
                <w:color w:val="000000"/>
                <w:sz w:val="20"/>
                <w:szCs w:val="20"/>
                <w:vertAlign w:val="superscript"/>
              </w:rPr>
              <w:t>***</w:t>
            </w:r>
          </w:p>
        </w:tc>
        <w:tc>
          <w:tcPr>
            <w:tcW w:w="1485" w:type="dxa"/>
            <w:tcBorders>
              <w:top w:val="nil"/>
              <w:bottom w:val="single" w:sz="4" w:space="0" w:color="auto"/>
              <w:right w:val="single" w:sz="12" w:space="0" w:color="auto"/>
            </w:tcBorders>
          </w:tcPr>
          <w:p w14:paraId="7577A5D8" w14:textId="77777777" w:rsidR="00FC1F24" w:rsidRPr="00F56C32" w:rsidRDefault="00FC1F24" w:rsidP="009110D7">
            <w:pPr>
              <w:jc w:val="center"/>
              <w:rPr>
                <w:color w:val="000000"/>
                <w:sz w:val="20"/>
                <w:szCs w:val="20"/>
              </w:rPr>
            </w:pPr>
            <w:r w:rsidRPr="00F56C32">
              <w:rPr>
                <w:color w:val="000000"/>
                <w:sz w:val="20"/>
                <w:szCs w:val="20"/>
              </w:rPr>
              <w:t>(24.82)</w:t>
            </w:r>
            <w:r w:rsidRPr="00F56C32">
              <w:rPr>
                <w:color w:val="000000"/>
                <w:sz w:val="20"/>
                <w:szCs w:val="20"/>
                <w:vertAlign w:val="superscript"/>
              </w:rPr>
              <w:t>***</w:t>
            </w:r>
          </w:p>
        </w:tc>
        <w:tc>
          <w:tcPr>
            <w:tcW w:w="1485" w:type="dxa"/>
            <w:tcBorders>
              <w:top w:val="nil"/>
              <w:left w:val="single" w:sz="12" w:space="0" w:color="auto"/>
              <w:bottom w:val="single" w:sz="4" w:space="0" w:color="auto"/>
            </w:tcBorders>
            <w:vAlign w:val="center"/>
          </w:tcPr>
          <w:p w14:paraId="0A225764" w14:textId="77777777" w:rsidR="00FC1F24" w:rsidRPr="00F56C32" w:rsidRDefault="00FC1F24" w:rsidP="009110D7">
            <w:pPr>
              <w:jc w:val="center"/>
              <w:rPr>
                <w:color w:val="000000"/>
                <w:sz w:val="20"/>
                <w:szCs w:val="20"/>
              </w:rPr>
            </w:pPr>
            <w:r w:rsidRPr="00F56C32">
              <w:rPr>
                <w:color w:val="000000"/>
                <w:sz w:val="20"/>
                <w:szCs w:val="20"/>
              </w:rPr>
              <w:t>(-0.99)</w:t>
            </w:r>
          </w:p>
        </w:tc>
        <w:tc>
          <w:tcPr>
            <w:tcW w:w="1486" w:type="dxa"/>
            <w:tcBorders>
              <w:top w:val="nil"/>
              <w:bottom w:val="single" w:sz="4" w:space="0" w:color="auto"/>
              <w:right w:val="single" w:sz="12" w:space="0" w:color="auto"/>
            </w:tcBorders>
            <w:vAlign w:val="center"/>
          </w:tcPr>
          <w:p w14:paraId="627F5DFC" w14:textId="77777777" w:rsidR="00FC1F24" w:rsidRPr="00F56C32" w:rsidRDefault="00FC1F24" w:rsidP="009110D7">
            <w:pPr>
              <w:jc w:val="center"/>
              <w:rPr>
                <w:color w:val="000000"/>
                <w:sz w:val="20"/>
                <w:szCs w:val="20"/>
              </w:rPr>
            </w:pPr>
            <w:r w:rsidRPr="00F56C32">
              <w:rPr>
                <w:color w:val="000000"/>
                <w:sz w:val="20"/>
                <w:szCs w:val="20"/>
              </w:rPr>
              <w:t>(0.35)</w:t>
            </w:r>
          </w:p>
        </w:tc>
      </w:tr>
      <w:tr w:rsidR="00FC1F24" w:rsidRPr="00F56C32" w14:paraId="6C6F455F" w14:textId="77777777" w:rsidTr="009110D7">
        <w:trPr>
          <w:trHeight w:val="20"/>
        </w:trPr>
        <w:tc>
          <w:tcPr>
            <w:tcW w:w="2065" w:type="dxa"/>
            <w:vMerge w:val="restart"/>
            <w:tcBorders>
              <w:right w:val="single" w:sz="18" w:space="0" w:color="auto"/>
            </w:tcBorders>
            <w:shd w:val="clear" w:color="auto" w:fill="auto"/>
            <w:vAlign w:val="center"/>
          </w:tcPr>
          <w:p w14:paraId="421C42A0" w14:textId="77777777" w:rsidR="00FC1F24" w:rsidRPr="00F56C32" w:rsidRDefault="00FC1F24" w:rsidP="009110D7">
            <w:pPr>
              <w:widowControl w:val="0"/>
              <w:jc w:val="both"/>
              <w:rPr>
                <w:sz w:val="20"/>
                <w:szCs w:val="20"/>
                <w:lang w:bidi="he-IL"/>
              </w:rPr>
            </w:pPr>
            <w:r w:rsidRPr="00F56C32">
              <w:rPr>
                <w:sz w:val="20"/>
                <w:szCs w:val="20"/>
                <w:lang w:bidi="he-IL"/>
              </w:rPr>
              <w:t xml:space="preserve">PROB           </w:t>
            </w:r>
            <w:r w:rsidRPr="00F56C32">
              <w:rPr>
                <w:sz w:val="20"/>
                <w:szCs w:val="20"/>
                <w:lang w:bidi="he-IL"/>
              </w:rPr>
              <w:tab/>
              <w:t>(+)</w:t>
            </w:r>
          </w:p>
        </w:tc>
        <w:tc>
          <w:tcPr>
            <w:tcW w:w="1484" w:type="dxa"/>
            <w:tcBorders>
              <w:left w:val="single" w:sz="18" w:space="0" w:color="auto"/>
              <w:bottom w:val="nil"/>
            </w:tcBorders>
            <w:shd w:val="clear" w:color="auto" w:fill="auto"/>
            <w:vAlign w:val="center"/>
          </w:tcPr>
          <w:p w14:paraId="5134D588" w14:textId="77777777" w:rsidR="00FC1F24" w:rsidRPr="00F56C32" w:rsidRDefault="00FC1F24" w:rsidP="009110D7">
            <w:pPr>
              <w:jc w:val="center"/>
              <w:rPr>
                <w:color w:val="000000"/>
                <w:sz w:val="20"/>
                <w:szCs w:val="20"/>
              </w:rPr>
            </w:pPr>
            <w:r w:rsidRPr="00F56C32">
              <w:rPr>
                <w:color w:val="000000"/>
                <w:sz w:val="20"/>
                <w:szCs w:val="20"/>
              </w:rPr>
              <w:t>-0.246</w:t>
            </w:r>
          </w:p>
        </w:tc>
        <w:tc>
          <w:tcPr>
            <w:tcW w:w="1485" w:type="dxa"/>
            <w:tcBorders>
              <w:bottom w:val="nil"/>
              <w:right w:val="single" w:sz="12" w:space="0" w:color="auto"/>
            </w:tcBorders>
            <w:shd w:val="clear" w:color="auto" w:fill="auto"/>
            <w:vAlign w:val="center"/>
          </w:tcPr>
          <w:p w14:paraId="72F0A156" w14:textId="77777777" w:rsidR="00FC1F24" w:rsidRPr="00F56C32" w:rsidRDefault="00FC1F24" w:rsidP="009110D7">
            <w:pPr>
              <w:jc w:val="center"/>
              <w:rPr>
                <w:bCs/>
                <w:color w:val="000000"/>
                <w:sz w:val="20"/>
                <w:szCs w:val="20"/>
              </w:rPr>
            </w:pPr>
            <w:r w:rsidRPr="00F56C32">
              <w:rPr>
                <w:bCs/>
                <w:color w:val="000000"/>
                <w:sz w:val="20"/>
                <w:szCs w:val="20"/>
              </w:rPr>
              <w:t>2.014</w:t>
            </w:r>
          </w:p>
        </w:tc>
        <w:tc>
          <w:tcPr>
            <w:tcW w:w="1485" w:type="dxa"/>
            <w:tcBorders>
              <w:left w:val="single" w:sz="18" w:space="0" w:color="auto"/>
              <w:bottom w:val="nil"/>
            </w:tcBorders>
          </w:tcPr>
          <w:p w14:paraId="146A65C4" w14:textId="77777777" w:rsidR="00FC1F24" w:rsidRPr="00F56C32" w:rsidRDefault="00FC1F24" w:rsidP="009110D7">
            <w:pPr>
              <w:jc w:val="center"/>
              <w:rPr>
                <w:color w:val="000000"/>
                <w:sz w:val="20"/>
                <w:szCs w:val="20"/>
              </w:rPr>
            </w:pPr>
            <w:r w:rsidRPr="00F56C32">
              <w:rPr>
                <w:color w:val="000000"/>
                <w:sz w:val="20"/>
                <w:szCs w:val="20"/>
              </w:rPr>
              <w:t>0.029</w:t>
            </w:r>
          </w:p>
        </w:tc>
        <w:tc>
          <w:tcPr>
            <w:tcW w:w="1485" w:type="dxa"/>
            <w:tcBorders>
              <w:bottom w:val="nil"/>
              <w:right w:val="single" w:sz="12" w:space="0" w:color="auto"/>
            </w:tcBorders>
          </w:tcPr>
          <w:p w14:paraId="50CEDE0E" w14:textId="77777777" w:rsidR="00FC1F24" w:rsidRPr="00F56C32" w:rsidRDefault="00FC1F24" w:rsidP="009110D7">
            <w:pPr>
              <w:jc w:val="center"/>
              <w:rPr>
                <w:color w:val="000000"/>
                <w:sz w:val="20"/>
                <w:szCs w:val="20"/>
              </w:rPr>
            </w:pPr>
            <w:r w:rsidRPr="00F56C32">
              <w:rPr>
                <w:color w:val="000000"/>
                <w:sz w:val="20"/>
                <w:szCs w:val="20"/>
              </w:rPr>
              <w:t xml:space="preserve">0.029 </w:t>
            </w:r>
          </w:p>
        </w:tc>
        <w:tc>
          <w:tcPr>
            <w:tcW w:w="1485" w:type="dxa"/>
            <w:tcBorders>
              <w:left w:val="single" w:sz="12" w:space="0" w:color="auto"/>
              <w:bottom w:val="nil"/>
            </w:tcBorders>
            <w:vAlign w:val="center"/>
          </w:tcPr>
          <w:p w14:paraId="2B298E5D" w14:textId="77777777" w:rsidR="00FC1F24" w:rsidRPr="00F56C32" w:rsidRDefault="00FC1F24" w:rsidP="009110D7">
            <w:pPr>
              <w:jc w:val="center"/>
              <w:rPr>
                <w:color w:val="000000"/>
                <w:sz w:val="20"/>
                <w:szCs w:val="20"/>
              </w:rPr>
            </w:pPr>
            <w:r w:rsidRPr="00F56C32">
              <w:rPr>
                <w:color w:val="000000"/>
                <w:sz w:val="20"/>
                <w:szCs w:val="20"/>
              </w:rPr>
              <w:t>2.530</w:t>
            </w:r>
          </w:p>
        </w:tc>
        <w:tc>
          <w:tcPr>
            <w:tcW w:w="1486" w:type="dxa"/>
            <w:tcBorders>
              <w:bottom w:val="nil"/>
              <w:right w:val="single" w:sz="12" w:space="0" w:color="auto"/>
            </w:tcBorders>
            <w:vAlign w:val="center"/>
          </w:tcPr>
          <w:p w14:paraId="74474000" w14:textId="77777777" w:rsidR="00FC1F24" w:rsidRPr="00F56C32" w:rsidRDefault="00FC1F24" w:rsidP="009110D7">
            <w:pPr>
              <w:jc w:val="center"/>
              <w:rPr>
                <w:color w:val="000000"/>
                <w:sz w:val="20"/>
                <w:szCs w:val="20"/>
              </w:rPr>
            </w:pPr>
            <w:r w:rsidRPr="00F56C32">
              <w:rPr>
                <w:color w:val="000000"/>
                <w:sz w:val="20"/>
                <w:szCs w:val="20"/>
              </w:rPr>
              <w:t>3.319</w:t>
            </w:r>
          </w:p>
        </w:tc>
      </w:tr>
      <w:tr w:rsidR="00FC1F24" w:rsidRPr="00F56C32" w14:paraId="2860B555" w14:textId="77777777" w:rsidTr="009110D7">
        <w:trPr>
          <w:trHeight w:val="20"/>
        </w:trPr>
        <w:tc>
          <w:tcPr>
            <w:tcW w:w="2065" w:type="dxa"/>
            <w:vMerge/>
            <w:tcBorders>
              <w:bottom w:val="single" w:sz="4" w:space="0" w:color="auto"/>
              <w:right w:val="single" w:sz="18" w:space="0" w:color="auto"/>
            </w:tcBorders>
            <w:shd w:val="clear" w:color="auto" w:fill="auto"/>
            <w:vAlign w:val="center"/>
          </w:tcPr>
          <w:p w14:paraId="03C533A5" w14:textId="77777777" w:rsidR="00FC1F24" w:rsidRPr="00F56C32" w:rsidRDefault="00FC1F24" w:rsidP="009110D7">
            <w:pPr>
              <w:widowControl w:val="0"/>
              <w:rPr>
                <w:sz w:val="20"/>
                <w:szCs w:val="20"/>
                <w:lang w:bidi="he-IL"/>
              </w:rPr>
            </w:pPr>
          </w:p>
        </w:tc>
        <w:tc>
          <w:tcPr>
            <w:tcW w:w="1484" w:type="dxa"/>
            <w:tcBorders>
              <w:top w:val="nil"/>
              <w:left w:val="single" w:sz="18" w:space="0" w:color="auto"/>
              <w:bottom w:val="single" w:sz="4" w:space="0" w:color="auto"/>
            </w:tcBorders>
            <w:shd w:val="clear" w:color="auto" w:fill="auto"/>
            <w:vAlign w:val="center"/>
          </w:tcPr>
          <w:p w14:paraId="3F5AE43C" w14:textId="77777777" w:rsidR="00FC1F24" w:rsidRPr="00F56C32" w:rsidRDefault="00FC1F24" w:rsidP="009110D7">
            <w:pPr>
              <w:jc w:val="center"/>
              <w:rPr>
                <w:color w:val="000000"/>
                <w:sz w:val="20"/>
                <w:szCs w:val="20"/>
              </w:rPr>
            </w:pPr>
            <w:r w:rsidRPr="00F56C32">
              <w:rPr>
                <w:color w:val="000000"/>
                <w:sz w:val="20"/>
                <w:szCs w:val="20"/>
              </w:rPr>
              <w:t>(-0.32)</w:t>
            </w:r>
          </w:p>
        </w:tc>
        <w:tc>
          <w:tcPr>
            <w:tcW w:w="1485" w:type="dxa"/>
            <w:tcBorders>
              <w:top w:val="nil"/>
              <w:bottom w:val="single" w:sz="4" w:space="0" w:color="auto"/>
              <w:right w:val="single" w:sz="12" w:space="0" w:color="auto"/>
            </w:tcBorders>
            <w:shd w:val="clear" w:color="auto" w:fill="auto"/>
            <w:vAlign w:val="center"/>
          </w:tcPr>
          <w:p w14:paraId="1CF29A7B" w14:textId="77777777" w:rsidR="00FC1F24" w:rsidRPr="00F56C32" w:rsidRDefault="00FC1F24" w:rsidP="009110D7">
            <w:pPr>
              <w:jc w:val="center"/>
              <w:rPr>
                <w:color w:val="000000"/>
                <w:sz w:val="20"/>
                <w:szCs w:val="20"/>
              </w:rPr>
            </w:pPr>
            <w:r w:rsidRPr="00F56C32">
              <w:rPr>
                <w:color w:val="000000"/>
                <w:sz w:val="20"/>
                <w:szCs w:val="20"/>
              </w:rPr>
              <w:t>(2.48)</w:t>
            </w:r>
            <w:r w:rsidRPr="00F56C32">
              <w:rPr>
                <w:color w:val="000000"/>
                <w:sz w:val="20"/>
                <w:szCs w:val="20"/>
                <w:vertAlign w:val="superscript"/>
              </w:rPr>
              <w:t>**</w:t>
            </w:r>
          </w:p>
        </w:tc>
        <w:tc>
          <w:tcPr>
            <w:tcW w:w="1485" w:type="dxa"/>
            <w:tcBorders>
              <w:top w:val="nil"/>
              <w:left w:val="single" w:sz="18" w:space="0" w:color="auto"/>
              <w:bottom w:val="single" w:sz="4" w:space="0" w:color="auto"/>
            </w:tcBorders>
          </w:tcPr>
          <w:p w14:paraId="221D1B81" w14:textId="77777777" w:rsidR="00FC1F24" w:rsidRPr="00F56C32" w:rsidRDefault="00FC1F24" w:rsidP="009110D7">
            <w:pPr>
              <w:jc w:val="center"/>
              <w:rPr>
                <w:color w:val="000000"/>
                <w:sz w:val="20"/>
                <w:szCs w:val="20"/>
              </w:rPr>
            </w:pPr>
            <w:r w:rsidRPr="00F56C32">
              <w:rPr>
                <w:color w:val="000000"/>
                <w:sz w:val="20"/>
                <w:szCs w:val="20"/>
              </w:rPr>
              <w:t>(0.51)</w:t>
            </w:r>
          </w:p>
        </w:tc>
        <w:tc>
          <w:tcPr>
            <w:tcW w:w="1485" w:type="dxa"/>
            <w:tcBorders>
              <w:top w:val="nil"/>
              <w:bottom w:val="single" w:sz="4" w:space="0" w:color="auto"/>
              <w:right w:val="single" w:sz="12" w:space="0" w:color="auto"/>
            </w:tcBorders>
          </w:tcPr>
          <w:p w14:paraId="51B4EDE4" w14:textId="77777777" w:rsidR="00FC1F24" w:rsidRPr="00F56C32" w:rsidRDefault="00FC1F24" w:rsidP="009110D7">
            <w:pPr>
              <w:jc w:val="center"/>
              <w:rPr>
                <w:color w:val="000000"/>
                <w:sz w:val="20"/>
                <w:szCs w:val="20"/>
              </w:rPr>
            </w:pPr>
            <w:r w:rsidRPr="00F56C32">
              <w:rPr>
                <w:color w:val="000000"/>
                <w:sz w:val="20"/>
                <w:szCs w:val="20"/>
              </w:rPr>
              <w:t>(0.42)</w:t>
            </w:r>
          </w:p>
        </w:tc>
        <w:tc>
          <w:tcPr>
            <w:tcW w:w="1485" w:type="dxa"/>
            <w:tcBorders>
              <w:top w:val="nil"/>
              <w:left w:val="single" w:sz="12" w:space="0" w:color="auto"/>
              <w:bottom w:val="single" w:sz="4" w:space="0" w:color="auto"/>
            </w:tcBorders>
            <w:vAlign w:val="center"/>
          </w:tcPr>
          <w:p w14:paraId="25172F5A" w14:textId="77777777" w:rsidR="00FC1F24" w:rsidRPr="00F56C32" w:rsidRDefault="00FC1F24" w:rsidP="009110D7">
            <w:pPr>
              <w:jc w:val="center"/>
              <w:rPr>
                <w:color w:val="000000"/>
                <w:sz w:val="20"/>
                <w:szCs w:val="20"/>
              </w:rPr>
            </w:pPr>
            <w:r w:rsidRPr="00F56C32">
              <w:rPr>
                <w:color w:val="000000"/>
                <w:sz w:val="20"/>
                <w:szCs w:val="20"/>
              </w:rPr>
              <w:t>(4.63)</w:t>
            </w:r>
            <w:r w:rsidRPr="00F56C32">
              <w:rPr>
                <w:color w:val="000000"/>
                <w:sz w:val="20"/>
                <w:szCs w:val="20"/>
                <w:vertAlign w:val="superscript"/>
              </w:rPr>
              <w:t>***</w:t>
            </w:r>
          </w:p>
        </w:tc>
        <w:tc>
          <w:tcPr>
            <w:tcW w:w="1486" w:type="dxa"/>
            <w:tcBorders>
              <w:top w:val="nil"/>
              <w:bottom w:val="single" w:sz="4" w:space="0" w:color="auto"/>
              <w:right w:val="single" w:sz="12" w:space="0" w:color="auto"/>
            </w:tcBorders>
            <w:vAlign w:val="center"/>
          </w:tcPr>
          <w:p w14:paraId="05805C47" w14:textId="77777777" w:rsidR="00FC1F24" w:rsidRPr="00F56C32" w:rsidRDefault="00FC1F24" w:rsidP="009110D7">
            <w:pPr>
              <w:jc w:val="center"/>
              <w:rPr>
                <w:color w:val="000000"/>
                <w:sz w:val="20"/>
                <w:szCs w:val="20"/>
              </w:rPr>
            </w:pPr>
            <w:r w:rsidRPr="00F56C32">
              <w:rPr>
                <w:color w:val="000000"/>
                <w:sz w:val="20"/>
                <w:szCs w:val="20"/>
              </w:rPr>
              <w:t>(4.59)</w:t>
            </w:r>
            <w:r w:rsidRPr="00F56C32">
              <w:rPr>
                <w:color w:val="000000"/>
                <w:sz w:val="20"/>
                <w:szCs w:val="20"/>
                <w:vertAlign w:val="superscript"/>
              </w:rPr>
              <w:t>***</w:t>
            </w:r>
          </w:p>
        </w:tc>
      </w:tr>
      <w:tr w:rsidR="00FC1F24" w:rsidRPr="00F56C32" w14:paraId="6A3B1DB1" w14:textId="77777777" w:rsidTr="009110D7">
        <w:trPr>
          <w:trHeight w:val="20"/>
        </w:trPr>
        <w:tc>
          <w:tcPr>
            <w:tcW w:w="2065" w:type="dxa"/>
            <w:vMerge w:val="restart"/>
            <w:tcBorders>
              <w:right w:val="single" w:sz="18" w:space="0" w:color="auto"/>
            </w:tcBorders>
            <w:shd w:val="clear" w:color="auto" w:fill="auto"/>
            <w:vAlign w:val="center"/>
          </w:tcPr>
          <w:p w14:paraId="211957CC" w14:textId="77777777" w:rsidR="00FC1F24" w:rsidRPr="00F56C32" w:rsidRDefault="00FC1F24" w:rsidP="009110D7">
            <w:pPr>
              <w:widowControl w:val="0"/>
              <w:rPr>
                <w:sz w:val="20"/>
                <w:szCs w:val="20"/>
                <w:lang w:bidi="he-IL"/>
              </w:rPr>
            </w:pPr>
            <w:proofErr w:type="spellStart"/>
            <w:r w:rsidRPr="00F56C32">
              <w:rPr>
                <w:sz w:val="20"/>
                <w:szCs w:val="20"/>
                <w:lang w:bidi="he-IL"/>
              </w:rPr>
              <w:t>NegCFO</w:t>
            </w:r>
            <w:proofErr w:type="spellEnd"/>
            <w:r w:rsidRPr="00F56C32">
              <w:rPr>
                <w:sz w:val="20"/>
                <w:szCs w:val="20"/>
                <w:vertAlign w:val="superscript"/>
                <w:lang w:bidi="he-IL"/>
              </w:rPr>
              <w:t xml:space="preserve"> </w:t>
            </w:r>
            <w:r w:rsidRPr="00F56C32">
              <w:rPr>
                <w:sz w:val="22"/>
                <w:szCs w:val="22"/>
                <w:vertAlign w:val="superscript"/>
                <w:lang w:bidi="he-IL"/>
              </w:rPr>
              <w:t xml:space="preserve"> </w:t>
            </w:r>
            <w:r w:rsidRPr="00322C30">
              <w:rPr>
                <w:sz w:val="22"/>
                <w:szCs w:val="22"/>
                <w:vertAlign w:val="superscript"/>
                <w:lang w:bidi="he-IL"/>
              </w:rPr>
              <w:t>(c)</w:t>
            </w:r>
            <w:r w:rsidRPr="00F56C32">
              <w:rPr>
                <w:sz w:val="20"/>
                <w:szCs w:val="20"/>
                <w:vertAlign w:val="superscript"/>
                <w:lang w:bidi="he-IL"/>
              </w:rPr>
              <w:t xml:space="preserve">   </w:t>
            </w:r>
            <w:r w:rsidRPr="00F56C32">
              <w:rPr>
                <w:sz w:val="20"/>
                <w:szCs w:val="20"/>
                <w:vertAlign w:val="superscript"/>
                <w:lang w:bidi="he-IL"/>
              </w:rPr>
              <w:tab/>
            </w:r>
            <w:r w:rsidRPr="00F56C32">
              <w:rPr>
                <w:sz w:val="20"/>
                <w:szCs w:val="20"/>
                <w:lang w:bidi="he-IL"/>
              </w:rPr>
              <w:t>(+)</w:t>
            </w:r>
          </w:p>
        </w:tc>
        <w:tc>
          <w:tcPr>
            <w:tcW w:w="1484" w:type="dxa"/>
            <w:tcBorders>
              <w:left w:val="single" w:sz="18" w:space="0" w:color="auto"/>
              <w:bottom w:val="nil"/>
            </w:tcBorders>
            <w:shd w:val="clear" w:color="auto" w:fill="auto"/>
            <w:vAlign w:val="center"/>
          </w:tcPr>
          <w:p w14:paraId="6449DF62" w14:textId="77777777" w:rsidR="00FC1F24" w:rsidRPr="00F56C32" w:rsidRDefault="00FC1F24" w:rsidP="009110D7">
            <w:pPr>
              <w:jc w:val="center"/>
              <w:rPr>
                <w:color w:val="000000"/>
                <w:sz w:val="20"/>
                <w:szCs w:val="20"/>
              </w:rPr>
            </w:pPr>
            <w:r w:rsidRPr="00F56C32">
              <w:rPr>
                <w:color w:val="000000"/>
                <w:sz w:val="20"/>
                <w:szCs w:val="20"/>
              </w:rPr>
              <w:t>0.874</w:t>
            </w:r>
          </w:p>
        </w:tc>
        <w:tc>
          <w:tcPr>
            <w:tcW w:w="1485" w:type="dxa"/>
            <w:tcBorders>
              <w:bottom w:val="nil"/>
              <w:right w:val="single" w:sz="12" w:space="0" w:color="auto"/>
            </w:tcBorders>
            <w:shd w:val="clear" w:color="auto" w:fill="auto"/>
            <w:vAlign w:val="center"/>
          </w:tcPr>
          <w:p w14:paraId="010BAE3D" w14:textId="77777777" w:rsidR="00FC1F24" w:rsidRPr="00F56C32" w:rsidRDefault="00FC1F24" w:rsidP="009110D7">
            <w:pPr>
              <w:jc w:val="center"/>
              <w:rPr>
                <w:color w:val="000000"/>
                <w:sz w:val="20"/>
                <w:szCs w:val="20"/>
              </w:rPr>
            </w:pPr>
            <w:r w:rsidRPr="00F56C32">
              <w:rPr>
                <w:color w:val="000000"/>
                <w:sz w:val="20"/>
                <w:szCs w:val="20"/>
              </w:rPr>
              <w:t>0.078</w:t>
            </w:r>
          </w:p>
        </w:tc>
        <w:tc>
          <w:tcPr>
            <w:tcW w:w="1485" w:type="dxa"/>
            <w:tcBorders>
              <w:left w:val="single" w:sz="18" w:space="0" w:color="auto"/>
              <w:bottom w:val="nil"/>
            </w:tcBorders>
          </w:tcPr>
          <w:p w14:paraId="38280266" w14:textId="77777777" w:rsidR="00FC1F24" w:rsidRPr="00F56C32" w:rsidRDefault="00FC1F24" w:rsidP="009110D7">
            <w:pPr>
              <w:jc w:val="center"/>
              <w:rPr>
                <w:color w:val="000000"/>
                <w:sz w:val="20"/>
                <w:szCs w:val="20"/>
              </w:rPr>
            </w:pPr>
            <w:r w:rsidRPr="00F56C32">
              <w:rPr>
                <w:color w:val="000000"/>
                <w:sz w:val="20"/>
                <w:szCs w:val="20"/>
              </w:rPr>
              <w:t>-0.013</w:t>
            </w:r>
          </w:p>
        </w:tc>
        <w:tc>
          <w:tcPr>
            <w:tcW w:w="1485" w:type="dxa"/>
            <w:tcBorders>
              <w:bottom w:val="nil"/>
              <w:right w:val="single" w:sz="12" w:space="0" w:color="auto"/>
            </w:tcBorders>
          </w:tcPr>
          <w:p w14:paraId="71F0CB49" w14:textId="77777777" w:rsidR="00FC1F24" w:rsidRPr="00F56C32" w:rsidRDefault="00FC1F24" w:rsidP="009110D7">
            <w:pPr>
              <w:jc w:val="center"/>
              <w:rPr>
                <w:color w:val="000000"/>
                <w:sz w:val="20"/>
                <w:szCs w:val="20"/>
              </w:rPr>
            </w:pPr>
            <w:r w:rsidRPr="00F56C32">
              <w:rPr>
                <w:color w:val="000000"/>
                <w:sz w:val="20"/>
                <w:szCs w:val="20"/>
              </w:rPr>
              <w:t>-0.020</w:t>
            </w:r>
          </w:p>
        </w:tc>
        <w:tc>
          <w:tcPr>
            <w:tcW w:w="1485" w:type="dxa"/>
            <w:tcBorders>
              <w:left w:val="single" w:sz="12" w:space="0" w:color="auto"/>
              <w:bottom w:val="nil"/>
            </w:tcBorders>
            <w:vAlign w:val="center"/>
          </w:tcPr>
          <w:p w14:paraId="3DB398B8" w14:textId="77777777" w:rsidR="00FC1F24" w:rsidRPr="00F56C32" w:rsidRDefault="00FC1F24" w:rsidP="009110D7">
            <w:pPr>
              <w:jc w:val="center"/>
              <w:rPr>
                <w:color w:val="000000"/>
                <w:sz w:val="20"/>
                <w:szCs w:val="20"/>
              </w:rPr>
            </w:pPr>
            <w:r w:rsidRPr="00F56C32">
              <w:rPr>
                <w:color w:val="000000"/>
                <w:sz w:val="20"/>
                <w:szCs w:val="20"/>
              </w:rPr>
              <w:t>0.114</w:t>
            </w:r>
          </w:p>
        </w:tc>
        <w:tc>
          <w:tcPr>
            <w:tcW w:w="1486" w:type="dxa"/>
            <w:tcBorders>
              <w:bottom w:val="nil"/>
              <w:right w:val="single" w:sz="12" w:space="0" w:color="auto"/>
            </w:tcBorders>
            <w:vAlign w:val="center"/>
          </w:tcPr>
          <w:p w14:paraId="2DF6A595" w14:textId="77777777" w:rsidR="00FC1F24" w:rsidRPr="00F56C32" w:rsidRDefault="00FC1F24" w:rsidP="009110D7">
            <w:pPr>
              <w:jc w:val="center"/>
              <w:rPr>
                <w:color w:val="000000"/>
                <w:sz w:val="20"/>
                <w:szCs w:val="20"/>
              </w:rPr>
            </w:pPr>
            <w:r w:rsidRPr="00F56C32">
              <w:rPr>
                <w:color w:val="000000"/>
                <w:sz w:val="20"/>
                <w:szCs w:val="20"/>
              </w:rPr>
              <w:t>0.163</w:t>
            </w:r>
          </w:p>
        </w:tc>
      </w:tr>
      <w:tr w:rsidR="00FC1F24" w:rsidRPr="00F56C32" w14:paraId="4D673BD4" w14:textId="77777777" w:rsidTr="009110D7">
        <w:trPr>
          <w:trHeight w:val="20"/>
        </w:trPr>
        <w:tc>
          <w:tcPr>
            <w:tcW w:w="2065" w:type="dxa"/>
            <w:vMerge/>
            <w:tcBorders>
              <w:bottom w:val="single" w:sz="4" w:space="0" w:color="auto"/>
              <w:right w:val="single" w:sz="18" w:space="0" w:color="auto"/>
            </w:tcBorders>
            <w:shd w:val="clear" w:color="auto" w:fill="auto"/>
            <w:vAlign w:val="center"/>
          </w:tcPr>
          <w:p w14:paraId="78EF03F6" w14:textId="77777777" w:rsidR="00FC1F24" w:rsidRPr="00F56C32" w:rsidRDefault="00FC1F24" w:rsidP="009110D7">
            <w:pPr>
              <w:widowControl w:val="0"/>
              <w:rPr>
                <w:sz w:val="20"/>
                <w:szCs w:val="20"/>
                <w:lang w:bidi="he-IL"/>
              </w:rPr>
            </w:pPr>
          </w:p>
        </w:tc>
        <w:tc>
          <w:tcPr>
            <w:tcW w:w="1484" w:type="dxa"/>
            <w:tcBorders>
              <w:top w:val="nil"/>
              <w:left w:val="single" w:sz="18" w:space="0" w:color="auto"/>
              <w:bottom w:val="single" w:sz="4" w:space="0" w:color="auto"/>
            </w:tcBorders>
            <w:shd w:val="clear" w:color="auto" w:fill="auto"/>
            <w:vAlign w:val="center"/>
          </w:tcPr>
          <w:p w14:paraId="0477ED75" w14:textId="77777777" w:rsidR="00FC1F24" w:rsidRPr="00F56C32" w:rsidRDefault="00FC1F24" w:rsidP="009110D7">
            <w:pPr>
              <w:jc w:val="center"/>
              <w:rPr>
                <w:color w:val="000000"/>
                <w:sz w:val="20"/>
                <w:szCs w:val="20"/>
              </w:rPr>
            </w:pPr>
            <w:r w:rsidRPr="00F56C32">
              <w:rPr>
                <w:color w:val="000000"/>
                <w:sz w:val="20"/>
                <w:szCs w:val="20"/>
              </w:rPr>
              <w:t>(1.86)</w:t>
            </w:r>
            <w:r w:rsidRPr="00F56C32">
              <w:rPr>
                <w:color w:val="000000"/>
                <w:sz w:val="20"/>
                <w:szCs w:val="20"/>
                <w:vertAlign w:val="superscript"/>
              </w:rPr>
              <w:t>*</w:t>
            </w:r>
          </w:p>
        </w:tc>
        <w:tc>
          <w:tcPr>
            <w:tcW w:w="1485" w:type="dxa"/>
            <w:tcBorders>
              <w:top w:val="nil"/>
              <w:bottom w:val="single" w:sz="4" w:space="0" w:color="auto"/>
              <w:right w:val="single" w:sz="12" w:space="0" w:color="auto"/>
            </w:tcBorders>
            <w:shd w:val="clear" w:color="auto" w:fill="auto"/>
            <w:vAlign w:val="center"/>
          </w:tcPr>
          <w:p w14:paraId="07DD4300" w14:textId="77777777" w:rsidR="00FC1F24" w:rsidRPr="00F56C32" w:rsidRDefault="00FC1F24" w:rsidP="009110D7">
            <w:pPr>
              <w:jc w:val="center"/>
              <w:rPr>
                <w:color w:val="000000"/>
                <w:sz w:val="20"/>
                <w:szCs w:val="20"/>
              </w:rPr>
            </w:pPr>
            <w:r w:rsidRPr="00F56C32">
              <w:rPr>
                <w:color w:val="000000"/>
                <w:sz w:val="20"/>
                <w:szCs w:val="20"/>
              </w:rPr>
              <w:t>(0.16)</w:t>
            </w:r>
          </w:p>
        </w:tc>
        <w:tc>
          <w:tcPr>
            <w:tcW w:w="1485" w:type="dxa"/>
            <w:tcBorders>
              <w:top w:val="nil"/>
              <w:left w:val="single" w:sz="18" w:space="0" w:color="auto"/>
              <w:bottom w:val="single" w:sz="4" w:space="0" w:color="auto"/>
            </w:tcBorders>
          </w:tcPr>
          <w:p w14:paraId="4E6011E5" w14:textId="77777777" w:rsidR="00FC1F24" w:rsidRPr="00F56C32" w:rsidRDefault="00FC1F24" w:rsidP="009110D7">
            <w:pPr>
              <w:jc w:val="center"/>
              <w:rPr>
                <w:color w:val="000000"/>
                <w:sz w:val="20"/>
                <w:szCs w:val="20"/>
              </w:rPr>
            </w:pPr>
            <w:r w:rsidRPr="00F56C32">
              <w:rPr>
                <w:color w:val="000000"/>
                <w:sz w:val="20"/>
                <w:szCs w:val="20"/>
              </w:rPr>
              <w:t>(-0.90)</w:t>
            </w:r>
          </w:p>
        </w:tc>
        <w:tc>
          <w:tcPr>
            <w:tcW w:w="1485" w:type="dxa"/>
            <w:tcBorders>
              <w:top w:val="nil"/>
              <w:bottom w:val="single" w:sz="4" w:space="0" w:color="auto"/>
              <w:right w:val="single" w:sz="12" w:space="0" w:color="auto"/>
            </w:tcBorders>
          </w:tcPr>
          <w:p w14:paraId="569B4F30" w14:textId="77777777" w:rsidR="00FC1F24" w:rsidRPr="00F56C32" w:rsidRDefault="00FC1F24" w:rsidP="009110D7">
            <w:pPr>
              <w:jc w:val="center"/>
              <w:rPr>
                <w:color w:val="000000"/>
                <w:sz w:val="20"/>
                <w:szCs w:val="20"/>
              </w:rPr>
            </w:pPr>
            <w:r w:rsidRPr="00F56C32">
              <w:rPr>
                <w:color w:val="000000"/>
                <w:sz w:val="20"/>
                <w:szCs w:val="20"/>
              </w:rPr>
              <w:t>(-1.28)</w:t>
            </w:r>
          </w:p>
        </w:tc>
        <w:tc>
          <w:tcPr>
            <w:tcW w:w="1485" w:type="dxa"/>
            <w:tcBorders>
              <w:top w:val="nil"/>
              <w:left w:val="single" w:sz="12" w:space="0" w:color="auto"/>
              <w:bottom w:val="single" w:sz="4" w:space="0" w:color="auto"/>
            </w:tcBorders>
            <w:vAlign w:val="center"/>
          </w:tcPr>
          <w:p w14:paraId="1F39CBD7" w14:textId="77777777" w:rsidR="00FC1F24" w:rsidRPr="00F56C32" w:rsidRDefault="00FC1F24" w:rsidP="009110D7">
            <w:pPr>
              <w:jc w:val="center"/>
              <w:rPr>
                <w:color w:val="000000"/>
                <w:sz w:val="20"/>
                <w:szCs w:val="20"/>
              </w:rPr>
            </w:pPr>
            <w:r w:rsidRPr="00F56C32">
              <w:rPr>
                <w:color w:val="000000"/>
                <w:sz w:val="20"/>
                <w:szCs w:val="20"/>
              </w:rPr>
              <w:t>(1.14)</w:t>
            </w:r>
          </w:p>
        </w:tc>
        <w:tc>
          <w:tcPr>
            <w:tcW w:w="1486" w:type="dxa"/>
            <w:tcBorders>
              <w:top w:val="nil"/>
              <w:bottom w:val="single" w:sz="4" w:space="0" w:color="auto"/>
              <w:right w:val="single" w:sz="12" w:space="0" w:color="auto"/>
            </w:tcBorders>
            <w:vAlign w:val="center"/>
          </w:tcPr>
          <w:p w14:paraId="074DC410" w14:textId="77777777" w:rsidR="00FC1F24" w:rsidRPr="00F56C32" w:rsidRDefault="00FC1F24" w:rsidP="009110D7">
            <w:pPr>
              <w:jc w:val="center"/>
              <w:rPr>
                <w:color w:val="000000"/>
                <w:sz w:val="20"/>
                <w:szCs w:val="20"/>
              </w:rPr>
            </w:pPr>
            <w:r w:rsidRPr="00F56C32">
              <w:rPr>
                <w:color w:val="000000"/>
                <w:sz w:val="20"/>
                <w:szCs w:val="20"/>
              </w:rPr>
              <w:t>(1.43)</w:t>
            </w:r>
          </w:p>
        </w:tc>
      </w:tr>
      <w:tr w:rsidR="00FC1F24" w:rsidRPr="00F56C32" w14:paraId="6D65A911" w14:textId="77777777" w:rsidTr="009110D7">
        <w:trPr>
          <w:trHeight w:val="20"/>
        </w:trPr>
        <w:tc>
          <w:tcPr>
            <w:tcW w:w="2065" w:type="dxa"/>
            <w:vMerge w:val="restart"/>
            <w:tcBorders>
              <w:right w:val="single" w:sz="18" w:space="0" w:color="auto"/>
            </w:tcBorders>
            <w:shd w:val="clear" w:color="auto" w:fill="auto"/>
            <w:vAlign w:val="center"/>
          </w:tcPr>
          <w:p w14:paraId="0C6F1FB1" w14:textId="77777777" w:rsidR="00FC1F24" w:rsidRPr="00F56C32" w:rsidRDefault="00FC1F24" w:rsidP="009110D7">
            <w:pPr>
              <w:widowControl w:val="0"/>
              <w:rPr>
                <w:sz w:val="20"/>
                <w:szCs w:val="20"/>
                <w:lang w:bidi="he-IL"/>
              </w:rPr>
            </w:pPr>
            <w:r w:rsidRPr="00F56C32">
              <w:rPr>
                <w:sz w:val="20"/>
                <w:szCs w:val="20"/>
                <w:lang w:bidi="he-IL"/>
              </w:rPr>
              <w:t xml:space="preserve">CONSERV   </w:t>
            </w:r>
            <w:r w:rsidRPr="00F56C32">
              <w:rPr>
                <w:sz w:val="20"/>
                <w:szCs w:val="20"/>
                <w:lang w:bidi="he-IL"/>
              </w:rPr>
              <w:tab/>
              <w:t>(+)</w:t>
            </w:r>
          </w:p>
        </w:tc>
        <w:tc>
          <w:tcPr>
            <w:tcW w:w="1484" w:type="dxa"/>
            <w:tcBorders>
              <w:left w:val="single" w:sz="18" w:space="0" w:color="auto"/>
              <w:bottom w:val="nil"/>
            </w:tcBorders>
            <w:shd w:val="clear" w:color="auto" w:fill="auto"/>
            <w:vAlign w:val="center"/>
          </w:tcPr>
          <w:p w14:paraId="1E1F7D74" w14:textId="77777777" w:rsidR="00FC1F24" w:rsidRPr="00F56C32" w:rsidRDefault="00FC1F24" w:rsidP="009110D7">
            <w:pPr>
              <w:jc w:val="center"/>
              <w:rPr>
                <w:color w:val="000000"/>
                <w:sz w:val="20"/>
                <w:szCs w:val="20"/>
              </w:rPr>
            </w:pPr>
            <w:r w:rsidRPr="00F56C32">
              <w:rPr>
                <w:color w:val="000000"/>
                <w:sz w:val="20"/>
                <w:szCs w:val="20"/>
              </w:rPr>
              <w:t>0.225</w:t>
            </w:r>
          </w:p>
        </w:tc>
        <w:tc>
          <w:tcPr>
            <w:tcW w:w="1485" w:type="dxa"/>
            <w:tcBorders>
              <w:bottom w:val="nil"/>
              <w:right w:val="single" w:sz="12" w:space="0" w:color="auto"/>
            </w:tcBorders>
            <w:shd w:val="clear" w:color="auto" w:fill="auto"/>
            <w:vAlign w:val="center"/>
          </w:tcPr>
          <w:p w14:paraId="391C8ECD" w14:textId="77777777" w:rsidR="00FC1F24" w:rsidRPr="00F56C32" w:rsidRDefault="00FC1F24" w:rsidP="009110D7">
            <w:pPr>
              <w:jc w:val="center"/>
              <w:rPr>
                <w:color w:val="000000"/>
                <w:sz w:val="20"/>
                <w:szCs w:val="20"/>
              </w:rPr>
            </w:pPr>
            <w:r w:rsidRPr="00F56C32">
              <w:rPr>
                <w:color w:val="000000"/>
                <w:sz w:val="20"/>
                <w:szCs w:val="20"/>
              </w:rPr>
              <w:t>0.238</w:t>
            </w:r>
          </w:p>
        </w:tc>
        <w:tc>
          <w:tcPr>
            <w:tcW w:w="1485" w:type="dxa"/>
            <w:tcBorders>
              <w:left w:val="single" w:sz="18" w:space="0" w:color="auto"/>
              <w:bottom w:val="nil"/>
            </w:tcBorders>
          </w:tcPr>
          <w:p w14:paraId="179F2924" w14:textId="77777777" w:rsidR="00FC1F24" w:rsidRPr="00F56C32" w:rsidRDefault="00FC1F24" w:rsidP="009110D7">
            <w:pPr>
              <w:jc w:val="center"/>
              <w:rPr>
                <w:color w:val="000000"/>
                <w:sz w:val="20"/>
                <w:szCs w:val="20"/>
              </w:rPr>
            </w:pPr>
            <w:r w:rsidRPr="00F56C32">
              <w:rPr>
                <w:color w:val="000000"/>
                <w:sz w:val="20"/>
                <w:szCs w:val="20"/>
              </w:rPr>
              <w:t>0.001</w:t>
            </w:r>
          </w:p>
        </w:tc>
        <w:tc>
          <w:tcPr>
            <w:tcW w:w="1485" w:type="dxa"/>
            <w:tcBorders>
              <w:bottom w:val="nil"/>
              <w:right w:val="single" w:sz="12" w:space="0" w:color="auto"/>
            </w:tcBorders>
          </w:tcPr>
          <w:p w14:paraId="4FF9F550" w14:textId="77777777" w:rsidR="00FC1F24" w:rsidRPr="00F56C32" w:rsidRDefault="00FC1F24" w:rsidP="009110D7">
            <w:pPr>
              <w:jc w:val="center"/>
              <w:rPr>
                <w:color w:val="000000"/>
                <w:sz w:val="20"/>
                <w:szCs w:val="20"/>
              </w:rPr>
            </w:pPr>
            <w:r w:rsidRPr="00F56C32">
              <w:rPr>
                <w:color w:val="000000"/>
                <w:sz w:val="20"/>
                <w:szCs w:val="20"/>
              </w:rPr>
              <w:t>0.001</w:t>
            </w:r>
          </w:p>
        </w:tc>
        <w:tc>
          <w:tcPr>
            <w:tcW w:w="1485" w:type="dxa"/>
            <w:tcBorders>
              <w:left w:val="single" w:sz="12" w:space="0" w:color="auto"/>
              <w:bottom w:val="nil"/>
            </w:tcBorders>
            <w:vAlign w:val="center"/>
          </w:tcPr>
          <w:p w14:paraId="4344D07C" w14:textId="77777777" w:rsidR="00FC1F24" w:rsidRPr="00F56C32" w:rsidRDefault="00FC1F24" w:rsidP="009110D7">
            <w:pPr>
              <w:jc w:val="center"/>
              <w:rPr>
                <w:color w:val="000000"/>
                <w:sz w:val="20"/>
                <w:szCs w:val="20"/>
              </w:rPr>
            </w:pPr>
            <w:r w:rsidRPr="00F56C32">
              <w:rPr>
                <w:color w:val="000000"/>
                <w:sz w:val="20"/>
                <w:szCs w:val="20"/>
              </w:rPr>
              <w:t>0.014</w:t>
            </w:r>
          </w:p>
        </w:tc>
        <w:tc>
          <w:tcPr>
            <w:tcW w:w="1486" w:type="dxa"/>
            <w:tcBorders>
              <w:bottom w:val="nil"/>
              <w:right w:val="single" w:sz="12" w:space="0" w:color="auto"/>
            </w:tcBorders>
            <w:vAlign w:val="center"/>
          </w:tcPr>
          <w:p w14:paraId="41FEF765" w14:textId="77777777" w:rsidR="00FC1F24" w:rsidRPr="00F56C32" w:rsidRDefault="00FC1F24" w:rsidP="009110D7">
            <w:pPr>
              <w:jc w:val="center"/>
              <w:rPr>
                <w:color w:val="000000"/>
                <w:sz w:val="20"/>
                <w:szCs w:val="20"/>
              </w:rPr>
            </w:pPr>
            <w:r w:rsidRPr="00F56C32">
              <w:rPr>
                <w:color w:val="000000"/>
                <w:sz w:val="20"/>
                <w:szCs w:val="20"/>
              </w:rPr>
              <w:t>0.010</w:t>
            </w:r>
          </w:p>
        </w:tc>
      </w:tr>
      <w:tr w:rsidR="00FC1F24" w:rsidRPr="00F56C32" w14:paraId="399D74DA" w14:textId="77777777" w:rsidTr="009110D7">
        <w:trPr>
          <w:trHeight w:val="20"/>
        </w:trPr>
        <w:tc>
          <w:tcPr>
            <w:tcW w:w="2065" w:type="dxa"/>
            <w:vMerge/>
            <w:tcBorders>
              <w:bottom w:val="single" w:sz="4" w:space="0" w:color="auto"/>
              <w:right w:val="single" w:sz="18" w:space="0" w:color="auto"/>
            </w:tcBorders>
            <w:shd w:val="clear" w:color="auto" w:fill="auto"/>
            <w:vAlign w:val="center"/>
          </w:tcPr>
          <w:p w14:paraId="7013E709" w14:textId="77777777" w:rsidR="00FC1F24" w:rsidRPr="00F56C32" w:rsidRDefault="00FC1F24" w:rsidP="009110D7">
            <w:pPr>
              <w:widowControl w:val="0"/>
              <w:rPr>
                <w:sz w:val="20"/>
                <w:szCs w:val="20"/>
                <w:lang w:bidi="he-IL"/>
              </w:rPr>
            </w:pPr>
          </w:p>
        </w:tc>
        <w:tc>
          <w:tcPr>
            <w:tcW w:w="1484" w:type="dxa"/>
            <w:tcBorders>
              <w:top w:val="nil"/>
              <w:left w:val="single" w:sz="18" w:space="0" w:color="auto"/>
              <w:bottom w:val="single" w:sz="4" w:space="0" w:color="auto"/>
            </w:tcBorders>
            <w:shd w:val="clear" w:color="auto" w:fill="auto"/>
            <w:vAlign w:val="center"/>
          </w:tcPr>
          <w:p w14:paraId="469339D5" w14:textId="77777777" w:rsidR="00FC1F24" w:rsidRPr="00F56C32" w:rsidRDefault="00FC1F24" w:rsidP="009110D7">
            <w:pPr>
              <w:jc w:val="center"/>
              <w:rPr>
                <w:color w:val="000000"/>
                <w:sz w:val="20"/>
                <w:szCs w:val="20"/>
              </w:rPr>
            </w:pPr>
            <w:r w:rsidRPr="00F56C32">
              <w:rPr>
                <w:color w:val="000000"/>
                <w:sz w:val="20"/>
                <w:szCs w:val="20"/>
              </w:rPr>
              <w:t>(1.96)</w:t>
            </w:r>
            <w:r w:rsidRPr="00F56C32">
              <w:rPr>
                <w:color w:val="000000"/>
                <w:sz w:val="20"/>
                <w:szCs w:val="20"/>
                <w:vertAlign w:val="superscript"/>
              </w:rPr>
              <w:t>*</w:t>
            </w:r>
          </w:p>
        </w:tc>
        <w:tc>
          <w:tcPr>
            <w:tcW w:w="1485" w:type="dxa"/>
            <w:tcBorders>
              <w:top w:val="nil"/>
              <w:bottom w:val="single" w:sz="4" w:space="0" w:color="auto"/>
              <w:right w:val="single" w:sz="12" w:space="0" w:color="auto"/>
            </w:tcBorders>
            <w:shd w:val="clear" w:color="auto" w:fill="auto"/>
            <w:vAlign w:val="center"/>
          </w:tcPr>
          <w:p w14:paraId="191E7A12" w14:textId="77777777" w:rsidR="00FC1F24" w:rsidRPr="00F56C32" w:rsidRDefault="00FC1F24" w:rsidP="009110D7">
            <w:pPr>
              <w:jc w:val="center"/>
              <w:rPr>
                <w:color w:val="000000"/>
                <w:sz w:val="20"/>
                <w:szCs w:val="20"/>
              </w:rPr>
            </w:pPr>
            <w:r w:rsidRPr="00F56C32">
              <w:rPr>
                <w:color w:val="000000"/>
                <w:sz w:val="20"/>
                <w:szCs w:val="20"/>
              </w:rPr>
              <w:t>(1.98)</w:t>
            </w:r>
            <w:r w:rsidRPr="00F56C32">
              <w:rPr>
                <w:color w:val="000000"/>
                <w:sz w:val="20"/>
                <w:szCs w:val="20"/>
                <w:vertAlign w:val="superscript"/>
              </w:rPr>
              <w:t>*</w:t>
            </w:r>
          </w:p>
        </w:tc>
        <w:tc>
          <w:tcPr>
            <w:tcW w:w="1485" w:type="dxa"/>
            <w:tcBorders>
              <w:top w:val="nil"/>
              <w:left w:val="single" w:sz="18" w:space="0" w:color="auto"/>
              <w:bottom w:val="single" w:sz="4" w:space="0" w:color="auto"/>
            </w:tcBorders>
          </w:tcPr>
          <w:p w14:paraId="413DC846" w14:textId="77777777" w:rsidR="00FC1F24" w:rsidRPr="00F56C32" w:rsidRDefault="00FC1F24" w:rsidP="009110D7">
            <w:pPr>
              <w:jc w:val="center"/>
              <w:rPr>
                <w:color w:val="000000"/>
                <w:sz w:val="20"/>
                <w:szCs w:val="20"/>
              </w:rPr>
            </w:pPr>
            <w:r w:rsidRPr="00F56C32">
              <w:rPr>
                <w:color w:val="000000"/>
                <w:sz w:val="20"/>
                <w:szCs w:val="20"/>
              </w:rPr>
              <w:t>(1.31)</w:t>
            </w:r>
          </w:p>
        </w:tc>
        <w:tc>
          <w:tcPr>
            <w:tcW w:w="1485" w:type="dxa"/>
            <w:tcBorders>
              <w:top w:val="nil"/>
              <w:bottom w:val="single" w:sz="4" w:space="0" w:color="auto"/>
              <w:right w:val="single" w:sz="12" w:space="0" w:color="auto"/>
            </w:tcBorders>
          </w:tcPr>
          <w:p w14:paraId="7A39070F" w14:textId="77777777" w:rsidR="00FC1F24" w:rsidRPr="00F56C32" w:rsidRDefault="00FC1F24" w:rsidP="009110D7">
            <w:pPr>
              <w:jc w:val="center"/>
              <w:rPr>
                <w:color w:val="000000"/>
                <w:sz w:val="20"/>
                <w:szCs w:val="20"/>
              </w:rPr>
            </w:pPr>
            <w:r w:rsidRPr="00F56C32">
              <w:rPr>
                <w:color w:val="000000"/>
                <w:sz w:val="20"/>
                <w:szCs w:val="20"/>
              </w:rPr>
              <w:t>(1.88)</w:t>
            </w:r>
            <w:r w:rsidRPr="00F56C32">
              <w:rPr>
                <w:color w:val="000000"/>
                <w:sz w:val="20"/>
                <w:szCs w:val="20"/>
                <w:vertAlign w:val="superscript"/>
              </w:rPr>
              <w:t>*</w:t>
            </w:r>
          </w:p>
        </w:tc>
        <w:tc>
          <w:tcPr>
            <w:tcW w:w="1485" w:type="dxa"/>
            <w:tcBorders>
              <w:top w:val="nil"/>
              <w:left w:val="single" w:sz="12" w:space="0" w:color="auto"/>
              <w:bottom w:val="single" w:sz="4" w:space="0" w:color="auto"/>
            </w:tcBorders>
            <w:vAlign w:val="center"/>
          </w:tcPr>
          <w:p w14:paraId="78D0BE49" w14:textId="77777777" w:rsidR="00FC1F24" w:rsidRPr="00F56C32" w:rsidRDefault="00FC1F24" w:rsidP="009110D7">
            <w:pPr>
              <w:jc w:val="center"/>
              <w:rPr>
                <w:color w:val="000000"/>
                <w:sz w:val="20"/>
                <w:szCs w:val="20"/>
              </w:rPr>
            </w:pPr>
            <w:r w:rsidRPr="00F56C32">
              <w:rPr>
                <w:color w:val="000000"/>
                <w:sz w:val="20"/>
                <w:szCs w:val="20"/>
              </w:rPr>
              <w:t>(0.71)</w:t>
            </w:r>
          </w:p>
        </w:tc>
        <w:tc>
          <w:tcPr>
            <w:tcW w:w="1486" w:type="dxa"/>
            <w:tcBorders>
              <w:top w:val="nil"/>
              <w:bottom w:val="single" w:sz="4" w:space="0" w:color="auto"/>
              <w:right w:val="single" w:sz="12" w:space="0" w:color="auto"/>
            </w:tcBorders>
            <w:vAlign w:val="center"/>
          </w:tcPr>
          <w:p w14:paraId="7B20EFD3" w14:textId="77777777" w:rsidR="00FC1F24" w:rsidRPr="00F56C32" w:rsidRDefault="00FC1F24" w:rsidP="009110D7">
            <w:pPr>
              <w:jc w:val="center"/>
              <w:rPr>
                <w:color w:val="000000"/>
                <w:sz w:val="20"/>
                <w:szCs w:val="20"/>
              </w:rPr>
            </w:pPr>
            <w:r w:rsidRPr="00F56C32">
              <w:rPr>
                <w:color w:val="000000"/>
                <w:sz w:val="20"/>
                <w:szCs w:val="20"/>
              </w:rPr>
              <w:t>(0.59)</w:t>
            </w:r>
          </w:p>
        </w:tc>
      </w:tr>
      <w:tr w:rsidR="00FC1F24" w:rsidRPr="00F56C32" w14:paraId="35D6BBFE" w14:textId="77777777" w:rsidTr="009110D7">
        <w:trPr>
          <w:trHeight w:val="20"/>
        </w:trPr>
        <w:tc>
          <w:tcPr>
            <w:tcW w:w="2065" w:type="dxa"/>
            <w:vMerge w:val="restart"/>
            <w:tcBorders>
              <w:right w:val="single" w:sz="18" w:space="0" w:color="auto"/>
            </w:tcBorders>
            <w:shd w:val="clear" w:color="auto" w:fill="auto"/>
            <w:vAlign w:val="center"/>
          </w:tcPr>
          <w:p w14:paraId="6898AB21" w14:textId="77777777" w:rsidR="00FC1F24" w:rsidRPr="00F56C32" w:rsidRDefault="00FC1F24" w:rsidP="009110D7">
            <w:pPr>
              <w:widowControl w:val="0"/>
              <w:rPr>
                <w:sz w:val="20"/>
                <w:szCs w:val="20"/>
                <w:lang w:bidi="he-IL"/>
              </w:rPr>
            </w:pPr>
            <w:proofErr w:type="spellStart"/>
            <w:r w:rsidRPr="00F56C32">
              <w:rPr>
                <w:sz w:val="20"/>
                <w:szCs w:val="20"/>
                <w:lang w:bidi="he-IL"/>
              </w:rPr>
              <w:t>VRatio</w:t>
            </w:r>
            <w:proofErr w:type="spellEnd"/>
            <w:r w:rsidRPr="00F56C32">
              <w:rPr>
                <w:sz w:val="20"/>
                <w:szCs w:val="20"/>
                <w:lang w:bidi="he-IL"/>
              </w:rPr>
              <w:t xml:space="preserve">          </w:t>
            </w:r>
            <w:r w:rsidRPr="00F56C32">
              <w:rPr>
                <w:sz w:val="20"/>
                <w:szCs w:val="20"/>
                <w:lang w:bidi="he-IL"/>
              </w:rPr>
              <w:tab/>
              <w:t>(?)</w:t>
            </w:r>
          </w:p>
        </w:tc>
        <w:tc>
          <w:tcPr>
            <w:tcW w:w="1484" w:type="dxa"/>
            <w:tcBorders>
              <w:left w:val="single" w:sz="18" w:space="0" w:color="auto"/>
              <w:bottom w:val="nil"/>
            </w:tcBorders>
            <w:shd w:val="clear" w:color="auto" w:fill="auto"/>
            <w:vAlign w:val="center"/>
          </w:tcPr>
          <w:p w14:paraId="43EA0C52" w14:textId="77777777" w:rsidR="00FC1F24" w:rsidRPr="00F56C32" w:rsidRDefault="00FC1F24" w:rsidP="009110D7">
            <w:pPr>
              <w:jc w:val="center"/>
              <w:rPr>
                <w:color w:val="000000"/>
                <w:sz w:val="20"/>
                <w:szCs w:val="20"/>
              </w:rPr>
            </w:pPr>
            <w:r w:rsidRPr="00F56C32">
              <w:rPr>
                <w:color w:val="000000"/>
                <w:sz w:val="20"/>
                <w:szCs w:val="20"/>
              </w:rPr>
              <w:t>0.123</w:t>
            </w:r>
          </w:p>
        </w:tc>
        <w:tc>
          <w:tcPr>
            <w:tcW w:w="1485" w:type="dxa"/>
            <w:tcBorders>
              <w:bottom w:val="nil"/>
              <w:right w:val="single" w:sz="12" w:space="0" w:color="auto"/>
            </w:tcBorders>
            <w:shd w:val="clear" w:color="auto" w:fill="auto"/>
            <w:vAlign w:val="center"/>
          </w:tcPr>
          <w:p w14:paraId="04E77EE2" w14:textId="77777777" w:rsidR="00FC1F24" w:rsidRPr="00F56C32" w:rsidRDefault="00FC1F24" w:rsidP="009110D7">
            <w:pPr>
              <w:jc w:val="center"/>
              <w:rPr>
                <w:color w:val="000000"/>
                <w:sz w:val="20"/>
                <w:szCs w:val="20"/>
              </w:rPr>
            </w:pPr>
            <w:r w:rsidRPr="00F56C32">
              <w:rPr>
                <w:color w:val="000000"/>
                <w:sz w:val="20"/>
                <w:szCs w:val="20"/>
              </w:rPr>
              <w:t>0.103</w:t>
            </w:r>
          </w:p>
        </w:tc>
        <w:tc>
          <w:tcPr>
            <w:tcW w:w="1485" w:type="dxa"/>
            <w:tcBorders>
              <w:left w:val="single" w:sz="18" w:space="0" w:color="auto"/>
              <w:bottom w:val="nil"/>
            </w:tcBorders>
          </w:tcPr>
          <w:p w14:paraId="3FFB5674" w14:textId="77777777" w:rsidR="00FC1F24" w:rsidRPr="00F56C32" w:rsidRDefault="00FC1F24" w:rsidP="009110D7">
            <w:pPr>
              <w:jc w:val="center"/>
              <w:rPr>
                <w:color w:val="000000"/>
                <w:sz w:val="20"/>
                <w:szCs w:val="20"/>
              </w:rPr>
            </w:pPr>
            <w:r w:rsidRPr="00F56C32">
              <w:rPr>
                <w:color w:val="000000"/>
                <w:sz w:val="20"/>
                <w:szCs w:val="20"/>
              </w:rPr>
              <w:t>0.000</w:t>
            </w:r>
          </w:p>
        </w:tc>
        <w:tc>
          <w:tcPr>
            <w:tcW w:w="1485" w:type="dxa"/>
            <w:tcBorders>
              <w:bottom w:val="nil"/>
              <w:right w:val="single" w:sz="12" w:space="0" w:color="auto"/>
            </w:tcBorders>
          </w:tcPr>
          <w:p w14:paraId="28307C61" w14:textId="77777777" w:rsidR="00FC1F24" w:rsidRPr="00F56C32" w:rsidRDefault="00FC1F24" w:rsidP="009110D7">
            <w:pPr>
              <w:jc w:val="center"/>
              <w:rPr>
                <w:color w:val="000000"/>
                <w:sz w:val="20"/>
                <w:szCs w:val="20"/>
              </w:rPr>
            </w:pPr>
            <w:r w:rsidRPr="00F56C32">
              <w:rPr>
                <w:color w:val="000000"/>
                <w:sz w:val="20"/>
                <w:szCs w:val="20"/>
              </w:rPr>
              <w:t>-0.001</w:t>
            </w:r>
          </w:p>
        </w:tc>
        <w:tc>
          <w:tcPr>
            <w:tcW w:w="1485" w:type="dxa"/>
            <w:tcBorders>
              <w:left w:val="single" w:sz="12" w:space="0" w:color="auto"/>
              <w:bottom w:val="nil"/>
            </w:tcBorders>
            <w:vAlign w:val="center"/>
          </w:tcPr>
          <w:p w14:paraId="67205FB7" w14:textId="77777777" w:rsidR="00FC1F24" w:rsidRPr="00F56C32" w:rsidRDefault="00FC1F24" w:rsidP="009110D7">
            <w:pPr>
              <w:jc w:val="center"/>
              <w:rPr>
                <w:color w:val="000000"/>
                <w:sz w:val="20"/>
                <w:szCs w:val="20"/>
              </w:rPr>
            </w:pPr>
            <w:r w:rsidRPr="00F56C32">
              <w:rPr>
                <w:color w:val="000000"/>
                <w:sz w:val="20"/>
                <w:szCs w:val="20"/>
              </w:rPr>
              <w:t>0.027</w:t>
            </w:r>
          </w:p>
        </w:tc>
        <w:tc>
          <w:tcPr>
            <w:tcW w:w="1486" w:type="dxa"/>
            <w:tcBorders>
              <w:bottom w:val="nil"/>
              <w:right w:val="single" w:sz="12" w:space="0" w:color="auto"/>
            </w:tcBorders>
            <w:vAlign w:val="center"/>
          </w:tcPr>
          <w:p w14:paraId="6004DE73" w14:textId="77777777" w:rsidR="00FC1F24" w:rsidRPr="00F56C32" w:rsidRDefault="00FC1F24" w:rsidP="009110D7">
            <w:pPr>
              <w:jc w:val="center"/>
              <w:rPr>
                <w:color w:val="000000"/>
                <w:sz w:val="20"/>
                <w:szCs w:val="20"/>
              </w:rPr>
            </w:pPr>
            <w:r w:rsidRPr="00F56C32">
              <w:rPr>
                <w:color w:val="000000"/>
                <w:sz w:val="20"/>
                <w:szCs w:val="20"/>
              </w:rPr>
              <w:t>0.013</w:t>
            </w:r>
          </w:p>
        </w:tc>
      </w:tr>
      <w:tr w:rsidR="00FC1F24" w:rsidRPr="00F56C32" w14:paraId="4E284F85" w14:textId="77777777" w:rsidTr="009110D7">
        <w:trPr>
          <w:trHeight w:val="20"/>
        </w:trPr>
        <w:tc>
          <w:tcPr>
            <w:tcW w:w="2065" w:type="dxa"/>
            <w:vMerge/>
            <w:tcBorders>
              <w:bottom w:val="single" w:sz="4" w:space="0" w:color="auto"/>
              <w:right w:val="single" w:sz="18" w:space="0" w:color="auto"/>
            </w:tcBorders>
            <w:shd w:val="clear" w:color="auto" w:fill="auto"/>
            <w:vAlign w:val="center"/>
          </w:tcPr>
          <w:p w14:paraId="09F6CD6D" w14:textId="77777777" w:rsidR="00FC1F24" w:rsidRPr="00F56C32" w:rsidRDefault="00FC1F24" w:rsidP="009110D7">
            <w:pPr>
              <w:widowControl w:val="0"/>
              <w:rPr>
                <w:sz w:val="20"/>
                <w:szCs w:val="20"/>
                <w:lang w:bidi="he-IL"/>
              </w:rPr>
            </w:pPr>
          </w:p>
        </w:tc>
        <w:tc>
          <w:tcPr>
            <w:tcW w:w="1484" w:type="dxa"/>
            <w:tcBorders>
              <w:top w:val="nil"/>
              <w:left w:val="single" w:sz="18" w:space="0" w:color="auto"/>
              <w:bottom w:val="single" w:sz="4" w:space="0" w:color="auto"/>
            </w:tcBorders>
            <w:shd w:val="clear" w:color="auto" w:fill="auto"/>
            <w:vAlign w:val="center"/>
          </w:tcPr>
          <w:p w14:paraId="5C339361" w14:textId="77777777" w:rsidR="00FC1F24" w:rsidRPr="00F56C32" w:rsidRDefault="00FC1F24" w:rsidP="009110D7">
            <w:pPr>
              <w:jc w:val="center"/>
              <w:rPr>
                <w:color w:val="000000"/>
                <w:sz w:val="20"/>
                <w:szCs w:val="20"/>
              </w:rPr>
            </w:pPr>
            <w:r w:rsidRPr="00F56C32">
              <w:rPr>
                <w:color w:val="000000"/>
                <w:sz w:val="20"/>
                <w:szCs w:val="20"/>
              </w:rPr>
              <w:t>(2.19)</w:t>
            </w:r>
            <w:r w:rsidRPr="00F56C32">
              <w:rPr>
                <w:color w:val="000000"/>
                <w:sz w:val="20"/>
                <w:szCs w:val="20"/>
                <w:vertAlign w:val="superscript"/>
              </w:rPr>
              <w:t>**</w:t>
            </w:r>
          </w:p>
        </w:tc>
        <w:tc>
          <w:tcPr>
            <w:tcW w:w="1485" w:type="dxa"/>
            <w:tcBorders>
              <w:top w:val="nil"/>
              <w:bottom w:val="single" w:sz="4" w:space="0" w:color="auto"/>
              <w:right w:val="single" w:sz="12" w:space="0" w:color="auto"/>
            </w:tcBorders>
            <w:shd w:val="clear" w:color="auto" w:fill="auto"/>
            <w:vAlign w:val="center"/>
          </w:tcPr>
          <w:p w14:paraId="41A9E6B3" w14:textId="77777777" w:rsidR="00FC1F24" w:rsidRPr="00F56C32" w:rsidRDefault="00FC1F24" w:rsidP="009110D7">
            <w:pPr>
              <w:jc w:val="center"/>
              <w:rPr>
                <w:color w:val="000000"/>
                <w:sz w:val="20"/>
                <w:szCs w:val="20"/>
              </w:rPr>
            </w:pPr>
            <w:r w:rsidRPr="00F56C32">
              <w:rPr>
                <w:color w:val="000000"/>
                <w:sz w:val="20"/>
                <w:szCs w:val="20"/>
              </w:rPr>
              <w:t>(1.75)</w:t>
            </w:r>
            <w:r w:rsidRPr="00F56C32">
              <w:rPr>
                <w:color w:val="000000"/>
                <w:sz w:val="20"/>
                <w:szCs w:val="20"/>
                <w:vertAlign w:val="superscript"/>
              </w:rPr>
              <w:t>*</w:t>
            </w:r>
          </w:p>
        </w:tc>
        <w:tc>
          <w:tcPr>
            <w:tcW w:w="1485" w:type="dxa"/>
            <w:tcBorders>
              <w:top w:val="nil"/>
              <w:left w:val="single" w:sz="18" w:space="0" w:color="auto"/>
              <w:bottom w:val="single" w:sz="4" w:space="0" w:color="auto"/>
            </w:tcBorders>
          </w:tcPr>
          <w:p w14:paraId="2E044189" w14:textId="77777777" w:rsidR="00FC1F24" w:rsidRPr="00F56C32" w:rsidRDefault="00FC1F24" w:rsidP="009110D7">
            <w:pPr>
              <w:jc w:val="center"/>
              <w:rPr>
                <w:color w:val="000000"/>
                <w:sz w:val="20"/>
                <w:szCs w:val="20"/>
              </w:rPr>
            </w:pPr>
            <w:r w:rsidRPr="00F56C32">
              <w:rPr>
                <w:color w:val="000000"/>
                <w:sz w:val="20"/>
                <w:szCs w:val="20"/>
              </w:rPr>
              <w:t>(0.27)</w:t>
            </w:r>
          </w:p>
        </w:tc>
        <w:tc>
          <w:tcPr>
            <w:tcW w:w="1485" w:type="dxa"/>
            <w:tcBorders>
              <w:top w:val="nil"/>
              <w:bottom w:val="single" w:sz="4" w:space="0" w:color="auto"/>
              <w:right w:val="single" w:sz="12" w:space="0" w:color="auto"/>
            </w:tcBorders>
          </w:tcPr>
          <w:p w14:paraId="7452FCCF" w14:textId="77777777" w:rsidR="00FC1F24" w:rsidRPr="00F56C32" w:rsidRDefault="00FC1F24" w:rsidP="009110D7">
            <w:pPr>
              <w:jc w:val="center"/>
              <w:rPr>
                <w:color w:val="000000"/>
                <w:sz w:val="20"/>
                <w:szCs w:val="20"/>
              </w:rPr>
            </w:pPr>
            <w:r w:rsidRPr="00F56C32">
              <w:rPr>
                <w:color w:val="000000"/>
                <w:sz w:val="20"/>
                <w:szCs w:val="20"/>
              </w:rPr>
              <w:t>(-0.53)</w:t>
            </w:r>
          </w:p>
        </w:tc>
        <w:tc>
          <w:tcPr>
            <w:tcW w:w="1485" w:type="dxa"/>
            <w:tcBorders>
              <w:top w:val="nil"/>
              <w:left w:val="single" w:sz="12" w:space="0" w:color="auto"/>
              <w:bottom w:val="single" w:sz="4" w:space="0" w:color="auto"/>
            </w:tcBorders>
            <w:vAlign w:val="center"/>
          </w:tcPr>
          <w:p w14:paraId="2EB97B73" w14:textId="77777777" w:rsidR="00FC1F24" w:rsidRPr="00F56C32" w:rsidRDefault="00FC1F24" w:rsidP="009110D7">
            <w:pPr>
              <w:jc w:val="center"/>
              <w:rPr>
                <w:color w:val="000000"/>
                <w:sz w:val="20"/>
                <w:szCs w:val="20"/>
              </w:rPr>
            </w:pPr>
            <w:r w:rsidRPr="00F56C32">
              <w:rPr>
                <w:color w:val="000000"/>
                <w:sz w:val="20"/>
                <w:szCs w:val="20"/>
              </w:rPr>
              <w:t>(1.73)</w:t>
            </w:r>
            <w:r w:rsidRPr="00F56C32">
              <w:rPr>
                <w:color w:val="000000"/>
                <w:sz w:val="20"/>
                <w:szCs w:val="20"/>
                <w:vertAlign w:val="superscript"/>
              </w:rPr>
              <w:t>*</w:t>
            </w:r>
          </w:p>
        </w:tc>
        <w:tc>
          <w:tcPr>
            <w:tcW w:w="1486" w:type="dxa"/>
            <w:tcBorders>
              <w:top w:val="nil"/>
              <w:bottom w:val="single" w:sz="4" w:space="0" w:color="auto"/>
              <w:right w:val="single" w:sz="12" w:space="0" w:color="auto"/>
            </w:tcBorders>
            <w:vAlign w:val="center"/>
          </w:tcPr>
          <w:p w14:paraId="1CC1B422" w14:textId="77777777" w:rsidR="00FC1F24" w:rsidRPr="00F56C32" w:rsidRDefault="00FC1F24" w:rsidP="009110D7">
            <w:pPr>
              <w:jc w:val="center"/>
              <w:rPr>
                <w:color w:val="000000"/>
                <w:sz w:val="20"/>
                <w:szCs w:val="20"/>
              </w:rPr>
            </w:pPr>
            <w:r w:rsidRPr="00F56C32">
              <w:rPr>
                <w:color w:val="000000"/>
                <w:sz w:val="20"/>
                <w:szCs w:val="20"/>
              </w:rPr>
              <w:t>(0.78)</w:t>
            </w:r>
          </w:p>
        </w:tc>
      </w:tr>
      <w:tr w:rsidR="00FC1F24" w:rsidRPr="00F56C32" w14:paraId="0BDF6D3D" w14:textId="77777777" w:rsidTr="009110D7">
        <w:trPr>
          <w:trHeight w:val="20"/>
        </w:trPr>
        <w:tc>
          <w:tcPr>
            <w:tcW w:w="2065" w:type="dxa"/>
            <w:vMerge w:val="restart"/>
            <w:tcBorders>
              <w:top w:val="single" w:sz="4" w:space="0" w:color="auto"/>
              <w:right w:val="single" w:sz="18" w:space="0" w:color="auto"/>
            </w:tcBorders>
            <w:shd w:val="clear" w:color="auto" w:fill="auto"/>
            <w:vAlign w:val="center"/>
          </w:tcPr>
          <w:p w14:paraId="7B7F92FB" w14:textId="77777777" w:rsidR="00FC1F24" w:rsidRPr="00F56C32" w:rsidRDefault="00FC1F24" w:rsidP="00D6244A">
            <w:pPr>
              <w:widowControl w:val="0"/>
              <w:rPr>
                <w:sz w:val="20"/>
                <w:szCs w:val="20"/>
                <w:lang w:bidi="he-IL"/>
              </w:rPr>
            </w:pPr>
            <w:r w:rsidRPr="00F56C32">
              <w:rPr>
                <w:sz w:val="20"/>
                <w:szCs w:val="20"/>
                <w:lang w:bidi="he-IL"/>
              </w:rPr>
              <w:t>L</w:t>
            </w:r>
            <w:r w:rsidR="00D6244A">
              <w:rPr>
                <w:sz w:val="20"/>
                <w:szCs w:val="20"/>
                <w:lang w:bidi="he-IL"/>
              </w:rPr>
              <w:t>OSS</w:t>
            </w:r>
            <w:r w:rsidRPr="00F56C32">
              <w:rPr>
                <w:sz w:val="22"/>
                <w:szCs w:val="22"/>
                <w:vertAlign w:val="superscript"/>
                <w:lang w:bidi="he-IL"/>
              </w:rPr>
              <w:t xml:space="preserve"> </w:t>
            </w:r>
            <w:r w:rsidRPr="00322C30">
              <w:rPr>
                <w:sz w:val="22"/>
                <w:szCs w:val="22"/>
                <w:vertAlign w:val="superscript"/>
                <w:lang w:bidi="he-IL"/>
              </w:rPr>
              <w:t>(c)</w:t>
            </w:r>
            <w:r w:rsidRPr="00322C30">
              <w:rPr>
                <w:sz w:val="20"/>
                <w:szCs w:val="20"/>
                <w:vertAlign w:val="superscript"/>
                <w:lang w:bidi="he-IL"/>
              </w:rPr>
              <w:t xml:space="preserve"> </w:t>
            </w:r>
            <w:r w:rsidRPr="00F56C32">
              <w:rPr>
                <w:sz w:val="20"/>
                <w:szCs w:val="20"/>
                <w:vertAlign w:val="superscript"/>
                <w:lang w:bidi="he-IL"/>
              </w:rPr>
              <w:t xml:space="preserve"> </w:t>
            </w:r>
            <w:r w:rsidRPr="00F56C32">
              <w:rPr>
                <w:sz w:val="20"/>
                <w:szCs w:val="20"/>
                <w:vertAlign w:val="subscript"/>
                <w:lang w:bidi="he-IL"/>
              </w:rPr>
              <w:t xml:space="preserve">            </w:t>
            </w:r>
            <w:r w:rsidRPr="00F56C32">
              <w:rPr>
                <w:sz w:val="20"/>
                <w:szCs w:val="20"/>
                <w:vertAlign w:val="subscript"/>
                <w:lang w:bidi="he-IL"/>
              </w:rPr>
              <w:tab/>
            </w:r>
            <w:r w:rsidRPr="00F56C32">
              <w:rPr>
                <w:sz w:val="20"/>
                <w:szCs w:val="20"/>
                <w:lang w:bidi="he-IL"/>
              </w:rPr>
              <w:t>(+)</w:t>
            </w:r>
          </w:p>
        </w:tc>
        <w:tc>
          <w:tcPr>
            <w:tcW w:w="1484" w:type="dxa"/>
            <w:tcBorders>
              <w:top w:val="single" w:sz="4" w:space="0" w:color="auto"/>
              <w:left w:val="single" w:sz="18" w:space="0" w:color="auto"/>
              <w:bottom w:val="nil"/>
            </w:tcBorders>
            <w:shd w:val="clear" w:color="auto" w:fill="auto"/>
            <w:vAlign w:val="center"/>
          </w:tcPr>
          <w:p w14:paraId="68369613" w14:textId="77777777" w:rsidR="00FC1F24" w:rsidRPr="00F56C32" w:rsidRDefault="00FC1F24" w:rsidP="009110D7">
            <w:pPr>
              <w:jc w:val="center"/>
              <w:rPr>
                <w:color w:val="000000"/>
                <w:sz w:val="20"/>
                <w:szCs w:val="20"/>
              </w:rPr>
            </w:pPr>
            <w:r w:rsidRPr="00F56C32">
              <w:rPr>
                <w:color w:val="000000"/>
                <w:sz w:val="20"/>
                <w:szCs w:val="20"/>
              </w:rPr>
              <w:t>0.225</w:t>
            </w:r>
          </w:p>
        </w:tc>
        <w:tc>
          <w:tcPr>
            <w:tcW w:w="1485" w:type="dxa"/>
            <w:tcBorders>
              <w:top w:val="single" w:sz="4" w:space="0" w:color="auto"/>
              <w:bottom w:val="nil"/>
              <w:right w:val="single" w:sz="12" w:space="0" w:color="auto"/>
            </w:tcBorders>
            <w:shd w:val="clear" w:color="auto" w:fill="auto"/>
            <w:vAlign w:val="center"/>
          </w:tcPr>
          <w:p w14:paraId="11285084" w14:textId="77777777" w:rsidR="00FC1F24" w:rsidRPr="00F56C32" w:rsidRDefault="00FC1F24" w:rsidP="009110D7">
            <w:pPr>
              <w:jc w:val="center"/>
              <w:rPr>
                <w:color w:val="000000"/>
                <w:sz w:val="20"/>
                <w:szCs w:val="20"/>
              </w:rPr>
            </w:pPr>
            <w:r w:rsidRPr="00F56C32">
              <w:rPr>
                <w:color w:val="000000"/>
                <w:sz w:val="20"/>
                <w:szCs w:val="20"/>
              </w:rPr>
              <w:t>1.194</w:t>
            </w:r>
          </w:p>
        </w:tc>
        <w:tc>
          <w:tcPr>
            <w:tcW w:w="1485" w:type="dxa"/>
            <w:tcBorders>
              <w:top w:val="single" w:sz="4" w:space="0" w:color="auto"/>
              <w:left w:val="single" w:sz="18" w:space="0" w:color="auto"/>
              <w:bottom w:val="nil"/>
            </w:tcBorders>
          </w:tcPr>
          <w:p w14:paraId="52A583DC" w14:textId="77777777" w:rsidR="00FC1F24" w:rsidRPr="00F56C32" w:rsidRDefault="00FC1F24" w:rsidP="009110D7">
            <w:pPr>
              <w:jc w:val="center"/>
              <w:rPr>
                <w:color w:val="000000"/>
                <w:sz w:val="20"/>
                <w:szCs w:val="20"/>
              </w:rPr>
            </w:pPr>
            <w:r w:rsidRPr="00F56C32">
              <w:rPr>
                <w:color w:val="000000"/>
                <w:sz w:val="20"/>
                <w:szCs w:val="20"/>
              </w:rPr>
              <w:t>0.045</w:t>
            </w:r>
          </w:p>
        </w:tc>
        <w:tc>
          <w:tcPr>
            <w:tcW w:w="1485" w:type="dxa"/>
            <w:tcBorders>
              <w:top w:val="single" w:sz="4" w:space="0" w:color="auto"/>
              <w:bottom w:val="nil"/>
              <w:right w:val="single" w:sz="12" w:space="0" w:color="auto"/>
            </w:tcBorders>
          </w:tcPr>
          <w:p w14:paraId="32C079B2" w14:textId="77777777" w:rsidR="00FC1F24" w:rsidRPr="00F56C32" w:rsidRDefault="00FC1F24" w:rsidP="009110D7">
            <w:pPr>
              <w:jc w:val="center"/>
              <w:rPr>
                <w:color w:val="000000"/>
                <w:sz w:val="20"/>
                <w:szCs w:val="20"/>
              </w:rPr>
            </w:pPr>
            <w:r w:rsidRPr="00F56C32">
              <w:rPr>
                <w:color w:val="000000"/>
                <w:sz w:val="20"/>
                <w:szCs w:val="20"/>
              </w:rPr>
              <w:t>0.072</w:t>
            </w:r>
          </w:p>
        </w:tc>
        <w:tc>
          <w:tcPr>
            <w:tcW w:w="1485" w:type="dxa"/>
            <w:tcBorders>
              <w:left w:val="single" w:sz="12" w:space="0" w:color="auto"/>
              <w:bottom w:val="nil"/>
            </w:tcBorders>
            <w:vAlign w:val="center"/>
          </w:tcPr>
          <w:p w14:paraId="1D097549" w14:textId="77777777" w:rsidR="00FC1F24" w:rsidRPr="00F56C32" w:rsidRDefault="00FC1F24" w:rsidP="009110D7">
            <w:pPr>
              <w:jc w:val="center"/>
              <w:rPr>
                <w:color w:val="000000"/>
                <w:sz w:val="20"/>
                <w:szCs w:val="20"/>
              </w:rPr>
            </w:pPr>
            <w:r w:rsidRPr="00F56C32">
              <w:rPr>
                <w:color w:val="000000"/>
                <w:sz w:val="20"/>
                <w:szCs w:val="20"/>
              </w:rPr>
              <w:t>0.277</w:t>
            </w:r>
          </w:p>
        </w:tc>
        <w:tc>
          <w:tcPr>
            <w:tcW w:w="1486" w:type="dxa"/>
            <w:tcBorders>
              <w:bottom w:val="nil"/>
              <w:right w:val="single" w:sz="12" w:space="0" w:color="auto"/>
            </w:tcBorders>
            <w:vAlign w:val="center"/>
          </w:tcPr>
          <w:p w14:paraId="0EE54046" w14:textId="77777777" w:rsidR="00FC1F24" w:rsidRPr="00F56C32" w:rsidRDefault="00FC1F24" w:rsidP="009110D7">
            <w:pPr>
              <w:jc w:val="center"/>
              <w:rPr>
                <w:color w:val="000000"/>
                <w:sz w:val="20"/>
                <w:szCs w:val="20"/>
              </w:rPr>
            </w:pPr>
            <w:r w:rsidRPr="00F56C32">
              <w:rPr>
                <w:color w:val="000000"/>
                <w:sz w:val="20"/>
                <w:szCs w:val="20"/>
              </w:rPr>
              <w:t>0.407</w:t>
            </w:r>
          </w:p>
        </w:tc>
      </w:tr>
      <w:tr w:rsidR="00FC1F24" w:rsidRPr="00F56C32" w14:paraId="224D2AA5" w14:textId="77777777" w:rsidTr="009110D7">
        <w:trPr>
          <w:trHeight w:val="20"/>
        </w:trPr>
        <w:tc>
          <w:tcPr>
            <w:tcW w:w="2065" w:type="dxa"/>
            <w:vMerge/>
            <w:tcBorders>
              <w:bottom w:val="single" w:sz="4" w:space="0" w:color="auto"/>
              <w:right w:val="single" w:sz="18" w:space="0" w:color="auto"/>
            </w:tcBorders>
            <w:shd w:val="clear" w:color="auto" w:fill="auto"/>
            <w:vAlign w:val="center"/>
          </w:tcPr>
          <w:p w14:paraId="156E6C4B" w14:textId="77777777" w:rsidR="00FC1F24" w:rsidRPr="00F56C32" w:rsidRDefault="00FC1F24" w:rsidP="009110D7">
            <w:pPr>
              <w:widowControl w:val="0"/>
              <w:rPr>
                <w:sz w:val="20"/>
                <w:szCs w:val="20"/>
                <w:lang w:bidi="he-IL"/>
              </w:rPr>
            </w:pPr>
          </w:p>
        </w:tc>
        <w:tc>
          <w:tcPr>
            <w:tcW w:w="1484" w:type="dxa"/>
            <w:tcBorders>
              <w:top w:val="nil"/>
              <w:left w:val="single" w:sz="18" w:space="0" w:color="auto"/>
              <w:bottom w:val="single" w:sz="4" w:space="0" w:color="auto"/>
            </w:tcBorders>
            <w:shd w:val="clear" w:color="auto" w:fill="auto"/>
            <w:vAlign w:val="center"/>
          </w:tcPr>
          <w:p w14:paraId="483D3663" w14:textId="77777777" w:rsidR="00FC1F24" w:rsidRPr="00F56C32" w:rsidRDefault="00FC1F24" w:rsidP="009110D7">
            <w:pPr>
              <w:jc w:val="center"/>
              <w:rPr>
                <w:color w:val="000000"/>
                <w:sz w:val="20"/>
                <w:szCs w:val="20"/>
              </w:rPr>
            </w:pPr>
            <w:r w:rsidRPr="00F56C32">
              <w:rPr>
                <w:color w:val="000000"/>
                <w:sz w:val="20"/>
                <w:szCs w:val="20"/>
              </w:rPr>
              <w:t>(0.83)</w:t>
            </w:r>
          </w:p>
        </w:tc>
        <w:tc>
          <w:tcPr>
            <w:tcW w:w="1485" w:type="dxa"/>
            <w:tcBorders>
              <w:top w:val="nil"/>
              <w:bottom w:val="single" w:sz="4" w:space="0" w:color="auto"/>
              <w:right w:val="single" w:sz="12" w:space="0" w:color="auto"/>
            </w:tcBorders>
            <w:shd w:val="clear" w:color="auto" w:fill="auto"/>
            <w:vAlign w:val="center"/>
          </w:tcPr>
          <w:p w14:paraId="6F5C5631" w14:textId="77777777" w:rsidR="00FC1F24" w:rsidRPr="00F56C32" w:rsidRDefault="00FC1F24" w:rsidP="009110D7">
            <w:pPr>
              <w:jc w:val="center"/>
              <w:rPr>
                <w:color w:val="000000"/>
                <w:sz w:val="20"/>
                <w:szCs w:val="20"/>
              </w:rPr>
            </w:pPr>
            <w:r w:rsidRPr="00F56C32">
              <w:rPr>
                <w:color w:val="000000"/>
                <w:sz w:val="20"/>
                <w:szCs w:val="20"/>
              </w:rPr>
              <w:t>(4.22)</w:t>
            </w:r>
            <w:r w:rsidRPr="00F56C32">
              <w:rPr>
                <w:color w:val="000000"/>
                <w:sz w:val="20"/>
                <w:szCs w:val="20"/>
                <w:vertAlign w:val="superscript"/>
              </w:rPr>
              <w:t>***</w:t>
            </w:r>
          </w:p>
        </w:tc>
        <w:tc>
          <w:tcPr>
            <w:tcW w:w="1485" w:type="dxa"/>
            <w:tcBorders>
              <w:top w:val="nil"/>
              <w:left w:val="single" w:sz="18" w:space="0" w:color="auto"/>
              <w:bottom w:val="single" w:sz="4" w:space="0" w:color="auto"/>
            </w:tcBorders>
          </w:tcPr>
          <w:p w14:paraId="44639B06" w14:textId="77777777" w:rsidR="00FC1F24" w:rsidRPr="00F56C32" w:rsidRDefault="00FC1F24" w:rsidP="009110D7">
            <w:pPr>
              <w:jc w:val="center"/>
              <w:rPr>
                <w:color w:val="000000"/>
                <w:sz w:val="20"/>
                <w:szCs w:val="20"/>
              </w:rPr>
            </w:pPr>
            <w:r w:rsidRPr="00F56C32">
              <w:rPr>
                <w:color w:val="000000"/>
                <w:sz w:val="20"/>
                <w:szCs w:val="20"/>
              </w:rPr>
              <w:t>(3.72)</w:t>
            </w:r>
            <w:r w:rsidRPr="00F56C32">
              <w:rPr>
                <w:color w:val="000000"/>
                <w:sz w:val="20"/>
                <w:szCs w:val="20"/>
                <w:vertAlign w:val="superscript"/>
              </w:rPr>
              <w:t>***</w:t>
            </w:r>
          </w:p>
        </w:tc>
        <w:tc>
          <w:tcPr>
            <w:tcW w:w="1485" w:type="dxa"/>
            <w:tcBorders>
              <w:top w:val="nil"/>
              <w:bottom w:val="single" w:sz="4" w:space="0" w:color="auto"/>
              <w:right w:val="single" w:sz="12" w:space="0" w:color="auto"/>
            </w:tcBorders>
          </w:tcPr>
          <w:p w14:paraId="3C3F0D85" w14:textId="77777777" w:rsidR="00FC1F24" w:rsidRPr="00F56C32" w:rsidRDefault="00FC1F24" w:rsidP="009110D7">
            <w:pPr>
              <w:jc w:val="center"/>
              <w:rPr>
                <w:color w:val="000000"/>
                <w:sz w:val="20"/>
                <w:szCs w:val="20"/>
              </w:rPr>
            </w:pPr>
            <w:r w:rsidRPr="00F56C32">
              <w:rPr>
                <w:color w:val="000000"/>
                <w:sz w:val="20"/>
                <w:szCs w:val="20"/>
              </w:rPr>
              <w:t>(5.59)</w:t>
            </w:r>
            <w:r w:rsidRPr="00F56C32">
              <w:rPr>
                <w:color w:val="000000"/>
                <w:sz w:val="20"/>
                <w:szCs w:val="20"/>
                <w:vertAlign w:val="superscript"/>
              </w:rPr>
              <w:t>***</w:t>
            </w:r>
          </w:p>
        </w:tc>
        <w:tc>
          <w:tcPr>
            <w:tcW w:w="1485" w:type="dxa"/>
            <w:tcBorders>
              <w:top w:val="nil"/>
              <w:left w:val="single" w:sz="12" w:space="0" w:color="auto"/>
              <w:bottom w:val="single" w:sz="4" w:space="0" w:color="auto"/>
            </w:tcBorders>
            <w:vAlign w:val="center"/>
          </w:tcPr>
          <w:p w14:paraId="59F68713" w14:textId="77777777" w:rsidR="00FC1F24" w:rsidRPr="00F56C32" w:rsidRDefault="00FC1F24" w:rsidP="009110D7">
            <w:pPr>
              <w:jc w:val="center"/>
              <w:rPr>
                <w:color w:val="000000"/>
                <w:sz w:val="20"/>
                <w:szCs w:val="20"/>
              </w:rPr>
            </w:pPr>
            <w:r w:rsidRPr="00F56C32">
              <w:rPr>
                <w:color w:val="000000"/>
                <w:sz w:val="20"/>
                <w:szCs w:val="20"/>
              </w:rPr>
              <w:t>(3.21)</w:t>
            </w:r>
            <w:r w:rsidRPr="00F56C32">
              <w:rPr>
                <w:color w:val="000000"/>
                <w:sz w:val="20"/>
                <w:szCs w:val="20"/>
                <w:vertAlign w:val="superscript"/>
              </w:rPr>
              <w:t>***</w:t>
            </w:r>
          </w:p>
        </w:tc>
        <w:tc>
          <w:tcPr>
            <w:tcW w:w="1486" w:type="dxa"/>
            <w:tcBorders>
              <w:top w:val="nil"/>
              <w:bottom w:val="single" w:sz="4" w:space="0" w:color="auto"/>
              <w:right w:val="single" w:sz="12" w:space="0" w:color="auto"/>
            </w:tcBorders>
            <w:vAlign w:val="center"/>
          </w:tcPr>
          <w:p w14:paraId="61A8C2FC" w14:textId="77777777" w:rsidR="00FC1F24" w:rsidRPr="00F56C32" w:rsidRDefault="00FC1F24" w:rsidP="009110D7">
            <w:pPr>
              <w:jc w:val="center"/>
              <w:rPr>
                <w:color w:val="000000"/>
                <w:sz w:val="20"/>
                <w:szCs w:val="20"/>
              </w:rPr>
            </w:pPr>
            <w:r w:rsidRPr="00F56C32">
              <w:rPr>
                <w:color w:val="000000"/>
                <w:sz w:val="20"/>
                <w:szCs w:val="20"/>
              </w:rPr>
              <w:t>(4.31)</w:t>
            </w:r>
            <w:r w:rsidRPr="00F56C32">
              <w:rPr>
                <w:color w:val="000000"/>
                <w:sz w:val="20"/>
                <w:szCs w:val="20"/>
                <w:vertAlign w:val="superscript"/>
              </w:rPr>
              <w:t>***</w:t>
            </w:r>
          </w:p>
        </w:tc>
      </w:tr>
      <w:tr w:rsidR="00FC1F24" w:rsidRPr="00F56C32" w14:paraId="1FF57379" w14:textId="77777777" w:rsidTr="009110D7">
        <w:trPr>
          <w:trHeight w:val="20"/>
        </w:trPr>
        <w:tc>
          <w:tcPr>
            <w:tcW w:w="2065" w:type="dxa"/>
            <w:vMerge w:val="restart"/>
            <w:tcBorders>
              <w:right w:val="single" w:sz="18" w:space="0" w:color="auto"/>
            </w:tcBorders>
            <w:shd w:val="clear" w:color="auto" w:fill="auto"/>
            <w:vAlign w:val="center"/>
          </w:tcPr>
          <w:p w14:paraId="0569C167" w14:textId="77777777" w:rsidR="00FC1F24" w:rsidRPr="00F56C32" w:rsidRDefault="00FC1F24" w:rsidP="009110D7">
            <w:pPr>
              <w:widowControl w:val="0"/>
              <w:rPr>
                <w:sz w:val="20"/>
                <w:szCs w:val="20"/>
                <w:lang w:bidi="he-IL"/>
              </w:rPr>
            </w:pPr>
            <w:r w:rsidRPr="00F56C32">
              <w:rPr>
                <w:sz w:val="20"/>
                <w:szCs w:val="20"/>
                <w:lang w:bidi="he-IL"/>
              </w:rPr>
              <w:t xml:space="preserve">Intangibles     </w:t>
            </w:r>
            <w:r w:rsidRPr="00F56C32">
              <w:rPr>
                <w:sz w:val="20"/>
                <w:szCs w:val="20"/>
                <w:lang w:bidi="he-IL"/>
              </w:rPr>
              <w:tab/>
              <w:t>(-)</w:t>
            </w:r>
          </w:p>
        </w:tc>
        <w:tc>
          <w:tcPr>
            <w:tcW w:w="1484" w:type="dxa"/>
            <w:tcBorders>
              <w:left w:val="single" w:sz="18" w:space="0" w:color="auto"/>
              <w:bottom w:val="nil"/>
            </w:tcBorders>
            <w:shd w:val="clear" w:color="auto" w:fill="auto"/>
            <w:vAlign w:val="center"/>
          </w:tcPr>
          <w:p w14:paraId="452D4E81" w14:textId="77777777" w:rsidR="00FC1F24" w:rsidRPr="00F56C32" w:rsidRDefault="00FC1F24" w:rsidP="009110D7">
            <w:pPr>
              <w:jc w:val="center"/>
              <w:rPr>
                <w:color w:val="000000"/>
                <w:sz w:val="20"/>
                <w:szCs w:val="20"/>
              </w:rPr>
            </w:pPr>
            <w:r w:rsidRPr="00F56C32">
              <w:rPr>
                <w:color w:val="000000"/>
                <w:sz w:val="20"/>
                <w:szCs w:val="20"/>
              </w:rPr>
              <w:t>-0.720</w:t>
            </w:r>
          </w:p>
        </w:tc>
        <w:tc>
          <w:tcPr>
            <w:tcW w:w="1485" w:type="dxa"/>
            <w:tcBorders>
              <w:bottom w:val="nil"/>
              <w:right w:val="single" w:sz="12" w:space="0" w:color="auto"/>
            </w:tcBorders>
            <w:shd w:val="clear" w:color="auto" w:fill="auto"/>
            <w:vAlign w:val="center"/>
          </w:tcPr>
          <w:p w14:paraId="76298CA4" w14:textId="77777777" w:rsidR="00FC1F24" w:rsidRPr="00F56C32" w:rsidRDefault="00FC1F24" w:rsidP="009110D7">
            <w:pPr>
              <w:jc w:val="center"/>
              <w:rPr>
                <w:color w:val="000000"/>
                <w:sz w:val="20"/>
                <w:szCs w:val="20"/>
              </w:rPr>
            </w:pPr>
            <w:r w:rsidRPr="00F56C32">
              <w:rPr>
                <w:color w:val="000000"/>
                <w:sz w:val="20"/>
                <w:szCs w:val="20"/>
              </w:rPr>
              <w:t>-0.623</w:t>
            </w:r>
          </w:p>
        </w:tc>
        <w:tc>
          <w:tcPr>
            <w:tcW w:w="1485" w:type="dxa"/>
            <w:tcBorders>
              <w:left w:val="single" w:sz="18" w:space="0" w:color="auto"/>
              <w:bottom w:val="nil"/>
            </w:tcBorders>
          </w:tcPr>
          <w:p w14:paraId="3305715B" w14:textId="77777777" w:rsidR="00FC1F24" w:rsidRPr="00F56C32" w:rsidRDefault="00FC1F24" w:rsidP="009110D7">
            <w:pPr>
              <w:jc w:val="center"/>
              <w:rPr>
                <w:color w:val="000000"/>
                <w:sz w:val="20"/>
                <w:szCs w:val="20"/>
              </w:rPr>
            </w:pPr>
            <w:r w:rsidRPr="00F56C32">
              <w:rPr>
                <w:color w:val="000000"/>
                <w:sz w:val="20"/>
                <w:szCs w:val="20"/>
              </w:rPr>
              <w:t>-0.064</w:t>
            </w:r>
          </w:p>
        </w:tc>
        <w:tc>
          <w:tcPr>
            <w:tcW w:w="1485" w:type="dxa"/>
            <w:tcBorders>
              <w:bottom w:val="nil"/>
              <w:right w:val="single" w:sz="12" w:space="0" w:color="auto"/>
            </w:tcBorders>
          </w:tcPr>
          <w:p w14:paraId="72DA7A9C" w14:textId="77777777" w:rsidR="00FC1F24" w:rsidRPr="00F56C32" w:rsidRDefault="00FC1F24" w:rsidP="009110D7">
            <w:pPr>
              <w:jc w:val="center"/>
              <w:rPr>
                <w:color w:val="000000"/>
                <w:sz w:val="20"/>
                <w:szCs w:val="20"/>
              </w:rPr>
            </w:pPr>
            <w:r w:rsidRPr="00F56C32">
              <w:rPr>
                <w:color w:val="000000"/>
                <w:sz w:val="20"/>
                <w:szCs w:val="20"/>
              </w:rPr>
              <w:t>-0.038</w:t>
            </w:r>
          </w:p>
        </w:tc>
        <w:tc>
          <w:tcPr>
            <w:tcW w:w="1485" w:type="dxa"/>
            <w:tcBorders>
              <w:left w:val="single" w:sz="12" w:space="0" w:color="auto"/>
              <w:bottom w:val="nil"/>
            </w:tcBorders>
            <w:vAlign w:val="center"/>
          </w:tcPr>
          <w:p w14:paraId="429EA89C" w14:textId="77777777" w:rsidR="00FC1F24" w:rsidRPr="00F56C32" w:rsidRDefault="00FC1F24" w:rsidP="009110D7">
            <w:pPr>
              <w:jc w:val="center"/>
              <w:rPr>
                <w:color w:val="000000"/>
                <w:sz w:val="20"/>
                <w:szCs w:val="20"/>
              </w:rPr>
            </w:pPr>
            <w:r w:rsidRPr="00F56C32">
              <w:rPr>
                <w:color w:val="000000"/>
                <w:sz w:val="20"/>
                <w:szCs w:val="20"/>
              </w:rPr>
              <w:t>0.242</w:t>
            </w:r>
          </w:p>
        </w:tc>
        <w:tc>
          <w:tcPr>
            <w:tcW w:w="1486" w:type="dxa"/>
            <w:tcBorders>
              <w:bottom w:val="nil"/>
              <w:right w:val="single" w:sz="12" w:space="0" w:color="auto"/>
            </w:tcBorders>
            <w:vAlign w:val="center"/>
          </w:tcPr>
          <w:p w14:paraId="5BB73EEA" w14:textId="77777777" w:rsidR="00FC1F24" w:rsidRPr="00F56C32" w:rsidRDefault="00FC1F24" w:rsidP="009110D7">
            <w:pPr>
              <w:jc w:val="center"/>
              <w:rPr>
                <w:color w:val="000000"/>
                <w:sz w:val="20"/>
                <w:szCs w:val="20"/>
              </w:rPr>
            </w:pPr>
            <w:r w:rsidRPr="00F56C32">
              <w:rPr>
                <w:color w:val="000000"/>
                <w:sz w:val="20"/>
                <w:szCs w:val="20"/>
              </w:rPr>
              <w:t>-0.335</w:t>
            </w:r>
          </w:p>
        </w:tc>
      </w:tr>
      <w:tr w:rsidR="00FC1F24" w:rsidRPr="00F56C32" w14:paraId="75C23FD1" w14:textId="77777777" w:rsidTr="009110D7">
        <w:trPr>
          <w:trHeight w:val="20"/>
        </w:trPr>
        <w:tc>
          <w:tcPr>
            <w:tcW w:w="2065" w:type="dxa"/>
            <w:vMerge/>
            <w:tcBorders>
              <w:bottom w:val="single" w:sz="4" w:space="0" w:color="auto"/>
              <w:right w:val="single" w:sz="18" w:space="0" w:color="auto"/>
            </w:tcBorders>
            <w:shd w:val="clear" w:color="auto" w:fill="auto"/>
            <w:vAlign w:val="center"/>
          </w:tcPr>
          <w:p w14:paraId="265BA1FB" w14:textId="77777777" w:rsidR="00FC1F24" w:rsidRPr="00F56C32" w:rsidRDefault="00FC1F24" w:rsidP="009110D7">
            <w:pPr>
              <w:widowControl w:val="0"/>
              <w:rPr>
                <w:sz w:val="20"/>
                <w:szCs w:val="20"/>
                <w:lang w:bidi="he-IL"/>
              </w:rPr>
            </w:pPr>
          </w:p>
        </w:tc>
        <w:tc>
          <w:tcPr>
            <w:tcW w:w="1484" w:type="dxa"/>
            <w:tcBorders>
              <w:top w:val="nil"/>
              <w:left w:val="single" w:sz="18" w:space="0" w:color="auto"/>
              <w:bottom w:val="single" w:sz="4" w:space="0" w:color="auto"/>
            </w:tcBorders>
            <w:shd w:val="clear" w:color="auto" w:fill="auto"/>
            <w:vAlign w:val="center"/>
          </w:tcPr>
          <w:p w14:paraId="2461D66E" w14:textId="77777777" w:rsidR="00FC1F24" w:rsidRPr="00F56C32" w:rsidRDefault="00FC1F24" w:rsidP="009110D7">
            <w:pPr>
              <w:jc w:val="center"/>
              <w:rPr>
                <w:color w:val="000000"/>
                <w:sz w:val="20"/>
                <w:szCs w:val="20"/>
              </w:rPr>
            </w:pPr>
            <w:r w:rsidRPr="00F56C32">
              <w:rPr>
                <w:color w:val="000000"/>
                <w:sz w:val="20"/>
                <w:szCs w:val="20"/>
              </w:rPr>
              <w:t>(-2.30)</w:t>
            </w:r>
            <w:r w:rsidRPr="00F56C32">
              <w:rPr>
                <w:color w:val="000000"/>
                <w:sz w:val="20"/>
                <w:szCs w:val="20"/>
                <w:vertAlign w:val="superscript"/>
              </w:rPr>
              <w:t>**</w:t>
            </w:r>
          </w:p>
        </w:tc>
        <w:tc>
          <w:tcPr>
            <w:tcW w:w="1485" w:type="dxa"/>
            <w:tcBorders>
              <w:top w:val="nil"/>
              <w:bottom w:val="single" w:sz="4" w:space="0" w:color="auto"/>
              <w:right w:val="single" w:sz="12" w:space="0" w:color="auto"/>
            </w:tcBorders>
            <w:shd w:val="clear" w:color="auto" w:fill="auto"/>
            <w:vAlign w:val="center"/>
          </w:tcPr>
          <w:p w14:paraId="586BEEEF" w14:textId="77777777" w:rsidR="00FC1F24" w:rsidRPr="00F56C32" w:rsidRDefault="00FC1F24" w:rsidP="009110D7">
            <w:pPr>
              <w:jc w:val="center"/>
              <w:rPr>
                <w:color w:val="000000"/>
                <w:sz w:val="20"/>
                <w:szCs w:val="20"/>
              </w:rPr>
            </w:pPr>
            <w:r w:rsidRPr="00F56C32">
              <w:rPr>
                <w:color w:val="000000"/>
                <w:sz w:val="20"/>
                <w:szCs w:val="20"/>
              </w:rPr>
              <w:t>(-1.89)</w:t>
            </w:r>
            <w:r w:rsidRPr="00F56C32">
              <w:rPr>
                <w:color w:val="000000"/>
                <w:sz w:val="20"/>
                <w:szCs w:val="20"/>
                <w:vertAlign w:val="superscript"/>
              </w:rPr>
              <w:t>*</w:t>
            </w:r>
          </w:p>
        </w:tc>
        <w:tc>
          <w:tcPr>
            <w:tcW w:w="1485" w:type="dxa"/>
            <w:tcBorders>
              <w:top w:val="nil"/>
              <w:left w:val="single" w:sz="18" w:space="0" w:color="auto"/>
              <w:bottom w:val="single" w:sz="4" w:space="0" w:color="auto"/>
            </w:tcBorders>
          </w:tcPr>
          <w:p w14:paraId="3FBA30C6" w14:textId="77777777" w:rsidR="00FC1F24" w:rsidRPr="00F56C32" w:rsidRDefault="00FC1F24" w:rsidP="009110D7">
            <w:pPr>
              <w:jc w:val="center"/>
              <w:rPr>
                <w:color w:val="000000"/>
                <w:sz w:val="20"/>
                <w:szCs w:val="20"/>
              </w:rPr>
            </w:pPr>
            <w:r w:rsidRPr="00F56C32">
              <w:rPr>
                <w:color w:val="000000"/>
                <w:sz w:val="20"/>
                <w:szCs w:val="20"/>
              </w:rPr>
              <w:t>(-2.99)</w:t>
            </w:r>
            <w:r w:rsidRPr="00F56C32">
              <w:rPr>
                <w:color w:val="000000"/>
                <w:sz w:val="20"/>
                <w:szCs w:val="20"/>
                <w:vertAlign w:val="superscript"/>
              </w:rPr>
              <w:t>***</w:t>
            </w:r>
          </w:p>
        </w:tc>
        <w:tc>
          <w:tcPr>
            <w:tcW w:w="1485" w:type="dxa"/>
            <w:tcBorders>
              <w:top w:val="nil"/>
              <w:bottom w:val="single" w:sz="4" w:space="0" w:color="auto"/>
              <w:right w:val="single" w:sz="12" w:space="0" w:color="auto"/>
            </w:tcBorders>
          </w:tcPr>
          <w:p w14:paraId="64EDEF9F" w14:textId="77777777" w:rsidR="00FC1F24" w:rsidRPr="00F56C32" w:rsidRDefault="00FC1F24" w:rsidP="009110D7">
            <w:pPr>
              <w:jc w:val="center"/>
              <w:rPr>
                <w:color w:val="000000"/>
                <w:sz w:val="20"/>
                <w:szCs w:val="20"/>
              </w:rPr>
            </w:pPr>
            <w:r w:rsidRPr="00F56C32">
              <w:rPr>
                <w:color w:val="000000"/>
                <w:sz w:val="20"/>
                <w:szCs w:val="20"/>
              </w:rPr>
              <w:t>(-1.68)</w:t>
            </w:r>
            <w:r w:rsidRPr="00F56C32">
              <w:rPr>
                <w:color w:val="000000"/>
                <w:sz w:val="20"/>
                <w:szCs w:val="20"/>
                <w:vertAlign w:val="superscript"/>
              </w:rPr>
              <w:t>*</w:t>
            </w:r>
          </w:p>
        </w:tc>
        <w:tc>
          <w:tcPr>
            <w:tcW w:w="1485" w:type="dxa"/>
            <w:tcBorders>
              <w:top w:val="nil"/>
              <w:left w:val="single" w:sz="12" w:space="0" w:color="auto"/>
              <w:bottom w:val="single" w:sz="4" w:space="0" w:color="auto"/>
            </w:tcBorders>
            <w:vAlign w:val="center"/>
          </w:tcPr>
          <w:p w14:paraId="170EA2D9" w14:textId="77777777" w:rsidR="00FC1F24" w:rsidRPr="00F56C32" w:rsidRDefault="00FC1F24" w:rsidP="009110D7">
            <w:pPr>
              <w:jc w:val="center"/>
              <w:rPr>
                <w:color w:val="000000"/>
                <w:sz w:val="20"/>
                <w:szCs w:val="20"/>
              </w:rPr>
            </w:pPr>
            <w:r w:rsidRPr="00F56C32">
              <w:rPr>
                <w:color w:val="000000"/>
                <w:sz w:val="20"/>
                <w:szCs w:val="20"/>
              </w:rPr>
              <w:t>(1.50)</w:t>
            </w:r>
          </w:p>
        </w:tc>
        <w:tc>
          <w:tcPr>
            <w:tcW w:w="1486" w:type="dxa"/>
            <w:tcBorders>
              <w:top w:val="nil"/>
              <w:bottom w:val="single" w:sz="4" w:space="0" w:color="auto"/>
              <w:right w:val="single" w:sz="12" w:space="0" w:color="auto"/>
            </w:tcBorders>
            <w:vAlign w:val="center"/>
          </w:tcPr>
          <w:p w14:paraId="278A0A84" w14:textId="77777777" w:rsidR="00FC1F24" w:rsidRPr="00F56C32" w:rsidRDefault="00FC1F24" w:rsidP="009110D7">
            <w:pPr>
              <w:jc w:val="center"/>
              <w:rPr>
                <w:color w:val="000000"/>
                <w:sz w:val="20"/>
                <w:szCs w:val="20"/>
              </w:rPr>
            </w:pPr>
            <w:r w:rsidRPr="00F56C32">
              <w:rPr>
                <w:color w:val="000000"/>
                <w:sz w:val="20"/>
                <w:szCs w:val="20"/>
              </w:rPr>
              <w:t>(-2.04)</w:t>
            </w:r>
            <w:r w:rsidRPr="00F56C32">
              <w:rPr>
                <w:color w:val="000000"/>
                <w:sz w:val="20"/>
                <w:szCs w:val="20"/>
                <w:vertAlign w:val="superscript"/>
              </w:rPr>
              <w:t>**</w:t>
            </w:r>
          </w:p>
        </w:tc>
      </w:tr>
      <w:tr w:rsidR="00FC1F24" w:rsidRPr="00F56C32" w14:paraId="7CD6DBF5" w14:textId="77777777" w:rsidTr="009110D7">
        <w:trPr>
          <w:trHeight w:val="20"/>
        </w:trPr>
        <w:tc>
          <w:tcPr>
            <w:tcW w:w="2065" w:type="dxa"/>
            <w:vMerge w:val="restart"/>
            <w:tcBorders>
              <w:top w:val="single" w:sz="4" w:space="0" w:color="auto"/>
              <w:right w:val="single" w:sz="18" w:space="0" w:color="auto"/>
            </w:tcBorders>
            <w:shd w:val="clear" w:color="auto" w:fill="auto"/>
            <w:vAlign w:val="center"/>
          </w:tcPr>
          <w:p w14:paraId="38173B46" w14:textId="77777777" w:rsidR="00FC1F24" w:rsidRPr="00F56C32" w:rsidRDefault="00FC1F24" w:rsidP="009110D7">
            <w:pPr>
              <w:widowControl w:val="0"/>
              <w:rPr>
                <w:sz w:val="20"/>
                <w:szCs w:val="20"/>
                <w:lang w:bidi="he-IL"/>
              </w:rPr>
            </w:pPr>
            <w:r w:rsidRPr="00F56C32">
              <w:rPr>
                <w:sz w:val="20"/>
                <w:szCs w:val="20"/>
                <w:lang w:bidi="he-IL"/>
              </w:rPr>
              <w:t xml:space="preserve">GDP             </w:t>
            </w:r>
            <w:r w:rsidRPr="00F56C32">
              <w:rPr>
                <w:sz w:val="20"/>
                <w:szCs w:val="20"/>
                <w:lang w:bidi="he-IL"/>
              </w:rPr>
              <w:tab/>
              <w:t>(-)</w:t>
            </w:r>
          </w:p>
        </w:tc>
        <w:tc>
          <w:tcPr>
            <w:tcW w:w="1484" w:type="dxa"/>
            <w:tcBorders>
              <w:top w:val="single" w:sz="4" w:space="0" w:color="auto"/>
              <w:left w:val="single" w:sz="18" w:space="0" w:color="auto"/>
              <w:bottom w:val="nil"/>
            </w:tcBorders>
            <w:shd w:val="clear" w:color="auto" w:fill="auto"/>
            <w:vAlign w:val="center"/>
          </w:tcPr>
          <w:p w14:paraId="6E49BA21" w14:textId="77777777" w:rsidR="00FC1F24" w:rsidRPr="00F56C32" w:rsidRDefault="00FC1F24" w:rsidP="009110D7">
            <w:pPr>
              <w:jc w:val="center"/>
              <w:rPr>
                <w:color w:val="000000"/>
                <w:sz w:val="20"/>
                <w:szCs w:val="20"/>
              </w:rPr>
            </w:pPr>
            <w:r w:rsidRPr="00F56C32">
              <w:rPr>
                <w:color w:val="000000"/>
                <w:sz w:val="20"/>
                <w:szCs w:val="20"/>
              </w:rPr>
              <w:t>-0.017</w:t>
            </w:r>
          </w:p>
        </w:tc>
        <w:tc>
          <w:tcPr>
            <w:tcW w:w="1485" w:type="dxa"/>
            <w:tcBorders>
              <w:top w:val="single" w:sz="4" w:space="0" w:color="auto"/>
              <w:bottom w:val="nil"/>
              <w:right w:val="single" w:sz="12" w:space="0" w:color="auto"/>
            </w:tcBorders>
            <w:shd w:val="clear" w:color="auto" w:fill="auto"/>
            <w:vAlign w:val="center"/>
          </w:tcPr>
          <w:p w14:paraId="1D766BB1" w14:textId="77777777" w:rsidR="00FC1F24" w:rsidRPr="00F56C32" w:rsidRDefault="00FC1F24" w:rsidP="009110D7">
            <w:pPr>
              <w:jc w:val="center"/>
              <w:rPr>
                <w:color w:val="000000"/>
                <w:sz w:val="20"/>
                <w:szCs w:val="20"/>
              </w:rPr>
            </w:pPr>
            <w:r w:rsidRPr="00F56C32">
              <w:rPr>
                <w:color w:val="000000"/>
                <w:sz w:val="20"/>
                <w:szCs w:val="20"/>
              </w:rPr>
              <w:t>-0.023</w:t>
            </w:r>
          </w:p>
        </w:tc>
        <w:tc>
          <w:tcPr>
            <w:tcW w:w="1485" w:type="dxa"/>
            <w:tcBorders>
              <w:top w:val="single" w:sz="4" w:space="0" w:color="auto"/>
              <w:left w:val="single" w:sz="18" w:space="0" w:color="auto"/>
              <w:bottom w:val="nil"/>
            </w:tcBorders>
          </w:tcPr>
          <w:p w14:paraId="630E27C3" w14:textId="77777777" w:rsidR="00FC1F24" w:rsidRPr="00F56C32" w:rsidRDefault="00FC1F24" w:rsidP="009110D7">
            <w:pPr>
              <w:jc w:val="center"/>
              <w:rPr>
                <w:b/>
                <w:bCs/>
                <w:color w:val="000000"/>
                <w:sz w:val="20"/>
                <w:szCs w:val="20"/>
              </w:rPr>
            </w:pPr>
          </w:p>
        </w:tc>
        <w:tc>
          <w:tcPr>
            <w:tcW w:w="1485" w:type="dxa"/>
            <w:tcBorders>
              <w:top w:val="single" w:sz="4" w:space="0" w:color="auto"/>
              <w:bottom w:val="nil"/>
              <w:right w:val="single" w:sz="12" w:space="0" w:color="auto"/>
            </w:tcBorders>
          </w:tcPr>
          <w:p w14:paraId="3118421A" w14:textId="77777777" w:rsidR="00FC1F24" w:rsidRPr="00F56C32" w:rsidRDefault="00FC1F24" w:rsidP="009110D7">
            <w:pPr>
              <w:jc w:val="center"/>
              <w:rPr>
                <w:b/>
                <w:bCs/>
                <w:color w:val="000000"/>
                <w:sz w:val="20"/>
                <w:szCs w:val="20"/>
              </w:rPr>
            </w:pPr>
          </w:p>
        </w:tc>
        <w:tc>
          <w:tcPr>
            <w:tcW w:w="1485" w:type="dxa"/>
            <w:tcBorders>
              <w:left w:val="single" w:sz="12" w:space="0" w:color="auto"/>
              <w:bottom w:val="nil"/>
            </w:tcBorders>
            <w:vAlign w:val="center"/>
          </w:tcPr>
          <w:p w14:paraId="0AACA642" w14:textId="77777777" w:rsidR="00FC1F24" w:rsidRPr="00F56C32" w:rsidRDefault="00FC1F24" w:rsidP="009110D7">
            <w:pPr>
              <w:jc w:val="center"/>
              <w:rPr>
                <w:b/>
                <w:bCs/>
                <w:color w:val="000000"/>
                <w:sz w:val="20"/>
                <w:szCs w:val="20"/>
              </w:rPr>
            </w:pPr>
          </w:p>
        </w:tc>
        <w:tc>
          <w:tcPr>
            <w:tcW w:w="1486" w:type="dxa"/>
            <w:tcBorders>
              <w:bottom w:val="nil"/>
              <w:right w:val="single" w:sz="12" w:space="0" w:color="auto"/>
            </w:tcBorders>
            <w:vAlign w:val="center"/>
          </w:tcPr>
          <w:p w14:paraId="1C72D80B" w14:textId="77777777" w:rsidR="00FC1F24" w:rsidRPr="00F56C32" w:rsidRDefault="00FC1F24" w:rsidP="009110D7">
            <w:pPr>
              <w:jc w:val="center"/>
              <w:rPr>
                <w:b/>
                <w:bCs/>
                <w:color w:val="000000"/>
                <w:sz w:val="20"/>
                <w:szCs w:val="20"/>
              </w:rPr>
            </w:pPr>
          </w:p>
        </w:tc>
      </w:tr>
      <w:tr w:rsidR="00FC1F24" w:rsidRPr="00F56C32" w14:paraId="74EAC586" w14:textId="77777777" w:rsidTr="009110D7">
        <w:trPr>
          <w:trHeight w:val="20"/>
        </w:trPr>
        <w:tc>
          <w:tcPr>
            <w:tcW w:w="2065" w:type="dxa"/>
            <w:vMerge/>
            <w:tcBorders>
              <w:right w:val="single" w:sz="18" w:space="0" w:color="auto"/>
            </w:tcBorders>
            <w:shd w:val="clear" w:color="auto" w:fill="auto"/>
            <w:vAlign w:val="center"/>
          </w:tcPr>
          <w:p w14:paraId="59C14E86" w14:textId="77777777" w:rsidR="00FC1F24" w:rsidRPr="00F56C32" w:rsidRDefault="00FC1F24" w:rsidP="009110D7">
            <w:pPr>
              <w:widowControl w:val="0"/>
              <w:rPr>
                <w:sz w:val="20"/>
                <w:szCs w:val="20"/>
                <w:lang w:bidi="he-IL"/>
              </w:rPr>
            </w:pPr>
          </w:p>
        </w:tc>
        <w:tc>
          <w:tcPr>
            <w:tcW w:w="1484" w:type="dxa"/>
            <w:tcBorders>
              <w:top w:val="nil"/>
              <w:left w:val="single" w:sz="18" w:space="0" w:color="auto"/>
            </w:tcBorders>
            <w:shd w:val="clear" w:color="auto" w:fill="auto"/>
            <w:vAlign w:val="center"/>
          </w:tcPr>
          <w:p w14:paraId="67EE42B8" w14:textId="77777777" w:rsidR="00FC1F24" w:rsidRPr="00F56C32" w:rsidRDefault="00FC1F24" w:rsidP="009110D7">
            <w:pPr>
              <w:jc w:val="center"/>
              <w:rPr>
                <w:color w:val="000000"/>
                <w:sz w:val="20"/>
                <w:szCs w:val="20"/>
              </w:rPr>
            </w:pPr>
            <w:r w:rsidRPr="00F56C32">
              <w:rPr>
                <w:color w:val="000000"/>
                <w:sz w:val="20"/>
                <w:szCs w:val="20"/>
              </w:rPr>
              <w:t>(-2.19)</w:t>
            </w:r>
            <w:r w:rsidRPr="00F56C32">
              <w:rPr>
                <w:color w:val="000000"/>
                <w:sz w:val="20"/>
                <w:szCs w:val="20"/>
                <w:vertAlign w:val="superscript"/>
              </w:rPr>
              <w:t>**</w:t>
            </w:r>
          </w:p>
        </w:tc>
        <w:tc>
          <w:tcPr>
            <w:tcW w:w="1485" w:type="dxa"/>
            <w:tcBorders>
              <w:top w:val="nil"/>
              <w:right w:val="single" w:sz="12" w:space="0" w:color="auto"/>
            </w:tcBorders>
            <w:shd w:val="clear" w:color="auto" w:fill="auto"/>
            <w:vAlign w:val="center"/>
          </w:tcPr>
          <w:p w14:paraId="3A827718" w14:textId="77777777" w:rsidR="00FC1F24" w:rsidRPr="00F56C32" w:rsidRDefault="00FC1F24" w:rsidP="009110D7">
            <w:pPr>
              <w:jc w:val="center"/>
              <w:rPr>
                <w:color w:val="000000"/>
                <w:sz w:val="20"/>
                <w:szCs w:val="20"/>
              </w:rPr>
            </w:pPr>
            <w:r w:rsidRPr="00F56C32">
              <w:rPr>
                <w:color w:val="000000"/>
                <w:sz w:val="20"/>
                <w:szCs w:val="20"/>
              </w:rPr>
              <w:t>(-2.90)</w:t>
            </w:r>
            <w:r w:rsidRPr="00F56C32">
              <w:rPr>
                <w:color w:val="000000"/>
                <w:sz w:val="20"/>
                <w:szCs w:val="20"/>
                <w:vertAlign w:val="superscript"/>
              </w:rPr>
              <w:t>***</w:t>
            </w:r>
          </w:p>
        </w:tc>
        <w:tc>
          <w:tcPr>
            <w:tcW w:w="1485" w:type="dxa"/>
            <w:tcBorders>
              <w:top w:val="nil"/>
              <w:left w:val="single" w:sz="18" w:space="0" w:color="auto"/>
            </w:tcBorders>
          </w:tcPr>
          <w:p w14:paraId="3A1F9CED" w14:textId="77777777" w:rsidR="00FC1F24" w:rsidRPr="00F56C32" w:rsidRDefault="00FC1F24" w:rsidP="009110D7">
            <w:pPr>
              <w:jc w:val="center"/>
              <w:rPr>
                <w:color w:val="000000"/>
                <w:sz w:val="20"/>
                <w:szCs w:val="20"/>
              </w:rPr>
            </w:pPr>
          </w:p>
        </w:tc>
        <w:tc>
          <w:tcPr>
            <w:tcW w:w="1485" w:type="dxa"/>
            <w:tcBorders>
              <w:top w:val="nil"/>
              <w:right w:val="single" w:sz="12" w:space="0" w:color="auto"/>
            </w:tcBorders>
          </w:tcPr>
          <w:p w14:paraId="69D3F554" w14:textId="77777777" w:rsidR="00FC1F24" w:rsidRPr="00F56C32" w:rsidRDefault="00FC1F24" w:rsidP="009110D7">
            <w:pPr>
              <w:jc w:val="center"/>
              <w:rPr>
                <w:color w:val="000000"/>
                <w:sz w:val="20"/>
                <w:szCs w:val="20"/>
              </w:rPr>
            </w:pPr>
          </w:p>
        </w:tc>
        <w:tc>
          <w:tcPr>
            <w:tcW w:w="1485" w:type="dxa"/>
            <w:tcBorders>
              <w:top w:val="nil"/>
              <w:left w:val="single" w:sz="12" w:space="0" w:color="auto"/>
            </w:tcBorders>
            <w:vAlign w:val="center"/>
          </w:tcPr>
          <w:p w14:paraId="0377916E" w14:textId="77777777" w:rsidR="00FC1F24" w:rsidRPr="00F56C32" w:rsidRDefault="00FC1F24" w:rsidP="009110D7">
            <w:pPr>
              <w:jc w:val="center"/>
              <w:rPr>
                <w:color w:val="000000"/>
                <w:sz w:val="20"/>
                <w:szCs w:val="20"/>
              </w:rPr>
            </w:pPr>
          </w:p>
        </w:tc>
        <w:tc>
          <w:tcPr>
            <w:tcW w:w="1486" w:type="dxa"/>
            <w:tcBorders>
              <w:top w:val="nil"/>
              <w:right w:val="single" w:sz="12" w:space="0" w:color="auto"/>
            </w:tcBorders>
            <w:vAlign w:val="center"/>
          </w:tcPr>
          <w:p w14:paraId="1D12CA62" w14:textId="77777777" w:rsidR="00FC1F24" w:rsidRPr="00F56C32" w:rsidRDefault="00FC1F24" w:rsidP="009110D7">
            <w:pPr>
              <w:jc w:val="center"/>
              <w:rPr>
                <w:color w:val="000000"/>
                <w:sz w:val="20"/>
                <w:szCs w:val="20"/>
              </w:rPr>
            </w:pPr>
          </w:p>
        </w:tc>
      </w:tr>
      <w:tr w:rsidR="00FC1F24" w:rsidRPr="00F56C32" w14:paraId="606E6357" w14:textId="77777777" w:rsidTr="009110D7">
        <w:trPr>
          <w:trHeight w:val="215"/>
        </w:trPr>
        <w:tc>
          <w:tcPr>
            <w:tcW w:w="2065" w:type="dxa"/>
            <w:tcBorders>
              <w:right w:val="single" w:sz="18" w:space="0" w:color="auto"/>
            </w:tcBorders>
            <w:shd w:val="clear" w:color="auto" w:fill="auto"/>
            <w:vAlign w:val="center"/>
          </w:tcPr>
          <w:p w14:paraId="6DA8A129" w14:textId="77777777" w:rsidR="00FC1F24" w:rsidRPr="00F56C32" w:rsidRDefault="00FC1F24" w:rsidP="009110D7">
            <w:pPr>
              <w:widowControl w:val="0"/>
              <w:rPr>
                <w:sz w:val="20"/>
                <w:szCs w:val="20"/>
                <w:lang w:bidi="he-IL"/>
              </w:rPr>
            </w:pPr>
            <w:r w:rsidRPr="00F56C32">
              <w:rPr>
                <w:sz w:val="20"/>
                <w:szCs w:val="20"/>
                <w:lang w:bidi="he-IL"/>
              </w:rPr>
              <w:t>Fixed Year Effects</w:t>
            </w:r>
          </w:p>
        </w:tc>
        <w:tc>
          <w:tcPr>
            <w:tcW w:w="1484" w:type="dxa"/>
            <w:tcBorders>
              <w:left w:val="single" w:sz="18" w:space="0" w:color="auto"/>
            </w:tcBorders>
            <w:shd w:val="clear" w:color="auto" w:fill="auto"/>
            <w:vAlign w:val="center"/>
          </w:tcPr>
          <w:p w14:paraId="793B88EB" w14:textId="77777777" w:rsidR="00FC1F24" w:rsidRPr="00F56C32" w:rsidRDefault="00FC1F24" w:rsidP="009110D7">
            <w:pPr>
              <w:jc w:val="center"/>
              <w:rPr>
                <w:color w:val="000000"/>
                <w:sz w:val="20"/>
                <w:szCs w:val="20"/>
              </w:rPr>
            </w:pPr>
          </w:p>
        </w:tc>
        <w:tc>
          <w:tcPr>
            <w:tcW w:w="1485" w:type="dxa"/>
            <w:tcBorders>
              <w:right w:val="single" w:sz="12" w:space="0" w:color="auto"/>
            </w:tcBorders>
            <w:shd w:val="clear" w:color="auto" w:fill="auto"/>
            <w:vAlign w:val="center"/>
          </w:tcPr>
          <w:p w14:paraId="7C009647" w14:textId="77777777" w:rsidR="00FC1F24" w:rsidRPr="00F56C32" w:rsidRDefault="00FC1F24" w:rsidP="009110D7">
            <w:pPr>
              <w:jc w:val="center"/>
              <w:rPr>
                <w:color w:val="000000"/>
                <w:sz w:val="20"/>
                <w:szCs w:val="20"/>
              </w:rPr>
            </w:pPr>
          </w:p>
        </w:tc>
        <w:tc>
          <w:tcPr>
            <w:tcW w:w="1485" w:type="dxa"/>
            <w:tcBorders>
              <w:left w:val="single" w:sz="18" w:space="0" w:color="auto"/>
            </w:tcBorders>
          </w:tcPr>
          <w:p w14:paraId="3D922C30" w14:textId="77777777" w:rsidR="00FC1F24" w:rsidRPr="00F56C32" w:rsidRDefault="00FC1F24" w:rsidP="009110D7">
            <w:pPr>
              <w:jc w:val="center"/>
              <w:rPr>
                <w:color w:val="000000"/>
                <w:sz w:val="20"/>
                <w:szCs w:val="20"/>
              </w:rPr>
            </w:pPr>
            <w:r w:rsidRPr="00F56C32">
              <w:rPr>
                <w:color w:val="000000"/>
                <w:sz w:val="20"/>
                <w:szCs w:val="20"/>
              </w:rPr>
              <w:t>Yes</w:t>
            </w:r>
          </w:p>
        </w:tc>
        <w:tc>
          <w:tcPr>
            <w:tcW w:w="1485" w:type="dxa"/>
            <w:tcBorders>
              <w:right w:val="single" w:sz="12" w:space="0" w:color="auto"/>
            </w:tcBorders>
          </w:tcPr>
          <w:p w14:paraId="2BB5F3CC" w14:textId="77777777" w:rsidR="00FC1F24" w:rsidRPr="00F56C32" w:rsidRDefault="00FC1F24" w:rsidP="009110D7">
            <w:pPr>
              <w:jc w:val="center"/>
              <w:rPr>
                <w:color w:val="000000"/>
                <w:sz w:val="20"/>
                <w:szCs w:val="20"/>
              </w:rPr>
            </w:pPr>
            <w:r w:rsidRPr="00F56C32">
              <w:rPr>
                <w:color w:val="000000"/>
                <w:sz w:val="20"/>
                <w:szCs w:val="20"/>
              </w:rPr>
              <w:t>Yes</w:t>
            </w:r>
          </w:p>
        </w:tc>
        <w:tc>
          <w:tcPr>
            <w:tcW w:w="1485" w:type="dxa"/>
            <w:tcBorders>
              <w:left w:val="single" w:sz="12" w:space="0" w:color="auto"/>
            </w:tcBorders>
            <w:vAlign w:val="center"/>
          </w:tcPr>
          <w:p w14:paraId="7E56A216" w14:textId="77777777" w:rsidR="00FC1F24" w:rsidRPr="00F56C32" w:rsidRDefault="00FC1F24" w:rsidP="009110D7">
            <w:pPr>
              <w:jc w:val="center"/>
              <w:rPr>
                <w:color w:val="000000"/>
                <w:sz w:val="20"/>
                <w:szCs w:val="20"/>
              </w:rPr>
            </w:pPr>
            <w:r w:rsidRPr="00F56C32">
              <w:rPr>
                <w:color w:val="000000"/>
                <w:sz w:val="20"/>
                <w:szCs w:val="20"/>
              </w:rPr>
              <w:t>Yes</w:t>
            </w:r>
          </w:p>
        </w:tc>
        <w:tc>
          <w:tcPr>
            <w:tcW w:w="1486" w:type="dxa"/>
            <w:tcBorders>
              <w:right w:val="single" w:sz="12" w:space="0" w:color="auto"/>
            </w:tcBorders>
            <w:vAlign w:val="center"/>
          </w:tcPr>
          <w:p w14:paraId="5C95230C" w14:textId="77777777" w:rsidR="00FC1F24" w:rsidRPr="00F56C32" w:rsidRDefault="00FC1F24" w:rsidP="009110D7">
            <w:pPr>
              <w:jc w:val="center"/>
              <w:rPr>
                <w:color w:val="000000"/>
                <w:sz w:val="20"/>
                <w:szCs w:val="20"/>
              </w:rPr>
            </w:pPr>
            <w:r w:rsidRPr="00F56C32">
              <w:rPr>
                <w:color w:val="000000"/>
                <w:sz w:val="20"/>
                <w:szCs w:val="20"/>
              </w:rPr>
              <w:t>Yes</w:t>
            </w:r>
          </w:p>
        </w:tc>
      </w:tr>
      <w:tr w:rsidR="00FC1F24" w:rsidRPr="00F56C32" w14:paraId="139304EC" w14:textId="77777777" w:rsidTr="009110D7">
        <w:trPr>
          <w:trHeight w:val="161"/>
        </w:trPr>
        <w:tc>
          <w:tcPr>
            <w:tcW w:w="2065" w:type="dxa"/>
            <w:tcBorders>
              <w:right w:val="single" w:sz="18" w:space="0" w:color="auto"/>
            </w:tcBorders>
            <w:shd w:val="clear" w:color="auto" w:fill="auto"/>
            <w:vAlign w:val="center"/>
          </w:tcPr>
          <w:p w14:paraId="05E5F499" w14:textId="77777777" w:rsidR="00FC1F24" w:rsidRPr="00F56C32" w:rsidRDefault="00FC1F24" w:rsidP="009110D7">
            <w:pPr>
              <w:widowControl w:val="0"/>
              <w:rPr>
                <w:sz w:val="20"/>
                <w:szCs w:val="20"/>
                <w:lang w:bidi="he-IL"/>
              </w:rPr>
            </w:pPr>
            <w:r w:rsidRPr="00F56C32">
              <w:rPr>
                <w:sz w:val="20"/>
                <w:szCs w:val="20"/>
                <w:lang w:bidi="he-IL"/>
              </w:rPr>
              <w:t>Adj. R</w:t>
            </w:r>
            <w:r w:rsidRPr="00F56C32">
              <w:rPr>
                <w:sz w:val="20"/>
                <w:szCs w:val="20"/>
                <w:vertAlign w:val="superscript"/>
                <w:lang w:bidi="he-IL"/>
              </w:rPr>
              <w:t>2 (</w:t>
            </w:r>
            <w:r>
              <w:rPr>
                <w:sz w:val="20"/>
                <w:szCs w:val="20"/>
                <w:vertAlign w:val="superscript"/>
                <w:lang w:bidi="he-IL"/>
              </w:rPr>
              <w:t>d</w:t>
            </w:r>
            <w:r w:rsidRPr="00F56C32">
              <w:rPr>
                <w:sz w:val="20"/>
                <w:szCs w:val="20"/>
                <w:vertAlign w:val="superscript"/>
                <w:lang w:bidi="he-IL"/>
              </w:rPr>
              <w:t>)</w:t>
            </w:r>
          </w:p>
        </w:tc>
        <w:tc>
          <w:tcPr>
            <w:tcW w:w="1484" w:type="dxa"/>
            <w:tcBorders>
              <w:left w:val="single" w:sz="18" w:space="0" w:color="auto"/>
            </w:tcBorders>
            <w:shd w:val="clear" w:color="auto" w:fill="auto"/>
            <w:vAlign w:val="center"/>
          </w:tcPr>
          <w:p w14:paraId="61E54BF3" w14:textId="77777777" w:rsidR="00FC1F24" w:rsidRPr="00F56C32" w:rsidRDefault="00FC1F24" w:rsidP="009110D7">
            <w:pPr>
              <w:jc w:val="center"/>
              <w:rPr>
                <w:color w:val="000000"/>
                <w:sz w:val="20"/>
                <w:szCs w:val="20"/>
              </w:rPr>
            </w:pPr>
            <w:r w:rsidRPr="00F56C32">
              <w:rPr>
                <w:color w:val="000000"/>
                <w:sz w:val="20"/>
                <w:szCs w:val="20"/>
              </w:rPr>
              <w:t>49.0%</w:t>
            </w:r>
          </w:p>
        </w:tc>
        <w:tc>
          <w:tcPr>
            <w:tcW w:w="1485" w:type="dxa"/>
            <w:tcBorders>
              <w:right w:val="single" w:sz="12" w:space="0" w:color="auto"/>
            </w:tcBorders>
            <w:shd w:val="clear" w:color="auto" w:fill="auto"/>
            <w:vAlign w:val="center"/>
          </w:tcPr>
          <w:p w14:paraId="349F9639" w14:textId="77777777" w:rsidR="00FC1F24" w:rsidRPr="00F56C32" w:rsidRDefault="00FC1F24" w:rsidP="009110D7">
            <w:pPr>
              <w:jc w:val="center"/>
              <w:rPr>
                <w:color w:val="000000"/>
                <w:sz w:val="20"/>
                <w:szCs w:val="20"/>
              </w:rPr>
            </w:pPr>
            <w:r w:rsidRPr="00F56C32">
              <w:rPr>
                <w:color w:val="000000"/>
                <w:sz w:val="20"/>
                <w:szCs w:val="20"/>
              </w:rPr>
              <w:t>65.1%</w:t>
            </w:r>
          </w:p>
        </w:tc>
        <w:tc>
          <w:tcPr>
            <w:tcW w:w="1485" w:type="dxa"/>
            <w:tcBorders>
              <w:left w:val="single" w:sz="18" w:space="0" w:color="auto"/>
            </w:tcBorders>
          </w:tcPr>
          <w:p w14:paraId="6952E697" w14:textId="77777777" w:rsidR="00FC1F24" w:rsidRPr="00F56C32" w:rsidRDefault="00FC1F24" w:rsidP="009110D7">
            <w:pPr>
              <w:jc w:val="center"/>
              <w:rPr>
                <w:color w:val="000000"/>
                <w:sz w:val="20"/>
                <w:szCs w:val="20"/>
              </w:rPr>
            </w:pPr>
            <w:r w:rsidRPr="00F56C32">
              <w:rPr>
                <w:color w:val="000000"/>
                <w:sz w:val="20"/>
                <w:szCs w:val="20"/>
              </w:rPr>
              <w:t>6.0%</w:t>
            </w:r>
          </w:p>
        </w:tc>
        <w:tc>
          <w:tcPr>
            <w:tcW w:w="1485" w:type="dxa"/>
            <w:tcBorders>
              <w:right w:val="single" w:sz="12" w:space="0" w:color="auto"/>
            </w:tcBorders>
          </w:tcPr>
          <w:p w14:paraId="2C651F8D" w14:textId="77777777" w:rsidR="00FC1F24" w:rsidRPr="00F56C32" w:rsidRDefault="00FC1F24" w:rsidP="009110D7">
            <w:pPr>
              <w:jc w:val="center"/>
              <w:rPr>
                <w:color w:val="000000"/>
                <w:sz w:val="20"/>
                <w:szCs w:val="20"/>
              </w:rPr>
            </w:pPr>
            <w:r w:rsidRPr="00F56C32">
              <w:rPr>
                <w:color w:val="000000"/>
                <w:sz w:val="20"/>
                <w:szCs w:val="20"/>
              </w:rPr>
              <w:t>5.6%</w:t>
            </w:r>
          </w:p>
        </w:tc>
        <w:tc>
          <w:tcPr>
            <w:tcW w:w="1485" w:type="dxa"/>
            <w:tcBorders>
              <w:left w:val="single" w:sz="12" w:space="0" w:color="auto"/>
            </w:tcBorders>
            <w:vAlign w:val="center"/>
          </w:tcPr>
          <w:p w14:paraId="3E781EE4" w14:textId="77777777" w:rsidR="00FC1F24" w:rsidRPr="00F56C32" w:rsidRDefault="00FC1F24" w:rsidP="009110D7">
            <w:pPr>
              <w:jc w:val="center"/>
              <w:rPr>
                <w:color w:val="000000"/>
                <w:sz w:val="20"/>
                <w:szCs w:val="20"/>
              </w:rPr>
            </w:pPr>
            <w:r w:rsidRPr="00F56C32">
              <w:rPr>
                <w:color w:val="000000"/>
                <w:sz w:val="20"/>
                <w:szCs w:val="20"/>
              </w:rPr>
              <w:t>40.8%</w:t>
            </w:r>
          </w:p>
        </w:tc>
        <w:tc>
          <w:tcPr>
            <w:tcW w:w="1486" w:type="dxa"/>
            <w:tcBorders>
              <w:right w:val="single" w:sz="12" w:space="0" w:color="auto"/>
            </w:tcBorders>
            <w:vAlign w:val="center"/>
          </w:tcPr>
          <w:p w14:paraId="2145F349" w14:textId="77777777" w:rsidR="00FC1F24" w:rsidRPr="00F56C32" w:rsidRDefault="00FC1F24" w:rsidP="009110D7">
            <w:pPr>
              <w:jc w:val="center"/>
              <w:rPr>
                <w:color w:val="000000"/>
                <w:sz w:val="20"/>
                <w:szCs w:val="20"/>
              </w:rPr>
            </w:pPr>
            <w:r w:rsidRPr="00F56C32">
              <w:rPr>
                <w:color w:val="000000"/>
                <w:sz w:val="20"/>
                <w:szCs w:val="20"/>
              </w:rPr>
              <w:t>14.9%</w:t>
            </w:r>
          </w:p>
        </w:tc>
      </w:tr>
      <w:tr w:rsidR="00FC1F24" w:rsidRPr="00F56C32" w14:paraId="34ED4CD8" w14:textId="77777777" w:rsidTr="009110D7">
        <w:tc>
          <w:tcPr>
            <w:tcW w:w="2065" w:type="dxa"/>
            <w:tcBorders>
              <w:right w:val="single" w:sz="18" w:space="0" w:color="auto"/>
            </w:tcBorders>
            <w:shd w:val="clear" w:color="auto" w:fill="auto"/>
            <w:vAlign w:val="center"/>
          </w:tcPr>
          <w:p w14:paraId="0A309D91" w14:textId="77777777" w:rsidR="00FC1F24" w:rsidRPr="00F56C32" w:rsidRDefault="00FC1F24" w:rsidP="009110D7">
            <w:pPr>
              <w:rPr>
                <w:sz w:val="20"/>
                <w:szCs w:val="20"/>
                <w:lang w:bidi="he-IL"/>
              </w:rPr>
            </w:pPr>
            <w:r w:rsidRPr="00F56C32">
              <w:rPr>
                <w:sz w:val="20"/>
                <w:szCs w:val="20"/>
                <w:lang w:bidi="he-IL"/>
              </w:rPr>
              <w:t>Number of  Obs.</w:t>
            </w:r>
          </w:p>
        </w:tc>
        <w:tc>
          <w:tcPr>
            <w:tcW w:w="1484" w:type="dxa"/>
            <w:tcBorders>
              <w:left w:val="single" w:sz="18" w:space="0" w:color="auto"/>
            </w:tcBorders>
            <w:shd w:val="clear" w:color="auto" w:fill="auto"/>
            <w:vAlign w:val="center"/>
          </w:tcPr>
          <w:p w14:paraId="06197043" w14:textId="77777777" w:rsidR="00FC1F24" w:rsidRPr="00F56C32" w:rsidRDefault="00FC1F24" w:rsidP="009110D7">
            <w:pPr>
              <w:jc w:val="center"/>
              <w:rPr>
                <w:color w:val="000000"/>
                <w:sz w:val="20"/>
                <w:szCs w:val="20"/>
              </w:rPr>
            </w:pPr>
            <w:r w:rsidRPr="00F56C32">
              <w:rPr>
                <w:color w:val="000000"/>
                <w:sz w:val="20"/>
                <w:szCs w:val="20"/>
              </w:rPr>
              <w:t>39</w:t>
            </w:r>
          </w:p>
        </w:tc>
        <w:tc>
          <w:tcPr>
            <w:tcW w:w="1485" w:type="dxa"/>
            <w:tcBorders>
              <w:right w:val="single" w:sz="12" w:space="0" w:color="auto"/>
            </w:tcBorders>
            <w:shd w:val="clear" w:color="auto" w:fill="auto"/>
            <w:vAlign w:val="center"/>
          </w:tcPr>
          <w:p w14:paraId="18F470BE" w14:textId="77777777" w:rsidR="00FC1F24" w:rsidRPr="00F56C32" w:rsidRDefault="00FC1F24" w:rsidP="009110D7">
            <w:pPr>
              <w:jc w:val="center"/>
              <w:rPr>
                <w:color w:val="000000"/>
                <w:sz w:val="20"/>
                <w:szCs w:val="20"/>
              </w:rPr>
            </w:pPr>
            <w:r w:rsidRPr="00F56C32">
              <w:rPr>
                <w:color w:val="000000"/>
                <w:sz w:val="20"/>
                <w:szCs w:val="20"/>
              </w:rPr>
              <w:t>39</w:t>
            </w:r>
          </w:p>
        </w:tc>
        <w:tc>
          <w:tcPr>
            <w:tcW w:w="1485" w:type="dxa"/>
            <w:tcBorders>
              <w:left w:val="single" w:sz="18" w:space="0" w:color="auto"/>
            </w:tcBorders>
          </w:tcPr>
          <w:p w14:paraId="7495D78D" w14:textId="77777777" w:rsidR="00FC1F24" w:rsidRPr="00F56C32" w:rsidRDefault="00FC1F24" w:rsidP="009110D7">
            <w:pPr>
              <w:jc w:val="center"/>
              <w:rPr>
                <w:color w:val="000000"/>
                <w:sz w:val="20"/>
                <w:szCs w:val="20"/>
              </w:rPr>
            </w:pPr>
            <w:r w:rsidRPr="00F56C32">
              <w:rPr>
                <w:color w:val="000000"/>
                <w:sz w:val="20"/>
                <w:szCs w:val="20"/>
              </w:rPr>
              <w:t>6,517</w:t>
            </w:r>
          </w:p>
        </w:tc>
        <w:tc>
          <w:tcPr>
            <w:tcW w:w="1485" w:type="dxa"/>
            <w:tcBorders>
              <w:right w:val="single" w:sz="12" w:space="0" w:color="auto"/>
            </w:tcBorders>
          </w:tcPr>
          <w:p w14:paraId="337B34B5" w14:textId="77777777" w:rsidR="00FC1F24" w:rsidRPr="00F56C32" w:rsidRDefault="00FC1F24" w:rsidP="009110D7">
            <w:pPr>
              <w:jc w:val="center"/>
              <w:rPr>
                <w:color w:val="000000"/>
                <w:sz w:val="20"/>
                <w:szCs w:val="20"/>
              </w:rPr>
            </w:pPr>
            <w:r w:rsidRPr="00F56C32">
              <w:rPr>
                <w:color w:val="000000"/>
                <w:sz w:val="20"/>
                <w:szCs w:val="20"/>
              </w:rPr>
              <w:t>5,994</w:t>
            </w:r>
          </w:p>
        </w:tc>
        <w:tc>
          <w:tcPr>
            <w:tcW w:w="1485" w:type="dxa"/>
            <w:tcBorders>
              <w:left w:val="single" w:sz="12" w:space="0" w:color="auto"/>
            </w:tcBorders>
            <w:vAlign w:val="center"/>
          </w:tcPr>
          <w:p w14:paraId="18A1E098" w14:textId="77777777" w:rsidR="00FC1F24" w:rsidRPr="00F56C32" w:rsidRDefault="00FC1F24" w:rsidP="009110D7">
            <w:pPr>
              <w:jc w:val="center"/>
              <w:rPr>
                <w:color w:val="000000"/>
                <w:sz w:val="20"/>
                <w:szCs w:val="20"/>
              </w:rPr>
            </w:pPr>
            <w:r w:rsidRPr="00F56C32">
              <w:rPr>
                <w:color w:val="000000"/>
                <w:sz w:val="20"/>
                <w:szCs w:val="20"/>
              </w:rPr>
              <w:t>4,806</w:t>
            </w:r>
          </w:p>
        </w:tc>
        <w:tc>
          <w:tcPr>
            <w:tcW w:w="1486" w:type="dxa"/>
            <w:tcBorders>
              <w:right w:val="single" w:sz="12" w:space="0" w:color="auto"/>
            </w:tcBorders>
            <w:vAlign w:val="center"/>
          </w:tcPr>
          <w:p w14:paraId="1531DCB8" w14:textId="77777777" w:rsidR="00FC1F24" w:rsidRPr="00F56C32" w:rsidRDefault="00FC1F24" w:rsidP="009110D7">
            <w:pPr>
              <w:jc w:val="center"/>
              <w:rPr>
                <w:color w:val="000000"/>
                <w:sz w:val="20"/>
                <w:szCs w:val="20"/>
              </w:rPr>
            </w:pPr>
            <w:r w:rsidRPr="00F56C32">
              <w:rPr>
                <w:color w:val="000000"/>
                <w:sz w:val="20"/>
                <w:szCs w:val="20"/>
              </w:rPr>
              <w:t>4,463</w:t>
            </w:r>
          </w:p>
        </w:tc>
      </w:tr>
      <w:tr w:rsidR="00FC1F24" w:rsidRPr="00F56C32" w14:paraId="76A45E6C" w14:textId="77777777" w:rsidTr="009110D7">
        <w:tc>
          <w:tcPr>
            <w:tcW w:w="2065" w:type="dxa"/>
            <w:tcBorders>
              <w:right w:val="single" w:sz="18" w:space="0" w:color="auto"/>
            </w:tcBorders>
            <w:shd w:val="clear" w:color="auto" w:fill="auto"/>
            <w:vAlign w:val="center"/>
          </w:tcPr>
          <w:p w14:paraId="0EA9D7AF" w14:textId="77777777" w:rsidR="00FC1F24" w:rsidRPr="00F56C32" w:rsidRDefault="00FC1F24" w:rsidP="009110D7">
            <w:pPr>
              <w:rPr>
                <w:sz w:val="20"/>
                <w:szCs w:val="20"/>
                <w:lang w:bidi="he-IL"/>
              </w:rPr>
            </w:pPr>
          </w:p>
        </w:tc>
        <w:tc>
          <w:tcPr>
            <w:tcW w:w="1484" w:type="dxa"/>
            <w:tcBorders>
              <w:left w:val="single" w:sz="18" w:space="0" w:color="auto"/>
            </w:tcBorders>
            <w:shd w:val="clear" w:color="auto" w:fill="auto"/>
            <w:vAlign w:val="center"/>
          </w:tcPr>
          <w:p w14:paraId="24C4068E" w14:textId="77777777" w:rsidR="00FC1F24" w:rsidRPr="00F56C32" w:rsidRDefault="00FC1F24" w:rsidP="009110D7">
            <w:pPr>
              <w:jc w:val="center"/>
              <w:rPr>
                <w:color w:val="000000"/>
                <w:sz w:val="20"/>
                <w:szCs w:val="20"/>
              </w:rPr>
            </w:pPr>
          </w:p>
        </w:tc>
        <w:tc>
          <w:tcPr>
            <w:tcW w:w="1485" w:type="dxa"/>
            <w:tcBorders>
              <w:right w:val="single" w:sz="12" w:space="0" w:color="auto"/>
            </w:tcBorders>
            <w:shd w:val="clear" w:color="auto" w:fill="auto"/>
            <w:vAlign w:val="center"/>
          </w:tcPr>
          <w:p w14:paraId="0F3C2EFC" w14:textId="77777777" w:rsidR="00FC1F24" w:rsidRPr="00F56C32" w:rsidRDefault="00FC1F24" w:rsidP="009110D7">
            <w:pPr>
              <w:jc w:val="center"/>
              <w:rPr>
                <w:color w:val="000000"/>
                <w:sz w:val="20"/>
                <w:szCs w:val="20"/>
              </w:rPr>
            </w:pPr>
          </w:p>
        </w:tc>
        <w:tc>
          <w:tcPr>
            <w:tcW w:w="1485" w:type="dxa"/>
            <w:tcBorders>
              <w:left w:val="single" w:sz="18" w:space="0" w:color="auto"/>
            </w:tcBorders>
          </w:tcPr>
          <w:p w14:paraId="12E33245" w14:textId="77777777" w:rsidR="00FC1F24" w:rsidRPr="00F56C32" w:rsidRDefault="00FC1F24" w:rsidP="009110D7">
            <w:pPr>
              <w:jc w:val="center"/>
              <w:rPr>
                <w:color w:val="000000"/>
                <w:sz w:val="20"/>
                <w:szCs w:val="20"/>
              </w:rPr>
            </w:pPr>
          </w:p>
        </w:tc>
        <w:tc>
          <w:tcPr>
            <w:tcW w:w="1485" w:type="dxa"/>
            <w:tcBorders>
              <w:right w:val="single" w:sz="12" w:space="0" w:color="auto"/>
            </w:tcBorders>
          </w:tcPr>
          <w:p w14:paraId="310C47CD" w14:textId="77777777" w:rsidR="00FC1F24" w:rsidRPr="00F56C32" w:rsidRDefault="00FC1F24" w:rsidP="009110D7">
            <w:pPr>
              <w:jc w:val="center"/>
              <w:rPr>
                <w:color w:val="000000"/>
                <w:sz w:val="20"/>
                <w:szCs w:val="20"/>
              </w:rPr>
            </w:pPr>
          </w:p>
        </w:tc>
        <w:tc>
          <w:tcPr>
            <w:tcW w:w="1485" w:type="dxa"/>
            <w:tcBorders>
              <w:left w:val="single" w:sz="12" w:space="0" w:color="auto"/>
            </w:tcBorders>
            <w:vAlign w:val="center"/>
          </w:tcPr>
          <w:p w14:paraId="3F2B48EE" w14:textId="77777777" w:rsidR="00FC1F24" w:rsidRPr="00F56C32" w:rsidRDefault="00FC1F24" w:rsidP="009110D7">
            <w:pPr>
              <w:jc w:val="center"/>
              <w:rPr>
                <w:color w:val="000000"/>
                <w:sz w:val="20"/>
                <w:szCs w:val="20"/>
              </w:rPr>
            </w:pPr>
          </w:p>
        </w:tc>
        <w:tc>
          <w:tcPr>
            <w:tcW w:w="1486" w:type="dxa"/>
            <w:tcBorders>
              <w:right w:val="single" w:sz="12" w:space="0" w:color="auto"/>
            </w:tcBorders>
            <w:vAlign w:val="center"/>
          </w:tcPr>
          <w:p w14:paraId="7A99BAE8" w14:textId="77777777" w:rsidR="00FC1F24" w:rsidRPr="00F56C32" w:rsidRDefault="00FC1F24" w:rsidP="009110D7">
            <w:pPr>
              <w:jc w:val="center"/>
              <w:rPr>
                <w:color w:val="000000"/>
                <w:sz w:val="20"/>
                <w:szCs w:val="20"/>
              </w:rPr>
            </w:pPr>
          </w:p>
        </w:tc>
      </w:tr>
      <w:tr w:rsidR="00FC1F24" w:rsidRPr="00F56C32" w14:paraId="17A81627" w14:textId="77777777" w:rsidTr="009110D7">
        <w:tc>
          <w:tcPr>
            <w:tcW w:w="2065" w:type="dxa"/>
            <w:tcBorders>
              <w:right w:val="single" w:sz="18" w:space="0" w:color="auto"/>
            </w:tcBorders>
            <w:shd w:val="clear" w:color="auto" w:fill="auto"/>
            <w:vAlign w:val="center"/>
          </w:tcPr>
          <w:p w14:paraId="1AC75716" w14:textId="77777777" w:rsidR="00FC1F24" w:rsidRPr="00F56C32" w:rsidRDefault="00FC1F24" w:rsidP="009110D7">
            <w:pPr>
              <w:rPr>
                <w:sz w:val="20"/>
                <w:szCs w:val="20"/>
                <w:lang w:bidi="he-IL"/>
              </w:rPr>
            </w:pPr>
            <w:r w:rsidRPr="00F56C32">
              <w:rPr>
                <w:sz w:val="20"/>
                <w:szCs w:val="20"/>
                <w:lang w:bidi="he-IL"/>
              </w:rPr>
              <w:t xml:space="preserve">Weight of Factors: </w:t>
            </w:r>
            <w:r w:rsidRPr="00F56C32">
              <w:rPr>
                <w:sz w:val="20"/>
                <w:szCs w:val="20"/>
                <w:vertAlign w:val="superscript"/>
                <w:lang w:bidi="he-IL"/>
              </w:rPr>
              <w:t>(</w:t>
            </w:r>
            <w:r>
              <w:rPr>
                <w:sz w:val="20"/>
                <w:szCs w:val="20"/>
                <w:vertAlign w:val="superscript"/>
                <w:lang w:bidi="he-IL"/>
              </w:rPr>
              <w:t>e</w:t>
            </w:r>
            <w:r w:rsidRPr="00F56C32">
              <w:rPr>
                <w:sz w:val="20"/>
                <w:szCs w:val="20"/>
                <w:vertAlign w:val="superscript"/>
                <w:lang w:bidi="he-IL"/>
              </w:rPr>
              <w:t>)</w:t>
            </w:r>
          </w:p>
        </w:tc>
        <w:tc>
          <w:tcPr>
            <w:tcW w:w="1484" w:type="dxa"/>
            <w:tcBorders>
              <w:left w:val="single" w:sz="18" w:space="0" w:color="auto"/>
            </w:tcBorders>
            <w:shd w:val="clear" w:color="auto" w:fill="auto"/>
            <w:vAlign w:val="center"/>
          </w:tcPr>
          <w:p w14:paraId="6C64B896" w14:textId="77777777" w:rsidR="00FC1F24" w:rsidRPr="00F56C32" w:rsidRDefault="00FC1F24" w:rsidP="009110D7">
            <w:pPr>
              <w:jc w:val="center"/>
              <w:rPr>
                <w:color w:val="000000"/>
                <w:sz w:val="20"/>
                <w:szCs w:val="20"/>
              </w:rPr>
            </w:pPr>
          </w:p>
        </w:tc>
        <w:tc>
          <w:tcPr>
            <w:tcW w:w="1485" w:type="dxa"/>
            <w:tcBorders>
              <w:right w:val="single" w:sz="12" w:space="0" w:color="auto"/>
            </w:tcBorders>
            <w:shd w:val="clear" w:color="auto" w:fill="auto"/>
            <w:vAlign w:val="center"/>
          </w:tcPr>
          <w:p w14:paraId="6F0A4B46" w14:textId="77777777" w:rsidR="00FC1F24" w:rsidRPr="00F56C32" w:rsidRDefault="00FC1F24" w:rsidP="009110D7">
            <w:pPr>
              <w:jc w:val="center"/>
              <w:rPr>
                <w:color w:val="000000"/>
                <w:sz w:val="20"/>
                <w:szCs w:val="20"/>
              </w:rPr>
            </w:pPr>
          </w:p>
        </w:tc>
        <w:tc>
          <w:tcPr>
            <w:tcW w:w="1485" w:type="dxa"/>
            <w:tcBorders>
              <w:left w:val="single" w:sz="18" w:space="0" w:color="auto"/>
            </w:tcBorders>
          </w:tcPr>
          <w:p w14:paraId="78F6B523" w14:textId="77777777" w:rsidR="00FC1F24" w:rsidRPr="00F56C32" w:rsidRDefault="00FC1F24" w:rsidP="009110D7">
            <w:pPr>
              <w:jc w:val="center"/>
              <w:rPr>
                <w:color w:val="000000"/>
                <w:sz w:val="20"/>
                <w:szCs w:val="20"/>
              </w:rPr>
            </w:pPr>
          </w:p>
        </w:tc>
        <w:tc>
          <w:tcPr>
            <w:tcW w:w="1485" w:type="dxa"/>
            <w:tcBorders>
              <w:right w:val="single" w:sz="12" w:space="0" w:color="auto"/>
            </w:tcBorders>
          </w:tcPr>
          <w:p w14:paraId="2B8FF188" w14:textId="77777777" w:rsidR="00FC1F24" w:rsidRPr="00F56C32" w:rsidRDefault="00FC1F24" w:rsidP="009110D7">
            <w:pPr>
              <w:jc w:val="center"/>
              <w:rPr>
                <w:color w:val="000000"/>
                <w:sz w:val="20"/>
                <w:szCs w:val="20"/>
              </w:rPr>
            </w:pPr>
          </w:p>
        </w:tc>
        <w:tc>
          <w:tcPr>
            <w:tcW w:w="1485" w:type="dxa"/>
            <w:tcBorders>
              <w:left w:val="single" w:sz="12" w:space="0" w:color="auto"/>
            </w:tcBorders>
            <w:vAlign w:val="center"/>
          </w:tcPr>
          <w:p w14:paraId="4C31C4F3" w14:textId="77777777" w:rsidR="00FC1F24" w:rsidRPr="00F56C32" w:rsidRDefault="00FC1F24" w:rsidP="009110D7">
            <w:pPr>
              <w:jc w:val="center"/>
              <w:rPr>
                <w:color w:val="000000"/>
                <w:sz w:val="20"/>
                <w:szCs w:val="20"/>
              </w:rPr>
            </w:pPr>
          </w:p>
        </w:tc>
        <w:tc>
          <w:tcPr>
            <w:tcW w:w="1486" w:type="dxa"/>
            <w:tcBorders>
              <w:right w:val="single" w:sz="12" w:space="0" w:color="auto"/>
            </w:tcBorders>
            <w:vAlign w:val="center"/>
          </w:tcPr>
          <w:p w14:paraId="2C5D7040" w14:textId="77777777" w:rsidR="00FC1F24" w:rsidRPr="00F56C32" w:rsidRDefault="00FC1F24" w:rsidP="009110D7">
            <w:pPr>
              <w:jc w:val="center"/>
              <w:rPr>
                <w:color w:val="000000"/>
                <w:sz w:val="20"/>
                <w:szCs w:val="20"/>
              </w:rPr>
            </w:pPr>
          </w:p>
        </w:tc>
      </w:tr>
      <w:tr w:rsidR="00FC1F24" w:rsidRPr="00F56C32" w14:paraId="0FB6ED69" w14:textId="77777777" w:rsidTr="009110D7">
        <w:tc>
          <w:tcPr>
            <w:tcW w:w="2065" w:type="dxa"/>
            <w:tcBorders>
              <w:right w:val="single" w:sz="18" w:space="0" w:color="auto"/>
            </w:tcBorders>
            <w:shd w:val="clear" w:color="auto" w:fill="auto"/>
            <w:vAlign w:val="center"/>
          </w:tcPr>
          <w:p w14:paraId="266693E9" w14:textId="77777777" w:rsidR="00FC1F24" w:rsidRPr="00F56C32" w:rsidRDefault="00FC1F24" w:rsidP="009110D7">
            <w:pPr>
              <w:rPr>
                <w:sz w:val="20"/>
                <w:szCs w:val="20"/>
                <w:lang w:bidi="he-IL"/>
              </w:rPr>
            </w:pPr>
            <w:r w:rsidRPr="00F56C32">
              <w:rPr>
                <w:sz w:val="20"/>
                <w:szCs w:val="20"/>
                <w:lang w:bidi="he-IL"/>
              </w:rPr>
              <w:t>Reporting and Hybrid Factors</w:t>
            </w:r>
          </w:p>
        </w:tc>
        <w:tc>
          <w:tcPr>
            <w:tcW w:w="1484" w:type="dxa"/>
            <w:tcBorders>
              <w:left w:val="single" w:sz="18" w:space="0" w:color="auto"/>
            </w:tcBorders>
            <w:shd w:val="clear" w:color="auto" w:fill="auto"/>
            <w:vAlign w:val="center"/>
          </w:tcPr>
          <w:p w14:paraId="48451EE5" w14:textId="77777777" w:rsidR="00FC1F24" w:rsidRPr="00F56C32" w:rsidRDefault="00FC1F24" w:rsidP="009110D7">
            <w:pPr>
              <w:jc w:val="center"/>
              <w:rPr>
                <w:color w:val="000000"/>
                <w:sz w:val="20"/>
                <w:szCs w:val="20"/>
              </w:rPr>
            </w:pPr>
            <w:r w:rsidRPr="00F56C32">
              <w:rPr>
                <w:color w:val="000000"/>
                <w:sz w:val="20"/>
                <w:szCs w:val="20"/>
              </w:rPr>
              <w:t>44.6%</w:t>
            </w:r>
          </w:p>
        </w:tc>
        <w:tc>
          <w:tcPr>
            <w:tcW w:w="1485" w:type="dxa"/>
            <w:tcBorders>
              <w:right w:val="single" w:sz="12" w:space="0" w:color="auto"/>
            </w:tcBorders>
            <w:shd w:val="clear" w:color="auto" w:fill="auto"/>
            <w:vAlign w:val="center"/>
          </w:tcPr>
          <w:p w14:paraId="1EBF1B73" w14:textId="77777777" w:rsidR="00FC1F24" w:rsidRPr="00F56C32" w:rsidRDefault="00FC1F24" w:rsidP="009110D7">
            <w:pPr>
              <w:jc w:val="center"/>
              <w:rPr>
                <w:color w:val="000000"/>
                <w:sz w:val="20"/>
                <w:szCs w:val="20"/>
              </w:rPr>
            </w:pPr>
            <w:r w:rsidRPr="00F56C32">
              <w:rPr>
                <w:color w:val="000000"/>
                <w:sz w:val="20"/>
                <w:szCs w:val="20"/>
              </w:rPr>
              <w:t>58.6%</w:t>
            </w:r>
          </w:p>
        </w:tc>
        <w:tc>
          <w:tcPr>
            <w:tcW w:w="1485" w:type="dxa"/>
            <w:tcBorders>
              <w:left w:val="single" w:sz="18" w:space="0" w:color="auto"/>
            </w:tcBorders>
            <w:vAlign w:val="center"/>
          </w:tcPr>
          <w:p w14:paraId="248CBF9B" w14:textId="77777777" w:rsidR="00FC1F24" w:rsidRPr="00F56C32" w:rsidRDefault="00FC1F24" w:rsidP="009110D7">
            <w:pPr>
              <w:jc w:val="center"/>
              <w:rPr>
                <w:color w:val="000000"/>
                <w:sz w:val="20"/>
                <w:szCs w:val="20"/>
              </w:rPr>
            </w:pPr>
            <w:r w:rsidRPr="00F56C32">
              <w:rPr>
                <w:color w:val="000000"/>
                <w:sz w:val="20"/>
                <w:szCs w:val="20"/>
              </w:rPr>
              <w:t>15.8%</w:t>
            </w:r>
          </w:p>
        </w:tc>
        <w:tc>
          <w:tcPr>
            <w:tcW w:w="1485" w:type="dxa"/>
            <w:tcBorders>
              <w:right w:val="single" w:sz="12" w:space="0" w:color="auto"/>
            </w:tcBorders>
            <w:vAlign w:val="center"/>
          </w:tcPr>
          <w:p w14:paraId="469F52F5" w14:textId="77777777" w:rsidR="00FC1F24" w:rsidRPr="00F56C32" w:rsidRDefault="00FC1F24" w:rsidP="009110D7">
            <w:pPr>
              <w:jc w:val="center"/>
              <w:rPr>
                <w:color w:val="000000"/>
                <w:sz w:val="20"/>
                <w:szCs w:val="20"/>
              </w:rPr>
            </w:pPr>
            <w:r w:rsidRPr="00F56C32">
              <w:rPr>
                <w:color w:val="000000"/>
                <w:sz w:val="20"/>
                <w:szCs w:val="20"/>
              </w:rPr>
              <w:t>29.9%</w:t>
            </w:r>
          </w:p>
        </w:tc>
        <w:tc>
          <w:tcPr>
            <w:tcW w:w="1485" w:type="dxa"/>
            <w:tcBorders>
              <w:left w:val="single" w:sz="12" w:space="0" w:color="auto"/>
            </w:tcBorders>
            <w:vAlign w:val="center"/>
          </w:tcPr>
          <w:p w14:paraId="693E5CF0" w14:textId="77777777" w:rsidR="00FC1F24" w:rsidRPr="00F56C32" w:rsidRDefault="00FC1F24" w:rsidP="009110D7">
            <w:pPr>
              <w:jc w:val="center"/>
              <w:rPr>
                <w:color w:val="000000"/>
                <w:sz w:val="20"/>
                <w:szCs w:val="20"/>
              </w:rPr>
            </w:pPr>
            <w:r w:rsidRPr="00F56C32">
              <w:rPr>
                <w:color w:val="000000"/>
                <w:sz w:val="20"/>
                <w:szCs w:val="20"/>
              </w:rPr>
              <w:t>30.1%</w:t>
            </w:r>
          </w:p>
        </w:tc>
        <w:tc>
          <w:tcPr>
            <w:tcW w:w="1486" w:type="dxa"/>
            <w:tcBorders>
              <w:right w:val="single" w:sz="12" w:space="0" w:color="auto"/>
            </w:tcBorders>
            <w:vAlign w:val="center"/>
          </w:tcPr>
          <w:p w14:paraId="18805E86" w14:textId="77777777" w:rsidR="00FC1F24" w:rsidRPr="00F56C32" w:rsidRDefault="00FC1F24" w:rsidP="009110D7">
            <w:pPr>
              <w:jc w:val="center"/>
              <w:rPr>
                <w:color w:val="000000"/>
                <w:sz w:val="20"/>
                <w:szCs w:val="20"/>
              </w:rPr>
            </w:pPr>
            <w:r w:rsidRPr="00F56C32">
              <w:rPr>
                <w:color w:val="000000"/>
                <w:sz w:val="20"/>
                <w:szCs w:val="20"/>
              </w:rPr>
              <w:t>33.5%</w:t>
            </w:r>
          </w:p>
        </w:tc>
      </w:tr>
      <w:tr w:rsidR="00FC1F24" w:rsidRPr="00F56C32" w14:paraId="21B59483" w14:textId="77777777" w:rsidTr="009110D7">
        <w:trPr>
          <w:trHeight w:val="233"/>
        </w:trPr>
        <w:tc>
          <w:tcPr>
            <w:tcW w:w="2065" w:type="dxa"/>
            <w:tcBorders>
              <w:right w:val="single" w:sz="18" w:space="0" w:color="auto"/>
            </w:tcBorders>
            <w:shd w:val="clear" w:color="auto" w:fill="auto"/>
            <w:vAlign w:val="center"/>
          </w:tcPr>
          <w:p w14:paraId="77BE877E" w14:textId="77777777" w:rsidR="00FC1F24" w:rsidRPr="00F56C32" w:rsidRDefault="00FC1F24" w:rsidP="009110D7">
            <w:pPr>
              <w:rPr>
                <w:sz w:val="20"/>
                <w:szCs w:val="20"/>
                <w:lang w:bidi="he-IL"/>
              </w:rPr>
            </w:pPr>
            <w:r w:rsidRPr="00F56C32">
              <w:rPr>
                <w:sz w:val="20"/>
                <w:szCs w:val="20"/>
                <w:lang w:bidi="he-IL"/>
              </w:rPr>
              <w:t xml:space="preserve">Economic Factors </w:t>
            </w:r>
          </w:p>
        </w:tc>
        <w:tc>
          <w:tcPr>
            <w:tcW w:w="1484" w:type="dxa"/>
            <w:tcBorders>
              <w:left w:val="single" w:sz="18" w:space="0" w:color="auto"/>
            </w:tcBorders>
            <w:shd w:val="clear" w:color="auto" w:fill="auto"/>
            <w:vAlign w:val="center"/>
          </w:tcPr>
          <w:p w14:paraId="6360EF5F" w14:textId="77777777" w:rsidR="00FC1F24" w:rsidRPr="00F56C32" w:rsidRDefault="00FC1F24" w:rsidP="009110D7">
            <w:pPr>
              <w:jc w:val="center"/>
              <w:rPr>
                <w:color w:val="000000"/>
                <w:sz w:val="20"/>
                <w:szCs w:val="20"/>
              </w:rPr>
            </w:pPr>
            <w:r w:rsidRPr="00F56C32">
              <w:rPr>
                <w:color w:val="000000"/>
                <w:sz w:val="20"/>
                <w:szCs w:val="20"/>
              </w:rPr>
              <w:t>55.4%</w:t>
            </w:r>
          </w:p>
        </w:tc>
        <w:tc>
          <w:tcPr>
            <w:tcW w:w="1485" w:type="dxa"/>
            <w:tcBorders>
              <w:right w:val="single" w:sz="12" w:space="0" w:color="auto"/>
            </w:tcBorders>
            <w:shd w:val="clear" w:color="auto" w:fill="auto"/>
            <w:vAlign w:val="center"/>
          </w:tcPr>
          <w:p w14:paraId="18CC006E" w14:textId="77777777" w:rsidR="00FC1F24" w:rsidRPr="00F56C32" w:rsidRDefault="00FC1F24" w:rsidP="009110D7">
            <w:pPr>
              <w:jc w:val="center"/>
              <w:rPr>
                <w:color w:val="000000"/>
                <w:sz w:val="20"/>
                <w:szCs w:val="20"/>
              </w:rPr>
            </w:pPr>
            <w:r w:rsidRPr="00F56C32">
              <w:rPr>
                <w:color w:val="000000"/>
                <w:sz w:val="20"/>
                <w:szCs w:val="20"/>
              </w:rPr>
              <w:t>41.4%</w:t>
            </w:r>
          </w:p>
        </w:tc>
        <w:tc>
          <w:tcPr>
            <w:tcW w:w="1485" w:type="dxa"/>
            <w:tcBorders>
              <w:left w:val="single" w:sz="18" w:space="0" w:color="auto"/>
            </w:tcBorders>
          </w:tcPr>
          <w:p w14:paraId="65394B88" w14:textId="77777777" w:rsidR="00FC1F24" w:rsidRPr="00F56C32" w:rsidRDefault="00FC1F24" w:rsidP="009110D7">
            <w:pPr>
              <w:jc w:val="center"/>
              <w:rPr>
                <w:color w:val="000000"/>
                <w:sz w:val="20"/>
                <w:szCs w:val="20"/>
              </w:rPr>
            </w:pPr>
            <w:r w:rsidRPr="00F56C32">
              <w:rPr>
                <w:color w:val="000000"/>
                <w:sz w:val="20"/>
                <w:szCs w:val="20"/>
              </w:rPr>
              <w:t>82.2%</w:t>
            </w:r>
          </w:p>
        </w:tc>
        <w:tc>
          <w:tcPr>
            <w:tcW w:w="1485" w:type="dxa"/>
            <w:tcBorders>
              <w:right w:val="single" w:sz="12" w:space="0" w:color="auto"/>
            </w:tcBorders>
          </w:tcPr>
          <w:p w14:paraId="62139CDC" w14:textId="77777777" w:rsidR="00FC1F24" w:rsidRPr="00F56C32" w:rsidRDefault="00FC1F24" w:rsidP="009110D7">
            <w:pPr>
              <w:jc w:val="center"/>
              <w:rPr>
                <w:color w:val="000000"/>
                <w:sz w:val="20"/>
                <w:szCs w:val="20"/>
              </w:rPr>
            </w:pPr>
            <w:r w:rsidRPr="00F56C32">
              <w:rPr>
                <w:color w:val="000000"/>
                <w:sz w:val="20"/>
                <w:szCs w:val="20"/>
              </w:rPr>
              <w:t>70.1%</w:t>
            </w:r>
          </w:p>
        </w:tc>
        <w:tc>
          <w:tcPr>
            <w:tcW w:w="1485" w:type="dxa"/>
            <w:tcBorders>
              <w:left w:val="single" w:sz="12" w:space="0" w:color="auto"/>
            </w:tcBorders>
            <w:vAlign w:val="center"/>
          </w:tcPr>
          <w:p w14:paraId="257598D0" w14:textId="77777777" w:rsidR="00FC1F24" w:rsidRPr="00F56C32" w:rsidRDefault="00FC1F24" w:rsidP="009110D7">
            <w:pPr>
              <w:jc w:val="center"/>
              <w:rPr>
                <w:color w:val="000000"/>
                <w:sz w:val="20"/>
                <w:szCs w:val="20"/>
              </w:rPr>
            </w:pPr>
            <w:r w:rsidRPr="00F56C32">
              <w:rPr>
                <w:color w:val="000000"/>
                <w:sz w:val="20"/>
                <w:szCs w:val="20"/>
              </w:rPr>
              <w:t>69.9%</w:t>
            </w:r>
          </w:p>
        </w:tc>
        <w:tc>
          <w:tcPr>
            <w:tcW w:w="1486" w:type="dxa"/>
            <w:tcBorders>
              <w:right w:val="single" w:sz="12" w:space="0" w:color="auto"/>
            </w:tcBorders>
            <w:vAlign w:val="center"/>
          </w:tcPr>
          <w:p w14:paraId="2B7424D4" w14:textId="77777777" w:rsidR="00FC1F24" w:rsidRPr="00F56C32" w:rsidRDefault="00FC1F24" w:rsidP="009110D7">
            <w:pPr>
              <w:jc w:val="center"/>
              <w:rPr>
                <w:color w:val="000000"/>
                <w:sz w:val="20"/>
                <w:szCs w:val="20"/>
              </w:rPr>
            </w:pPr>
            <w:r w:rsidRPr="00F56C32">
              <w:rPr>
                <w:color w:val="000000"/>
                <w:sz w:val="20"/>
                <w:szCs w:val="20"/>
              </w:rPr>
              <w:t>66.5%</w:t>
            </w:r>
          </w:p>
        </w:tc>
      </w:tr>
    </w:tbl>
    <w:p w14:paraId="4E0F219B" w14:textId="77777777" w:rsidR="00D6244A" w:rsidRPr="00157504" w:rsidRDefault="00D6244A" w:rsidP="00D6244A">
      <w:pPr>
        <w:tabs>
          <w:tab w:val="center" w:pos="5040"/>
          <w:tab w:val="left" w:pos="6036"/>
          <w:tab w:val="left" w:pos="9225"/>
        </w:tabs>
        <w:spacing w:before="120"/>
        <w:jc w:val="center"/>
        <w:rPr>
          <w:sz w:val="18"/>
          <w:szCs w:val="18"/>
        </w:rPr>
      </w:pPr>
      <w:r w:rsidRPr="00157504">
        <w:rPr>
          <w:sz w:val="18"/>
          <w:szCs w:val="18"/>
          <w:lang w:bidi="he-IL"/>
        </w:rPr>
        <w:t xml:space="preserve">INFO (.) </w:t>
      </w:r>
      <w:proofErr w:type="spellStart"/>
      <w:r w:rsidRPr="00157504">
        <w:rPr>
          <w:sz w:val="18"/>
          <w:szCs w:val="18"/>
          <w:vertAlign w:val="subscript"/>
          <w:lang w:bidi="he-IL"/>
        </w:rPr>
        <w:t>j,t</w:t>
      </w:r>
      <w:proofErr w:type="spellEnd"/>
      <w:r w:rsidRPr="00157504">
        <w:rPr>
          <w:sz w:val="18"/>
          <w:szCs w:val="18"/>
          <w:lang w:bidi="he-IL"/>
        </w:rPr>
        <w:t xml:space="preserve">  = </w:t>
      </w:r>
      <w:r w:rsidRPr="00157504">
        <w:rPr>
          <w:rFonts w:ascii="Blackadder ITC" w:hAnsi="Blackadder ITC" w:cs="Andalus"/>
          <w:sz w:val="18"/>
          <w:szCs w:val="18"/>
        </w:rPr>
        <w:t>f</w:t>
      </w:r>
      <w:r w:rsidRPr="00157504">
        <w:rPr>
          <w:sz w:val="18"/>
          <w:szCs w:val="18"/>
        </w:rPr>
        <w:t xml:space="preserve"> {Year fixed effects, </w:t>
      </w:r>
      <w:proofErr w:type="spellStart"/>
      <w:r w:rsidRPr="00157504">
        <w:rPr>
          <w:sz w:val="18"/>
          <w:szCs w:val="18"/>
        </w:rPr>
        <w:t>PROB</w:t>
      </w:r>
      <w:r w:rsidRPr="00157504">
        <w:rPr>
          <w:sz w:val="18"/>
          <w:szCs w:val="18"/>
          <w:vertAlign w:val="subscript"/>
        </w:rPr>
        <w:t>j</w:t>
      </w:r>
      <w:r w:rsidRPr="00D6244A">
        <w:rPr>
          <w:sz w:val="18"/>
          <w:szCs w:val="18"/>
          <w:vertAlign w:val="subscript"/>
        </w:rPr>
        <w:t>,</w:t>
      </w:r>
      <w:r w:rsidRPr="00157504">
        <w:rPr>
          <w:sz w:val="18"/>
          <w:szCs w:val="18"/>
          <w:vertAlign w:val="subscript"/>
        </w:rPr>
        <w:t>t</w:t>
      </w:r>
      <w:proofErr w:type="spellEnd"/>
      <w:r w:rsidRPr="00157504">
        <w:rPr>
          <w:sz w:val="18"/>
          <w:szCs w:val="18"/>
        </w:rPr>
        <w:t xml:space="preserve">, </w:t>
      </w:r>
      <w:proofErr w:type="spellStart"/>
      <w:r w:rsidRPr="00157504">
        <w:rPr>
          <w:sz w:val="18"/>
          <w:szCs w:val="18"/>
        </w:rPr>
        <w:t>NegCFO</w:t>
      </w:r>
      <w:proofErr w:type="spellEnd"/>
      <w:r w:rsidRPr="00157504">
        <w:rPr>
          <w:sz w:val="18"/>
          <w:szCs w:val="18"/>
        </w:rPr>
        <w:t>*</w:t>
      </w:r>
      <w:proofErr w:type="spellStart"/>
      <w:r w:rsidRPr="00157504">
        <w:rPr>
          <w:sz w:val="18"/>
          <w:szCs w:val="18"/>
          <w:vertAlign w:val="subscript"/>
        </w:rPr>
        <w:t>j</w:t>
      </w:r>
      <w:r w:rsidRPr="00157504">
        <w:rPr>
          <w:sz w:val="18"/>
          <w:szCs w:val="18"/>
        </w:rPr>
        <w:t>,</w:t>
      </w:r>
      <w:r w:rsidRPr="00157504">
        <w:rPr>
          <w:sz w:val="18"/>
          <w:szCs w:val="18"/>
          <w:vertAlign w:val="subscript"/>
        </w:rPr>
        <w:t>t</w:t>
      </w:r>
      <w:proofErr w:type="spellEnd"/>
      <w:r w:rsidRPr="00157504">
        <w:rPr>
          <w:sz w:val="18"/>
          <w:szCs w:val="18"/>
        </w:rPr>
        <w:t>, CONSERV</w:t>
      </w:r>
      <w:r w:rsidRPr="00157504">
        <w:rPr>
          <w:sz w:val="18"/>
          <w:szCs w:val="18"/>
          <w:vertAlign w:val="subscript"/>
        </w:rPr>
        <w:t>j</w:t>
      </w:r>
      <w:r w:rsidRPr="00157504">
        <w:rPr>
          <w:sz w:val="18"/>
          <w:szCs w:val="18"/>
        </w:rPr>
        <w:t>,</w:t>
      </w:r>
      <w:r w:rsidRPr="00157504">
        <w:rPr>
          <w:sz w:val="18"/>
          <w:szCs w:val="18"/>
          <w:vertAlign w:val="subscript"/>
        </w:rPr>
        <w:t>t-1</w:t>
      </w:r>
      <w:r w:rsidRPr="00157504">
        <w:rPr>
          <w:sz w:val="18"/>
          <w:szCs w:val="18"/>
        </w:rPr>
        <w:t>,VRatio</w:t>
      </w:r>
      <w:r w:rsidRPr="00157504">
        <w:rPr>
          <w:sz w:val="18"/>
          <w:szCs w:val="18"/>
          <w:vertAlign w:val="subscript"/>
        </w:rPr>
        <w:t xml:space="preserve"> </w:t>
      </w:r>
      <w:proofErr w:type="spellStart"/>
      <w:r w:rsidRPr="00157504">
        <w:rPr>
          <w:sz w:val="18"/>
          <w:szCs w:val="18"/>
          <w:vertAlign w:val="subscript"/>
        </w:rPr>
        <w:t>j</w:t>
      </w:r>
      <w:r>
        <w:rPr>
          <w:sz w:val="18"/>
          <w:szCs w:val="18"/>
          <w:vertAlign w:val="subscript"/>
        </w:rPr>
        <w:t>,</w:t>
      </w:r>
      <w:r w:rsidRPr="00157504">
        <w:rPr>
          <w:sz w:val="18"/>
          <w:szCs w:val="18"/>
          <w:vertAlign w:val="subscript"/>
        </w:rPr>
        <w:t>t</w:t>
      </w:r>
      <w:proofErr w:type="spellEnd"/>
      <w:r w:rsidRPr="00157504">
        <w:rPr>
          <w:sz w:val="18"/>
          <w:szCs w:val="18"/>
          <w:vertAlign w:val="subscript"/>
        </w:rPr>
        <w:t xml:space="preserve"> </w:t>
      </w:r>
      <w:r w:rsidRPr="00157504">
        <w:rPr>
          <w:sz w:val="18"/>
          <w:szCs w:val="18"/>
        </w:rPr>
        <w:t>,  L</w:t>
      </w:r>
      <w:r>
        <w:rPr>
          <w:sz w:val="18"/>
          <w:szCs w:val="18"/>
        </w:rPr>
        <w:t>OSS</w:t>
      </w:r>
      <w:r w:rsidRPr="00157504">
        <w:rPr>
          <w:sz w:val="18"/>
          <w:szCs w:val="18"/>
        </w:rPr>
        <w:t>*</w:t>
      </w:r>
      <w:proofErr w:type="spellStart"/>
      <w:r w:rsidRPr="00157504">
        <w:rPr>
          <w:sz w:val="18"/>
          <w:szCs w:val="18"/>
          <w:vertAlign w:val="subscript"/>
        </w:rPr>
        <w:t>j</w:t>
      </w:r>
      <w:r w:rsidRPr="00157504">
        <w:rPr>
          <w:sz w:val="18"/>
          <w:szCs w:val="18"/>
        </w:rPr>
        <w:t>,</w:t>
      </w:r>
      <w:r w:rsidRPr="00157504">
        <w:rPr>
          <w:sz w:val="18"/>
          <w:szCs w:val="18"/>
          <w:vertAlign w:val="subscript"/>
        </w:rPr>
        <w:t>t</w:t>
      </w:r>
      <w:proofErr w:type="spellEnd"/>
      <w:r w:rsidRPr="00157504">
        <w:rPr>
          <w:sz w:val="18"/>
          <w:szCs w:val="18"/>
        </w:rPr>
        <w:t xml:space="preserve">, </w:t>
      </w:r>
      <w:proofErr w:type="spellStart"/>
      <w:r w:rsidRPr="00157504">
        <w:rPr>
          <w:sz w:val="18"/>
          <w:szCs w:val="18"/>
        </w:rPr>
        <w:t>Intangibles</w:t>
      </w:r>
      <w:r w:rsidRPr="00157504">
        <w:rPr>
          <w:sz w:val="18"/>
          <w:szCs w:val="18"/>
          <w:vertAlign w:val="subscript"/>
        </w:rPr>
        <w:t>j,t</w:t>
      </w:r>
      <w:proofErr w:type="spellEnd"/>
      <w:r w:rsidRPr="00157504">
        <w:rPr>
          <w:sz w:val="18"/>
          <w:szCs w:val="18"/>
        </w:rPr>
        <w:t>}   (8)</w:t>
      </w:r>
    </w:p>
    <w:p w14:paraId="3589241B" w14:textId="77777777" w:rsidR="00FC1F24" w:rsidRDefault="00FC1F24" w:rsidP="00FC1F24">
      <w:pPr>
        <w:ind w:left="-90" w:hanging="180"/>
        <w:rPr>
          <w:iCs/>
          <w:sz w:val="18"/>
          <w:szCs w:val="20"/>
          <w:vertAlign w:val="superscript"/>
        </w:rPr>
      </w:pPr>
    </w:p>
    <w:p w14:paraId="693AEFC1" w14:textId="77777777" w:rsidR="00FC1F24" w:rsidRDefault="00FC1F24" w:rsidP="00FC1F24">
      <w:pPr>
        <w:ind w:left="-90" w:hanging="180"/>
        <w:rPr>
          <w:iCs/>
          <w:sz w:val="18"/>
          <w:szCs w:val="20"/>
          <w:vertAlign w:val="superscript"/>
        </w:rPr>
      </w:pPr>
    </w:p>
    <w:p w14:paraId="150CB80D" w14:textId="77777777" w:rsidR="009110D7" w:rsidRDefault="009110D7" w:rsidP="00FC1F24">
      <w:pPr>
        <w:ind w:left="-90" w:hanging="180"/>
        <w:rPr>
          <w:iCs/>
          <w:sz w:val="18"/>
          <w:szCs w:val="20"/>
          <w:vertAlign w:val="superscript"/>
        </w:rPr>
      </w:pPr>
    </w:p>
    <w:p w14:paraId="23FD84A5" w14:textId="77777777" w:rsidR="00105A5E" w:rsidRDefault="00105A5E" w:rsidP="00105A5E">
      <w:pPr>
        <w:ind w:left="-90" w:hanging="180"/>
        <w:rPr>
          <w:iCs/>
          <w:sz w:val="18"/>
          <w:szCs w:val="20"/>
        </w:rPr>
      </w:pPr>
      <w:r w:rsidRPr="0023367D">
        <w:rPr>
          <w:iCs/>
          <w:sz w:val="18"/>
          <w:szCs w:val="20"/>
          <w:vertAlign w:val="superscript"/>
        </w:rPr>
        <w:t xml:space="preserve">(a) </w:t>
      </w:r>
      <w:r w:rsidRPr="0023367D">
        <w:rPr>
          <w:iCs/>
          <w:sz w:val="18"/>
          <w:szCs w:val="20"/>
        </w:rPr>
        <w:t xml:space="preserve">All variables in the regression are </w:t>
      </w:r>
      <w:proofErr w:type="spellStart"/>
      <w:proofErr w:type="gramStart"/>
      <w:r w:rsidRPr="0023367D">
        <w:rPr>
          <w:iCs/>
          <w:sz w:val="18"/>
          <w:szCs w:val="20"/>
        </w:rPr>
        <w:t>Winsorized</w:t>
      </w:r>
      <w:proofErr w:type="spellEnd"/>
      <w:proofErr w:type="gramEnd"/>
      <w:r w:rsidRPr="0023367D">
        <w:rPr>
          <w:iCs/>
          <w:sz w:val="18"/>
          <w:szCs w:val="20"/>
        </w:rPr>
        <w:t xml:space="preserve"> at the 1% and 99% of the variable’s distribution. </w:t>
      </w:r>
    </w:p>
    <w:p w14:paraId="4FD67114" w14:textId="77777777" w:rsidR="00105A5E" w:rsidRDefault="00105A5E" w:rsidP="00105A5E">
      <w:pPr>
        <w:ind w:left="-90" w:hanging="180"/>
        <w:rPr>
          <w:iCs/>
          <w:sz w:val="18"/>
          <w:szCs w:val="20"/>
        </w:rPr>
      </w:pPr>
      <w:r w:rsidRPr="0023367D">
        <w:rPr>
          <w:iCs/>
          <w:sz w:val="18"/>
          <w:szCs w:val="20"/>
          <w:vertAlign w:val="superscript"/>
        </w:rPr>
        <w:t xml:space="preserve">(b) </w:t>
      </w:r>
      <w:r w:rsidRPr="0023367D">
        <w:rPr>
          <w:iCs/>
          <w:sz w:val="18"/>
          <w:szCs w:val="20"/>
        </w:rPr>
        <w:t>For columns (1) to (</w:t>
      </w:r>
      <w:r>
        <w:rPr>
          <w:iCs/>
          <w:sz w:val="18"/>
          <w:szCs w:val="20"/>
        </w:rPr>
        <w:t>2</w:t>
      </w:r>
      <w:r w:rsidRPr="0023367D">
        <w:rPr>
          <w:iCs/>
          <w:sz w:val="18"/>
          <w:szCs w:val="20"/>
        </w:rPr>
        <w:t xml:space="preserve">), the value of </w:t>
      </w:r>
      <w:r w:rsidRPr="001F4CEF">
        <w:rPr>
          <w:b/>
          <w:i/>
          <w:iCs/>
          <w:sz w:val="18"/>
          <w:szCs w:val="20"/>
        </w:rPr>
        <w:t>PROB</w:t>
      </w:r>
      <w:r w:rsidRPr="001F4CEF">
        <w:rPr>
          <w:i/>
          <w:iCs/>
          <w:sz w:val="18"/>
          <w:szCs w:val="20"/>
        </w:rPr>
        <w:t>,</w:t>
      </w:r>
      <w:r w:rsidRPr="001F4CEF">
        <w:rPr>
          <w:iCs/>
          <w:sz w:val="18"/>
          <w:szCs w:val="20"/>
        </w:rPr>
        <w:t xml:space="preserve"> </w:t>
      </w:r>
      <w:r w:rsidRPr="00157504">
        <w:rPr>
          <w:b/>
          <w:bCs/>
          <w:i/>
          <w:sz w:val="18"/>
          <w:szCs w:val="20"/>
        </w:rPr>
        <w:t>CONSERV</w:t>
      </w:r>
      <w:r>
        <w:rPr>
          <w:iCs/>
          <w:sz w:val="18"/>
          <w:szCs w:val="20"/>
        </w:rPr>
        <w:t xml:space="preserve">, </w:t>
      </w:r>
      <w:proofErr w:type="spellStart"/>
      <w:r w:rsidRPr="00157504">
        <w:rPr>
          <w:b/>
          <w:bCs/>
          <w:i/>
          <w:sz w:val="18"/>
          <w:szCs w:val="20"/>
        </w:rPr>
        <w:t>VRatio</w:t>
      </w:r>
      <w:proofErr w:type="spellEnd"/>
      <w:r>
        <w:rPr>
          <w:iCs/>
          <w:sz w:val="18"/>
          <w:szCs w:val="20"/>
        </w:rPr>
        <w:t xml:space="preserve"> and </w:t>
      </w:r>
      <w:r w:rsidRPr="00157504">
        <w:rPr>
          <w:b/>
          <w:bCs/>
          <w:i/>
          <w:sz w:val="18"/>
          <w:szCs w:val="20"/>
        </w:rPr>
        <w:t>Intangibles</w:t>
      </w:r>
      <w:r w:rsidRPr="0023367D">
        <w:rPr>
          <w:iCs/>
          <w:sz w:val="18"/>
          <w:szCs w:val="20"/>
        </w:rPr>
        <w:t xml:space="preserve"> is the mean across firms of that variable in year t. </w:t>
      </w:r>
    </w:p>
    <w:p w14:paraId="70BCDC83" w14:textId="77777777" w:rsidR="00105A5E" w:rsidRPr="00322C30" w:rsidRDefault="00105A5E" w:rsidP="00105A5E">
      <w:pPr>
        <w:ind w:left="-90" w:hanging="180"/>
        <w:rPr>
          <w:iCs/>
          <w:sz w:val="14"/>
          <w:szCs w:val="16"/>
        </w:rPr>
      </w:pPr>
      <w:r w:rsidRPr="00322C30">
        <w:rPr>
          <w:iCs/>
          <w:sz w:val="18"/>
          <w:szCs w:val="20"/>
          <w:vertAlign w:val="superscript"/>
        </w:rPr>
        <w:t>(c)</w:t>
      </w:r>
      <w:r w:rsidRPr="00322C30">
        <w:rPr>
          <w:iCs/>
          <w:sz w:val="14"/>
          <w:szCs w:val="16"/>
          <w:vertAlign w:val="superscript"/>
        </w:rPr>
        <w:t xml:space="preserve"> </w:t>
      </w:r>
      <w:r>
        <w:rPr>
          <w:iCs/>
          <w:sz w:val="14"/>
          <w:szCs w:val="16"/>
          <w:vertAlign w:val="superscript"/>
        </w:rPr>
        <w:t xml:space="preserve"> </w:t>
      </w:r>
      <w:proofErr w:type="spellStart"/>
      <w:r w:rsidRPr="006F0E3A">
        <w:rPr>
          <w:b/>
          <w:bCs/>
          <w:iCs/>
          <w:sz w:val="18"/>
          <w:szCs w:val="20"/>
        </w:rPr>
        <w:t>NegCFO</w:t>
      </w:r>
      <w:proofErr w:type="spellEnd"/>
      <w:r>
        <w:rPr>
          <w:iCs/>
          <w:sz w:val="18"/>
          <w:szCs w:val="20"/>
        </w:rPr>
        <w:t xml:space="preserve"> and </w:t>
      </w:r>
      <w:r w:rsidRPr="006F0E3A">
        <w:rPr>
          <w:b/>
          <w:bCs/>
          <w:iCs/>
          <w:sz w:val="18"/>
          <w:szCs w:val="20"/>
        </w:rPr>
        <w:t>L</w:t>
      </w:r>
      <w:r>
        <w:rPr>
          <w:b/>
          <w:bCs/>
          <w:iCs/>
          <w:sz w:val="18"/>
          <w:szCs w:val="20"/>
        </w:rPr>
        <w:t>OSS</w:t>
      </w:r>
      <w:r>
        <w:rPr>
          <w:iCs/>
          <w:sz w:val="18"/>
          <w:szCs w:val="20"/>
        </w:rPr>
        <w:t xml:space="preserve"> are substituted in Regression (8) by, respectively, </w:t>
      </w:r>
      <w:proofErr w:type="spellStart"/>
      <w:r w:rsidRPr="00157504">
        <w:rPr>
          <w:b/>
          <w:bCs/>
          <w:i/>
          <w:sz w:val="18"/>
          <w:szCs w:val="20"/>
        </w:rPr>
        <w:t>NegCFO</w:t>
      </w:r>
      <w:proofErr w:type="spellEnd"/>
      <w:r w:rsidRPr="00157504">
        <w:rPr>
          <w:b/>
          <w:bCs/>
          <w:i/>
          <w:sz w:val="18"/>
          <w:szCs w:val="20"/>
        </w:rPr>
        <w:t>*</w:t>
      </w:r>
      <w:r>
        <w:rPr>
          <w:iCs/>
          <w:sz w:val="18"/>
          <w:szCs w:val="20"/>
        </w:rPr>
        <w:t xml:space="preserve"> and </w:t>
      </w:r>
      <w:r w:rsidRPr="00157504">
        <w:rPr>
          <w:b/>
          <w:bCs/>
          <w:i/>
          <w:sz w:val="18"/>
          <w:szCs w:val="20"/>
        </w:rPr>
        <w:t>L</w:t>
      </w:r>
      <w:r>
        <w:rPr>
          <w:b/>
          <w:bCs/>
          <w:i/>
          <w:sz w:val="18"/>
          <w:szCs w:val="20"/>
        </w:rPr>
        <w:t>OSS</w:t>
      </w:r>
      <w:r w:rsidRPr="00157504">
        <w:rPr>
          <w:b/>
          <w:bCs/>
          <w:i/>
          <w:sz w:val="18"/>
          <w:szCs w:val="20"/>
        </w:rPr>
        <w:t>*</w:t>
      </w:r>
      <w:r w:rsidRPr="001F4CEF">
        <w:rPr>
          <w:bCs/>
          <w:iCs/>
          <w:sz w:val="18"/>
          <w:szCs w:val="20"/>
        </w:rPr>
        <w:t>.</w:t>
      </w:r>
      <w:r w:rsidRPr="006F0E3A">
        <w:rPr>
          <w:b/>
          <w:bCs/>
          <w:iCs/>
          <w:sz w:val="18"/>
          <w:szCs w:val="20"/>
        </w:rPr>
        <w:t xml:space="preserve"> </w:t>
      </w:r>
    </w:p>
    <w:p w14:paraId="18647C09" w14:textId="77777777" w:rsidR="00105A5E" w:rsidRPr="0023367D" w:rsidRDefault="00105A5E" w:rsidP="00105A5E">
      <w:pPr>
        <w:ind w:left="-90" w:hanging="180"/>
        <w:rPr>
          <w:iCs/>
          <w:sz w:val="18"/>
          <w:szCs w:val="20"/>
        </w:rPr>
      </w:pPr>
      <w:r w:rsidRPr="0023367D">
        <w:rPr>
          <w:iCs/>
          <w:sz w:val="18"/>
          <w:szCs w:val="20"/>
          <w:vertAlign w:val="superscript"/>
        </w:rPr>
        <w:t>(</w:t>
      </w:r>
      <w:r>
        <w:rPr>
          <w:iCs/>
          <w:sz w:val="18"/>
          <w:szCs w:val="20"/>
          <w:vertAlign w:val="superscript"/>
        </w:rPr>
        <w:t>d</w:t>
      </w:r>
      <w:r w:rsidRPr="0023367D">
        <w:rPr>
          <w:iCs/>
          <w:sz w:val="18"/>
          <w:szCs w:val="20"/>
          <w:vertAlign w:val="superscript"/>
        </w:rPr>
        <w:t>)</w:t>
      </w:r>
      <w:r w:rsidRPr="0023367D">
        <w:rPr>
          <w:iCs/>
          <w:sz w:val="18"/>
          <w:szCs w:val="20"/>
        </w:rPr>
        <w:t xml:space="preserve"> Pseudo R</w:t>
      </w:r>
      <w:r w:rsidRPr="0023367D">
        <w:rPr>
          <w:iCs/>
          <w:sz w:val="18"/>
          <w:szCs w:val="20"/>
          <w:vertAlign w:val="superscript"/>
        </w:rPr>
        <w:t>2</w:t>
      </w:r>
      <w:r w:rsidRPr="0023367D">
        <w:rPr>
          <w:iCs/>
          <w:sz w:val="18"/>
          <w:szCs w:val="20"/>
        </w:rPr>
        <w:t xml:space="preserve"> in columns 5-6</w:t>
      </w:r>
      <w:r w:rsidR="001044CE">
        <w:rPr>
          <w:iCs/>
          <w:sz w:val="18"/>
          <w:szCs w:val="20"/>
        </w:rPr>
        <w:t xml:space="preserve"> due to the fact regression (8) when estimated with INFO (B) has a binary dependent variable.</w:t>
      </w:r>
      <w:r w:rsidRPr="0023367D">
        <w:rPr>
          <w:iCs/>
          <w:sz w:val="18"/>
          <w:szCs w:val="20"/>
        </w:rPr>
        <w:t xml:space="preserve"> </w:t>
      </w:r>
    </w:p>
    <w:p w14:paraId="61F73537" w14:textId="77777777" w:rsidR="00105A5E" w:rsidRPr="0023367D" w:rsidRDefault="00105A5E" w:rsidP="00105A5E">
      <w:pPr>
        <w:ind w:left="-90" w:hanging="180"/>
        <w:rPr>
          <w:iCs/>
          <w:sz w:val="18"/>
          <w:szCs w:val="20"/>
        </w:rPr>
      </w:pPr>
      <w:r w:rsidRPr="0023367D">
        <w:rPr>
          <w:iCs/>
          <w:sz w:val="18"/>
          <w:szCs w:val="20"/>
          <w:vertAlign w:val="superscript"/>
        </w:rPr>
        <w:t>(</w:t>
      </w:r>
      <w:r>
        <w:rPr>
          <w:iCs/>
          <w:sz w:val="18"/>
          <w:szCs w:val="20"/>
          <w:vertAlign w:val="superscript"/>
        </w:rPr>
        <w:t>e</w:t>
      </w:r>
      <w:r w:rsidRPr="0023367D">
        <w:rPr>
          <w:iCs/>
          <w:sz w:val="18"/>
          <w:szCs w:val="20"/>
          <w:vertAlign w:val="superscript"/>
        </w:rPr>
        <w:t>)</w:t>
      </w:r>
      <w:r w:rsidRPr="0023367D">
        <w:rPr>
          <w:iCs/>
          <w:sz w:val="18"/>
          <w:szCs w:val="20"/>
        </w:rPr>
        <w:t xml:space="preserve"> The weights are the relative explanatory power, based on Shapley values of the groups of reporting and hybrid factors (</w:t>
      </w:r>
      <w:r w:rsidRPr="006F0E3A">
        <w:rPr>
          <w:b/>
          <w:bCs/>
          <w:iCs/>
          <w:sz w:val="18"/>
          <w:szCs w:val="20"/>
        </w:rPr>
        <w:t>CONSERV</w:t>
      </w:r>
      <w:r w:rsidRPr="0023367D">
        <w:rPr>
          <w:iCs/>
          <w:sz w:val="18"/>
          <w:szCs w:val="20"/>
        </w:rPr>
        <w:t xml:space="preserve">, </w:t>
      </w:r>
      <w:proofErr w:type="spellStart"/>
      <w:r w:rsidRPr="006F0E3A">
        <w:rPr>
          <w:b/>
          <w:bCs/>
          <w:iCs/>
          <w:sz w:val="18"/>
          <w:szCs w:val="20"/>
        </w:rPr>
        <w:t>VRatio</w:t>
      </w:r>
      <w:proofErr w:type="spellEnd"/>
      <w:r w:rsidRPr="0023367D">
        <w:rPr>
          <w:iCs/>
          <w:sz w:val="18"/>
          <w:szCs w:val="20"/>
        </w:rPr>
        <w:t xml:space="preserve">, </w:t>
      </w:r>
      <w:r w:rsidRPr="006F0E3A">
        <w:rPr>
          <w:b/>
          <w:bCs/>
          <w:iCs/>
          <w:sz w:val="18"/>
          <w:szCs w:val="20"/>
        </w:rPr>
        <w:t>L</w:t>
      </w:r>
      <w:r>
        <w:rPr>
          <w:b/>
          <w:bCs/>
          <w:iCs/>
          <w:sz w:val="18"/>
          <w:szCs w:val="20"/>
        </w:rPr>
        <w:t>OSS</w:t>
      </w:r>
      <w:r w:rsidRPr="0023367D">
        <w:rPr>
          <w:iCs/>
          <w:sz w:val="18"/>
          <w:szCs w:val="20"/>
        </w:rPr>
        <w:t xml:space="preserve">, </w:t>
      </w:r>
      <w:proofErr w:type="gramStart"/>
      <w:r w:rsidRPr="00157504">
        <w:rPr>
          <w:b/>
          <w:bCs/>
          <w:i/>
          <w:sz w:val="18"/>
          <w:szCs w:val="20"/>
        </w:rPr>
        <w:t>Intangibles</w:t>
      </w:r>
      <w:proofErr w:type="gramEnd"/>
      <w:r w:rsidRPr="0023367D">
        <w:rPr>
          <w:iCs/>
          <w:sz w:val="18"/>
          <w:szCs w:val="20"/>
        </w:rPr>
        <w:t>) and economic factors (</w:t>
      </w:r>
      <w:r w:rsidRPr="00157504">
        <w:rPr>
          <w:b/>
          <w:bCs/>
          <w:i/>
          <w:sz w:val="18"/>
          <w:szCs w:val="20"/>
        </w:rPr>
        <w:t>PROB</w:t>
      </w:r>
      <w:r w:rsidRPr="0023367D">
        <w:rPr>
          <w:iCs/>
          <w:sz w:val="18"/>
          <w:szCs w:val="20"/>
        </w:rPr>
        <w:t xml:space="preserve">, </w:t>
      </w:r>
      <w:proofErr w:type="spellStart"/>
      <w:r w:rsidRPr="00157504">
        <w:rPr>
          <w:b/>
          <w:bCs/>
          <w:i/>
          <w:sz w:val="18"/>
          <w:szCs w:val="20"/>
        </w:rPr>
        <w:t>NegCFO</w:t>
      </w:r>
      <w:proofErr w:type="spellEnd"/>
      <w:r w:rsidRPr="0023367D">
        <w:rPr>
          <w:iCs/>
          <w:sz w:val="18"/>
          <w:szCs w:val="20"/>
        </w:rPr>
        <w:t xml:space="preserve">, </w:t>
      </w:r>
      <w:r w:rsidRPr="006F0E3A">
        <w:rPr>
          <w:b/>
          <w:bCs/>
          <w:iCs/>
          <w:sz w:val="18"/>
          <w:szCs w:val="20"/>
        </w:rPr>
        <w:t>GDP</w:t>
      </w:r>
      <w:r w:rsidRPr="0023367D">
        <w:rPr>
          <w:iCs/>
          <w:sz w:val="18"/>
          <w:szCs w:val="20"/>
        </w:rPr>
        <w:t xml:space="preserve">). </w:t>
      </w:r>
    </w:p>
    <w:p w14:paraId="63C177EA" w14:textId="77777777" w:rsidR="00105A5E" w:rsidRPr="0023367D" w:rsidRDefault="00105A5E" w:rsidP="00105A5E">
      <w:pPr>
        <w:ind w:left="-90"/>
        <w:rPr>
          <w:b/>
          <w:sz w:val="18"/>
          <w:szCs w:val="20"/>
          <w:lang w:bidi="he-IL"/>
        </w:rPr>
      </w:pPr>
    </w:p>
    <w:p w14:paraId="10222C4B" w14:textId="77777777" w:rsidR="00105A5E" w:rsidRPr="0023367D" w:rsidRDefault="00105A5E" w:rsidP="00105A5E">
      <w:pPr>
        <w:ind w:left="-270"/>
        <w:rPr>
          <w:sz w:val="18"/>
        </w:rPr>
      </w:pPr>
      <w:proofErr w:type="spellStart"/>
      <w:r w:rsidRPr="00157504">
        <w:rPr>
          <w:b/>
          <w:i/>
          <w:iCs/>
          <w:sz w:val="18"/>
          <w:szCs w:val="20"/>
          <w:lang w:bidi="he-IL"/>
        </w:rPr>
        <w:t>INFO_CONT</w:t>
      </w:r>
      <w:r w:rsidRPr="00157504">
        <w:rPr>
          <w:b/>
          <w:i/>
          <w:iCs/>
          <w:sz w:val="18"/>
          <w:vertAlign w:val="subscript"/>
        </w:rPr>
        <w:t>t</w:t>
      </w:r>
      <w:proofErr w:type="spellEnd"/>
      <w:r w:rsidRPr="0023367D">
        <w:rPr>
          <w:sz w:val="18"/>
          <w:szCs w:val="20"/>
          <w:lang w:bidi="he-IL"/>
        </w:rPr>
        <w:t xml:space="preserve"> is the Adj. R</w:t>
      </w:r>
      <w:r w:rsidRPr="0023367D">
        <w:rPr>
          <w:sz w:val="18"/>
          <w:szCs w:val="20"/>
          <w:vertAlign w:val="superscript"/>
          <w:lang w:bidi="he-IL"/>
        </w:rPr>
        <w:t>2</w:t>
      </w:r>
      <w:r w:rsidRPr="0023367D">
        <w:rPr>
          <w:sz w:val="18"/>
          <w:szCs w:val="20"/>
          <w:vertAlign w:val="subscript"/>
          <w:lang w:bidi="he-IL"/>
        </w:rPr>
        <w:t>ACCT</w:t>
      </w:r>
      <w:r w:rsidRPr="0023367D">
        <w:rPr>
          <w:sz w:val="18"/>
          <w:szCs w:val="20"/>
          <w:lang w:bidi="he-IL"/>
        </w:rPr>
        <w:t xml:space="preserve"> from the bond valuation models (3) and (A1), estimated for year t.</w:t>
      </w:r>
      <w:r>
        <w:rPr>
          <w:sz w:val="18"/>
          <w:szCs w:val="20"/>
          <w:lang w:bidi="he-IL"/>
        </w:rPr>
        <w:t xml:space="preserve"> </w:t>
      </w:r>
      <w:r w:rsidRPr="0023367D">
        <w:rPr>
          <w:b/>
          <w:i/>
          <w:sz w:val="18"/>
          <w:szCs w:val="20"/>
          <w:lang w:bidi="he-IL"/>
        </w:rPr>
        <w:t>INFO</w:t>
      </w:r>
      <w:r>
        <w:rPr>
          <w:b/>
          <w:i/>
          <w:sz w:val="18"/>
          <w:szCs w:val="20"/>
          <w:lang w:bidi="he-IL"/>
        </w:rPr>
        <w:t xml:space="preserve"> (A)</w:t>
      </w:r>
      <w:r w:rsidRPr="0023367D">
        <w:rPr>
          <w:sz w:val="18"/>
          <w:szCs w:val="20"/>
          <w:lang w:bidi="he-IL"/>
        </w:rPr>
        <w:t xml:space="preserve"> is </w:t>
      </w:r>
      <w:r>
        <w:rPr>
          <w:sz w:val="18"/>
          <w:szCs w:val="20"/>
          <w:lang w:bidi="he-IL"/>
        </w:rPr>
        <w:t>the forecast error between expected yield produce by the model and actual yield.</w:t>
      </w:r>
      <w:r w:rsidRPr="0023367D">
        <w:rPr>
          <w:sz w:val="18"/>
          <w:szCs w:val="20"/>
          <w:lang w:bidi="he-IL"/>
        </w:rPr>
        <w:t xml:space="preserve"> </w:t>
      </w:r>
      <w:r w:rsidRPr="0023367D">
        <w:rPr>
          <w:b/>
          <w:i/>
          <w:sz w:val="18"/>
          <w:szCs w:val="20"/>
          <w:lang w:bidi="he-IL"/>
        </w:rPr>
        <w:t>INFO</w:t>
      </w:r>
      <w:r>
        <w:rPr>
          <w:b/>
          <w:i/>
          <w:sz w:val="18"/>
          <w:szCs w:val="20"/>
          <w:lang w:bidi="he-IL"/>
        </w:rPr>
        <w:t xml:space="preserve"> (B)</w:t>
      </w:r>
      <w:r w:rsidRPr="0023367D">
        <w:rPr>
          <w:sz w:val="18"/>
          <w:szCs w:val="20"/>
          <w:lang w:bidi="he-IL"/>
        </w:rPr>
        <w:t xml:space="preserve"> is a dummy variable that receives the value of 1 if the expected return produced by model</w:t>
      </w:r>
      <w:r>
        <w:rPr>
          <w:sz w:val="18"/>
          <w:szCs w:val="20"/>
          <w:lang w:bidi="he-IL"/>
        </w:rPr>
        <w:t>s (5) and (A2)</w:t>
      </w:r>
      <w:r w:rsidRPr="0023367D">
        <w:rPr>
          <w:sz w:val="18"/>
          <w:szCs w:val="20"/>
          <w:lang w:bidi="he-IL"/>
        </w:rPr>
        <w:t xml:space="preserve"> and actual return have the same sign, and 0 otherwise. (For more details see Appendix C.) </w:t>
      </w:r>
      <w:proofErr w:type="spellStart"/>
      <w:r w:rsidRPr="0023367D">
        <w:rPr>
          <w:b/>
          <w:i/>
          <w:iCs/>
          <w:sz w:val="18"/>
          <w:szCs w:val="20"/>
        </w:rPr>
        <w:t>PROB</w:t>
      </w:r>
      <w:r w:rsidRPr="0023367D">
        <w:rPr>
          <w:b/>
          <w:i/>
          <w:sz w:val="18"/>
          <w:vertAlign w:val="subscript"/>
        </w:rPr>
        <w:t>t</w:t>
      </w:r>
      <w:proofErr w:type="spellEnd"/>
      <w:r w:rsidRPr="0023367D">
        <w:rPr>
          <w:sz w:val="18"/>
          <w:szCs w:val="20"/>
        </w:rPr>
        <w:t xml:space="preserve"> is an estimate of the probability of default in year t based on the Black–Scholes–Merton option-pricing model.</w:t>
      </w:r>
      <w:r w:rsidRPr="006F0E3A">
        <w:rPr>
          <w:b/>
          <w:bCs/>
          <w:sz w:val="18"/>
          <w:szCs w:val="20"/>
        </w:rPr>
        <w:t xml:space="preserve"> </w:t>
      </w:r>
      <w:proofErr w:type="spellStart"/>
      <w:r w:rsidRPr="006F0E3A">
        <w:rPr>
          <w:b/>
          <w:bCs/>
          <w:sz w:val="18"/>
          <w:szCs w:val="20"/>
        </w:rPr>
        <w:t>NegCFO</w:t>
      </w:r>
      <w:r w:rsidRPr="006F0E3A">
        <w:rPr>
          <w:b/>
          <w:bCs/>
          <w:sz w:val="18"/>
          <w:szCs w:val="20"/>
          <w:vertAlign w:val="subscript"/>
        </w:rPr>
        <w:t>t</w:t>
      </w:r>
      <w:proofErr w:type="spellEnd"/>
      <w:r>
        <w:rPr>
          <w:sz w:val="18"/>
          <w:szCs w:val="20"/>
        </w:rPr>
        <w:t xml:space="preserve"> is the frequency of negative cash flow from operations. </w:t>
      </w:r>
      <w:proofErr w:type="spellStart"/>
      <w:r w:rsidRPr="0023367D">
        <w:rPr>
          <w:b/>
          <w:i/>
          <w:sz w:val="18"/>
        </w:rPr>
        <w:t>NegCFO</w:t>
      </w:r>
      <w:proofErr w:type="spellEnd"/>
      <w:r>
        <w:rPr>
          <w:b/>
          <w:i/>
          <w:sz w:val="18"/>
        </w:rPr>
        <w:t>*</w:t>
      </w:r>
      <w:proofErr w:type="spellStart"/>
      <w:r w:rsidRPr="00157504">
        <w:rPr>
          <w:b/>
          <w:i/>
          <w:sz w:val="18"/>
          <w:vertAlign w:val="subscript"/>
        </w:rPr>
        <w:t>j,</w:t>
      </w:r>
      <w:r w:rsidRPr="0023367D">
        <w:rPr>
          <w:b/>
          <w:sz w:val="18"/>
          <w:vertAlign w:val="subscript"/>
        </w:rPr>
        <w:t>t</w:t>
      </w:r>
      <w:proofErr w:type="spellEnd"/>
      <w:r w:rsidRPr="0023367D">
        <w:rPr>
          <w:b/>
          <w:sz w:val="18"/>
        </w:rPr>
        <w:t xml:space="preserve"> </w:t>
      </w:r>
      <w:r w:rsidRPr="0023367D">
        <w:rPr>
          <w:sz w:val="18"/>
        </w:rPr>
        <w:t xml:space="preserve">is a dummy variable that receives the value of 1 </w:t>
      </w:r>
      <w:r>
        <w:rPr>
          <w:sz w:val="18"/>
        </w:rPr>
        <w:t>i</w:t>
      </w:r>
      <w:r w:rsidRPr="0023367D">
        <w:rPr>
          <w:sz w:val="18"/>
        </w:rPr>
        <w:t>f the cash flow from operat</w:t>
      </w:r>
      <w:r>
        <w:rPr>
          <w:sz w:val="18"/>
        </w:rPr>
        <w:t>ions</w:t>
      </w:r>
      <w:r w:rsidRPr="0023367D">
        <w:rPr>
          <w:sz w:val="18"/>
        </w:rPr>
        <w:t xml:space="preserve"> </w:t>
      </w:r>
      <w:r>
        <w:rPr>
          <w:sz w:val="18"/>
        </w:rPr>
        <w:t xml:space="preserve">of firm j </w:t>
      </w:r>
      <w:r w:rsidRPr="0023367D">
        <w:rPr>
          <w:sz w:val="18"/>
        </w:rPr>
        <w:t xml:space="preserve">in year t is negative and 0 otherwise. </w:t>
      </w:r>
      <w:proofErr w:type="spellStart"/>
      <w:r w:rsidRPr="0023367D">
        <w:rPr>
          <w:b/>
          <w:i/>
          <w:sz w:val="18"/>
        </w:rPr>
        <w:t>CONSERV</w:t>
      </w:r>
      <w:r w:rsidRPr="0023367D">
        <w:rPr>
          <w:b/>
          <w:sz w:val="18"/>
          <w:vertAlign w:val="subscript"/>
        </w:rPr>
        <w:t>t</w:t>
      </w:r>
      <w:proofErr w:type="spellEnd"/>
      <w:r w:rsidRPr="0023367D">
        <w:rPr>
          <w:b/>
          <w:sz w:val="18"/>
        </w:rPr>
        <w:t xml:space="preserve"> </w:t>
      </w:r>
      <w:r w:rsidRPr="0023367D">
        <w:rPr>
          <w:sz w:val="18"/>
        </w:rPr>
        <w:t xml:space="preserve">is a measure of conservatism defined as the coefficient </w:t>
      </w:r>
      <w:r w:rsidRPr="0023367D">
        <w:rPr>
          <w:rFonts w:ascii="Symbol" w:eastAsia="Calibri" w:hAnsi="Symbol" w:cs="Symbol"/>
          <w:sz w:val="18"/>
          <w:szCs w:val="20"/>
          <w:lang w:bidi="he-IL"/>
        </w:rPr>
        <w:t></w:t>
      </w:r>
      <w:r w:rsidRPr="0023367D">
        <w:rPr>
          <w:rFonts w:eastAsia="Calibri"/>
          <w:sz w:val="18"/>
          <w:szCs w:val="20"/>
          <w:vertAlign w:val="subscript"/>
          <w:lang w:val="fr-FR" w:bidi="he-IL"/>
        </w:rPr>
        <w:t>3</w:t>
      </w:r>
      <w:r w:rsidRPr="0023367D">
        <w:rPr>
          <w:sz w:val="18"/>
        </w:rPr>
        <w:t xml:space="preserve"> in regression (6) estimated from the time-series of each firm-year t, from the 12-year period ending with year t.</w:t>
      </w:r>
      <w:r w:rsidRPr="0023367D">
        <w:rPr>
          <w:b/>
          <w:i/>
          <w:iCs/>
          <w:sz w:val="19"/>
          <w:szCs w:val="19"/>
        </w:rPr>
        <w:t xml:space="preserve"> </w:t>
      </w:r>
      <w:r w:rsidRPr="0023367D">
        <w:rPr>
          <w:rFonts w:eastAsia="Calibri"/>
          <w:sz w:val="18"/>
          <w:szCs w:val="20"/>
          <w:lang w:val="fr-FR" w:bidi="he-IL"/>
        </w:rPr>
        <w:t>T</w:t>
      </w:r>
      <w:r w:rsidRPr="0023367D">
        <w:rPr>
          <w:rFonts w:eastAsia="Calibri"/>
          <w:sz w:val="18"/>
          <w:szCs w:val="20"/>
          <w:lang w:bidi="he-IL"/>
        </w:rPr>
        <w:t xml:space="preserve">he sign of the resulting coefficient is multiplied by negative one. </w:t>
      </w:r>
      <w:proofErr w:type="spellStart"/>
      <w:r w:rsidRPr="0023367D">
        <w:rPr>
          <w:b/>
          <w:i/>
          <w:iCs/>
          <w:sz w:val="18"/>
        </w:rPr>
        <w:t>VRatio</w:t>
      </w:r>
      <w:r w:rsidRPr="0023367D">
        <w:rPr>
          <w:b/>
          <w:iCs/>
          <w:sz w:val="18"/>
          <w:vertAlign w:val="subscript"/>
        </w:rPr>
        <w:t>t</w:t>
      </w:r>
      <w:proofErr w:type="spellEnd"/>
      <w:r w:rsidRPr="0023367D">
        <w:rPr>
          <w:b/>
          <w:sz w:val="18"/>
        </w:rPr>
        <w:t xml:space="preserve"> </w:t>
      </w:r>
      <w:r w:rsidRPr="0023367D">
        <w:rPr>
          <w:sz w:val="18"/>
        </w:rPr>
        <w:t xml:space="preserve">is the mean volatility ratio from </w:t>
      </w:r>
      <w:proofErr w:type="spellStart"/>
      <w:r w:rsidRPr="0023367D">
        <w:rPr>
          <w:sz w:val="18"/>
          <w:szCs w:val="20"/>
        </w:rPr>
        <w:t>Demerjian</w:t>
      </w:r>
      <w:proofErr w:type="spellEnd"/>
      <w:r w:rsidRPr="0023367D">
        <w:rPr>
          <w:sz w:val="18"/>
          <w:szCs w:val="20"/>
        </w:rPr>
        <w:t xml:space="preserve"> (2011), computed for year t. VR is defined as the ratio of Book Value Volatility to Adjusted Net Income Volatility. Variables are based on quarterly values obtained from </w:t>
      </w:r>
      <w:proofErr w:type="spellStart"/>
      <w:r w:rsidRPr="0023367D">
        <w:rPr>
          <w:sz w:val="18"/>
          <w:szCs w:val="20"/>
        </w:rPr>
        <w:t>Compustat</w:t>
      </w:r>
      <w:proofErr w:type="spellEnd"/>
      <w:r w:rsidRPr="0023367D">
        <w:rPr>
          <w:sz w:val="18"/>
          <w:szCs w:val="20"/>
        </w:rPr>
        <w:t xml:space="preserve">. All quarterly variables are annualized by summing the current and three prior quarterly observations. Book Value Volatility is the five-year standard deviation of changes in retained earnings plus dividends. Adjusted Net Income Volatility is the five-year standard deviation of Net Income minus Special Items and Non-Operating Income and Expense. </w:t>
      </w:r>
      <w:proofErr w:type="spellStart"/>
      <w:r w:rsidRPr="00157504">
        <w:rPr>
          <w:b/>
          <w:bCs/>
          <w:i/>
          <w:iCs/>
          <w:sz w:val="18"/>
          <w:szCs w:val="20"/>
        </w:rPr>
        <w:t>L</w:t>
      </w:r>
      <w:r>
        <w:rPr>
          <w:b/>
          <w:bCs/>
          <w:i/>
          <w:iCs/>
          <w:sz w:val="18"/>
          <w:szCs w:val="20"/>
        </w:rPr>
        <w:t>OSS</w:t>
      </w:r>
      <w:r w:rsidRPr="00157504">
        <w:rPr>
          <w:b/>
          <w:bCs/>
          <w:i/>
          <w:iCs/>
          <w:sz w:val="18"/>
          <w:szCs w:val="20"/>
          <w:vertAlign w:val="subscript"/>
        </w:rPr>
        <w:t>t</w:t>
      </w:r>
      <w:proofErr w:type="spellEnd"/>
      <w:r w:rsidRPr="00157504">
        <w:rPr>
          <w:b/>
          <w:bCs/>
          <w:i/>
          <w:iCs/>
          <w:sz w:val="18"/>
          <w:szCs w:val="20"/>
        </w:rPr>
        <w:t xml:space="preserve"> </w:t>
      </w:r>
      <w:r>
        <w:rPr>
          <w:sz w:val="18"/>
          <w:szCs w:val="20"/>
        </w:rPr>
        <w:t xml:space="preserve">is the frequency of losses (negative income from continuing operations) in year t. </w:t>
      </w:r>
      <w:r w:rsidRPr="0023367D">
        <w:rPr>
          <w:b/>
          <w:i/>
          <w:sz w:val="18"/>
        </w:rPr>
        <w:t>L</w:t>
      </w:r>
      <w:r>
        <w:rPr>
          <w:b/>
          <w:i/>
          <w:sz w:val="18"/>
        </w:rPr>
        <w:t>OSS*</w:t>
      </w:r>
      <w:proofErr w:type="spellStart"/>
      <w:r w:rsidRPr="00157504">
        <w:rPr>
          <w:b/>
          <w:i/>
          <w:sz w:val="18"/>
          <w:vertAlign w:val="subscript"/>
        </w:rPr>
        <w:t>j</w:t>
      </w:r>
      <w:proofErr w:type="gramStart"/>
      <w:r>
        <w:rPr>
          <w:b/>
          <w:i/>
          <w:sz w:val="18"/>
        </w:rPr>
        <w:t>,</w:t>
      </w:r>
      <w:r w:rsidRPr="0023367D">
        <w:rPr>
          <w:b/>
          <w:sz w:val="18"/>
          <w:vertAlign w:val="subscript"/>
        </w:rPr>
        <w:t>t</w:t>
      </w:r>
      <w:proofErr w:type="spellEnd"/>
      <w:proofErr w:type="gramEnd"/>
      <w:r w:rsidRPr="0023367D">
        <w:rPr>
          <w:sz w:val="18"/>
        </w:rPr>
        <w:t xml:space="preserve"> is a dummy variable that receives the value of 1 </w:t>
      </w:r>
      <w:r>
        <w:rPr>
          <w:sz w:val="18"/>
        </w:rPr>
        <w:t>if firm j report a loss in year t</w:t>
      </w:r>
      <w:r w:rsidRPr="0023367D">
        <w:rPr>
          <w:sz w:val="18"/>
        </w:rPr>
        <w:t xml:space="preserve"> and 0 otherwise. </w:t>
      </w:r>
      <w:proofErr w:type="spellStart"/>
      <w:r w:rsidRPr="0023367D">
        <w:rPr>
          <w:b/>
          <w:i/>
          <w:sz w:val="18"/>
        </w:rPr>
        <w:t>Intangibles</w:t>
      </w:r>
      <w:r w:rsidRPr="0023367D">
        <w:rPr>
          <w:b/>
          <w:sz w:val="18"/>
          <w:vertAlign w:val="subscript"/>
        </w:rPr>
        <w:t>t</w:t>
      </w:r>
      <w:proofErr w:type="spellEnd"/>
      <w:r w:rsidRPr="0023367D">
        <w:rPr>
          <w:sz w:val="18"/>
          <w:vertAlign w:val="subscript"/>
        </w:rPr>
        <w:t xml:space="preserve"> </w:t>
      </w:r>
      <w:r w:rsidRPr="0023367D">
        <w:rPr>
          <w:sz w:val="18"/>
        </w:rPr>
        <w:t>is the ratio in year t of intangible assets plus an estimate of unrecognized R&amp;D asset, deflated by total assets at the beginning of the year</w:t>
      </w:r>
      <w:r>
        <w:rPr>
          <w:sz w:val="18"/>
        </w:rPr>
        <w:t xml:space="preserve">. </w:t>
      </w:r>
      <w:proofErr w:type="spellStart"/>
      <w:r w:rsidRPr="0023367D">
        <w:rPr>
          <w:b/>
          <w:i/>
          <w:sz w:val="18"/>
        </w:rPr>
        <w:t>GDP</w:t>
      </w:r>
      <w:r w:rsidRPr="0023367D">
        <w:rPr>
          <w:b/>
          <w:i/>
          <w:sz w:val="18"/>
          <w:vertAlign w:val="subscript"/>
        </w:rPr>
        <w:t>t</w:t>
      </w:r>
      <w:proofErr w:type="spellEnd"/>
      <w:r w:rsidRPr="0023367D">
        <w:rPr>
          <w:sz w:val="18"/>
        </w:rPr>
        <w:t xml:space="preserve"> is the annual growth rate in GDP in year t. Asterisks next to t-statistics indicate significance at the 10% (</w:t>
      </w:r>
      <w:r w:rsidRPr="0023367D">
        <w:rPr>
          <w:sz w:val="14"/>
        </w:rPr>
        <w:t>*</w:t>
      </w:r>
      <w:r w:rsidRPr="0023367D">
        <w:rPr>
          <w:sz w:val="18"/>
        </w:rPr>
        <w:t>), 5% (</w:t>
      </w:r>
      <w:r w:rsidRPr="0023367D">
        <w:rPr>
          <w:sz w:val="14"/>
        </w:rPr>
        <w:t>**</w:t>
      </w:r>
      <w:r w:rsidRPr="0023367D">
        <w:rPr>
          <w:sz w:val="18"/>
        </w:rPr>
        <w:t>) and 1% (</w:t>
      </w:r>
      <w:r w:rsidRPr="0023367D">
        <w:rPr>
          <w:sz w:val="14"/>
        </w:rPr>
        <w:t>***</w:t>
      </w:r>
      <w:r w:rsidRPr="0023367D">
        <w:rPr>
          <w:sz w:val="18"/>
        </w:rPr>
        <w:t>) levels, respectively, using a two-tailed test.</w:t>
      </w:r>
    </w:p>
    <w:p w14:paraId="0A09FC63" w14:textId="77777777" w:rsidR="00105A5E" w:rsidRPr="0023367D" w:rsidRDefault="00105A5E" w:rsidP="00105A5E">
      <w:pPr>
        <w:tabs>
          <w:tab w:val="left" w:pos="-360"/>
          <w:tab w:val="left" w:pos="90"/>
        </w:tabs>
        <w:ind w:left="-90"/>
        <w:rPr>
          <w:sz w:val="18"/>
        </w:rPr>
        <w:sectPr w:rsidR="00105A5E" w:rsidRPr="0023367D" w:rsidSect="00105A5E">
          <w:pgSz w:w="12240" w:h="15840"/>
          <w:pgMar w:top="288" w:right="432" w:bottom="288" w:left="864" w:header="720" w:footer="720" w:gutter="0"/>
          <w:cols w:space="720"/>
          <w:titlePg/>
          <w:docGrid w:linePitch="360"/>
        </w:sectPr>
      </w:pPr>
    </w:p>
    <w:p w14:paraId="3C240BDA" w14:textId="77777777" w:rsidR="00FC1F24" w:rsidRPr="0023367D" w:rsidRDefault="00FC1F24" w:rsidP="00FC1F24">
      <w:pPr>
        <w:ind w:left="-270"/>
        <w:rPr>
          <w:sz w:val="18"/>
        </w:rPr>
      </w:pPr>
    </w:p>
    <w:p w14:paraId="4DE77247" w14:textId="77777777" w:rsidR="00335619" w:rsidRPr="0023367D" w:rsidRDefault="00105A5E" w:rsidP="00105A5E">
      <w:pPr>
        <w:jc w:val="center"/>
        <w:rPr>
          <w:b/>
          <w:bCs/>
          <w:sz w:val="22"/>
          <w:szCs w:val="22"/>
        </w:rPr>
      </w:pPr>
      <w:r>
        <w:rPr>
          <w:b/>
          <w:bCs/>
          <w:sz w:val="22"/>
          <w:szCs w:val="22"/>
        </w:rPr>
        <w:t>T</w:t>
      </w:r>
      <w:r w:rsidR="00335619" w:rsidRPr="0023367D">
        <w:rPr>
          <w:b/>
          <w:bCs/>
          <w:sz w:val="22"/>
          <w:szCs w:val="22"/>
        </w:rPr>
        <w:t>able 7</w:t>
      </w:r>
    </w:p>
    <w:p w14:paraId="4317DD97" w14:textId="77777777" w:rsidR="00335619" w:rsidRPr="0023367D" w:rsidRDefault="00335619" w:rsidP="00335619">
      <w:pPr>
        <w:pStyle w:val="ColorfulList-Accent12"/>
        <w:spacing w:after="0" w:line="240" w:lineRule="auto"/>
        <w:ind w:left="630"/>
        <w:jc w:val="center"/>
        <w:rPr>
          <w:rFonts w:ascii="Times New Roman" w:hAnsi="Times New Roman"/>
          <w:b/>
          <w:bCs/>
        </w:rPr>
      </w:pPr>
      <w:r w:rsidRPr="0023367D">
        <w:rPr>
          <w:rFonts w:ascii="Times New Roman" w:hAnsi="Times New Roman"/>
          <w:b/>
          <w:bCs/>
        </w:rPr>
        <w:t>Relative Contribution of Accounting Variables to the Adjusted R</w:t>
      </w:r>
      <w:r w:rsidRPr="0023367D">
        <w:rPr>
          <w:rFonts w:ascii="Times New Roman" w:hAnsi="Times New Roman"/>
          <w:b/>
          <w:bCs/>
          <w:vertAlign w:val="superscript"/>
        </w:rPr>
        <w:t>2</w:t>
      </w:r>
      <w:r w:rsidRPr="0023367D">
        <w:rPr>
          <w:rFonts w:ascii="Times New Roman" w:hAnsi="Times New Roman"/>
          <w:b/>
          <w:bCs/>
        </w:rPr>
        <w:t xml:space="preserve"> (Shapley Values)</w:t>
      </w:r>
    </w:p>
    <w:p w14:paraId="059CD4DB" w14:textId="77777777" w:rsidR="00335619" w:rsidRPr="0023367D" w:rsidRDefault="00335619" w:rsidP="00335619">
      <w:pPr>
        <w:pStyle w:val="ColorfulList-Accent12"/>
        <w:spacing w:after="0" w:line="240" w:lineRule="auto"/>
        <w:ind w:left="630"/>
        <w:jc w:val="center"/>
        <w:rPr>
          <w:b/>
          <w:bCs/>
        </w:rPr>
      </w:pPr>
    </w:p>
    <w:tbl>
      <w:tblPr>
        <w:tblW w:w="39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3"/>
        <w:gridCol w:w="870"/>
        <w:gridCol w:w="942"/>
        <w:gridCol w:w="702"/>
        <w:gridCol w:w="973"/>
        <w:gridCol w:w="792"/>
        <w:gridCol w:w="968"/>
        <w:gridCol w:w="792"/>
        <w:gridCol w:w="965"/>
      </w:tblGrid>
      <w:tr w:rsidR="00335619" w:rsidRPr="0023367D" w14:paraId="35331843" w14:textId="77777777" w:rsidTr="00576741">
        <w:trPr>
          <w:trHeight w:val="305"/>
          <w:jc w:val="center"/>
        </w:trPr>
        <w:tc>
          <w:tcPr>
            <w:tcW w:w="912" w:type="pct"/>
            <w:tcBorders>
              <w:right w:val="single" w:sz="12" w:space="0" w:color="auto"/>
            </w:tcBorders>
            <w:shd w:val="clear" w:color="auto" w:fill="auto"/>
            <w:noWrap/>
            <w:vAlign w:val="center"/>
          </w:tcPr>
          <w:p w14:paraId="6C9E97B8" w14:textId="77777777" w:rsidR="00335619" w:rsidRPr="0023367D" w:rsidRDefault="00335619" w:rsidP="00335619">
            <w:pPr>
              <w:jc w:val="center"/>
              <w:rPr>
                <w:b/>
                <w:bCs/>
                <w:sz w:val="22"/>
                <w:szCs w:val="22"/>
              </w:rPr>
            </w:pPr>
          </w:p>
        </w:tc>
        <w:tc>
          <w:tcPr>
            <w:tcW w:w="2036" w:type="pct"/>
            <w:gridSpan w:val="4"/>
            <w:tcBorders>
              <w:left w:val="single" w:sz="12" w:space="0" w:color="auto"/>
              <w:right w:val="single" w:sz="12" w:space="0" w:color="auto"/>
            </w:tcBorders>
            <w:shd w:val="clear" w:color="auto" w:fill="auto"/>
            <w:noWrap/>
            <w:vAlign w:val="center"/>
          </w:tcPr>
          <w:p w14:paraId="1B2F5699" w14:textId="77777777" w:rsidR="00335619" w:rsidRPr="0023367D" w:rsidRDefault="00335619" w:rsidP="008C73CE">
            <w:pPr>
              <w:contextualSpacing/>
              <w:jc w:val="center"/>
              <w:rPr>
                <w:bCs/>
                <w:color w:val="000000"/>
                <w:sz w:val="20"/>
                <w:szCs w:val="19"/>
                <w:lang w:bidi="he-IL"/>
              </w:rPr>
            </w:pPr>
            <w:r w:rsidRPr="0023367D">
              <w:rPr>
                <w:b/>
                <w:bCs/>
                <w:sz w:val="22"/>
                <w:szCs w:val="22"/>
              </w:rPr>
              <w:t>Bond Valuation</w:t>
            </w:r>
            <w:r w:rsidR="00BB1234" w:rsidRPr="0023367D">
              <w:rPr>
                <w:b/>
                <w:bCs/>
                <w:sz w:val="22"/>
                <w:szCs w:val="22"/>
                <w:vertAlign w:val="superscript"/>
              </w:rPr>
              <w:t>(a)</w:t>
            </w:r>
            <w:r w:rsidRPr="0023367D">
              <w:rPr>
                <w:b/>
                <w:bCs/>
                <w:sz w:val="22"/>
                <w:szCs w:val="22"/>
              </w:rPr>
              <w:t xml:space="preserve"> </w:t>
            </w:r>
          </w:p>
        </w:tc>
        <w:tc>
          <w:tcPr>
            <w:tcW w:w="2053" w:type="pct"/>
            <w:gridSpan w:val="4"/>
            <w:tcBorders>
              <w:left w:val="single" w:sz="12" w:space="0" w:color="auto"/>
            </w:tcBorders>
            <w:vAlign w:val="center"/>
          </w:tcPr>
          <w:p w14:paraId="0219DCAA" w14:textId="77777777" w:rsidR="00335619" w:rsidRPr="0023367D" w:rsidRDefault="00335619" w:rsidP="008C73CE">
            <w:pPr>
              <w:contextualSpacing/>
              <w:jc w:val="center"/>
              <w:rPr>
                <w:b/>
                <w:bCs/>
                <w:sz w:val="22"/>
                <w:szCs w:val="22"/>
              </w:rPr>
            </w:pPr>
            <w:r w:rsidRPr="0023367D">
              <w:rPr>
                <w:b/>
                <w:bCs/>
                <w:sz w:val="22"/>
                <w:szCs w:val="22"/>
              </w:rPr>
              <w:t>Bond Return</w:t>
            </w:r>
            <w:r w:rsidR="008C73CE" w:rsidRPr="0023367D">
              <w:rPr>
                <w:b/>
                <w:bCs/>
                <w:sz w:val="22"/>
                <w:szCs w:val="22"/>
              </w:rPr>
              <w:t>s</w:t>
            </w:r>
            <w:r w:rsidR="00BB1234" w:rsidRPr="0023367D">
              <w:rPr>
                <w:b/>
                <w:bCs/>
                <w:sz w:val="22"/>
                <w:szCs w:val="22"/>
                <w:vertAlign w:val="superscript"/>
              </w:rPr>
              <w:t>(b)</w:t>
            </w:r>
          </w:p>
        </w:tc>
      </w:tr>
      <w:tr w:rsidR="00335619" w:rsidRPr="0023367D" w14:paraId="0151C362" w14:textId="77777777" w:rsidTr="00576741">
        <w:trPr>
          <w:trHeight w:val="557"/>
          <w:jc w:val="center"/>
        </w:trPr>
        <w:tc>
          <w:tcPr>
            <w:tcW w:w="912" w:type="pct"/>
            <w:tcBorders>
              <w:right w:val="single" w:sz="12" w:space="0" w:color="auto"/>
            </w:tcBorders>
            <w:shd w:val="clear" w:color="auto" w:fill="auto"/>
            <w:noWrap/>
            <w:vAlign w:val="center"/>
          </w:tcPr>
          <w:p w14:paraId="04368628" w14:textId="77777777" w:rsidR="00335619" w:rsidRPr="0023367D" w:rsidRDefault="00335619" w:rsidP="00335619">
            <w:pPr>
              <w:jc w:val="center"/>
              <w:rPr>
                <w:bCs/>
                <w:color w:val="000000"/>
                <w:sz w:val="20"/>
                <w:szCs w:val="19"/>
                <w:lang w:bidi="he-IL"/>
              </w:rPr>
            </w:pPr>
            <w:r w:rsidRPr="0023367D">
              <w:rPr>
                <w:bCs/>
                <w:color w:val="000000"/>
                <w:sz w:val="20"/>
                <w:szCs w:val="19"/>
                <w:lang w:bidi="he-IL"/>
              </w:rPr>
              <w:t>Year Examined</w:t>
            </w:r>
          </w:p>
        </w:tc>
        <w:tc>
          <w:tcPr>
            <w:tcW w:w="1058" w:type="pct"/>
            <w:gridSpan w:val="2"/>
            <w:tcBorders>
              <w:left w:val="single" w:sz="12" w:space="0" w:color="auto"/>
            </w:tcBorders>
            <w:shd w:val="clear" w:color="auto" w:fill="auto"/>
            <w:noWrap/>
            <w:vAlign w:val="center"/>
          </w:tcPr>
          <w:p w14:paraId="3AC55F69" w14:textId="77777777" w:rsidR="00335619" w:rsidRPr="0023367D" w:rsidRDefault="00335619" w:rsidP="00335619">
            <w:pPr>
              <w:contextualSpacing/>
              <w:jc w:val="center"/>
              <w:rPr>
                <w:bCs/>
                <w:color w:val="000000"/>
                <w:sz w:val="20"/>
                <w:szCs w:val="19"/>
                <w:lang w:bidi="he-IL"/>
              </w:rPr>
            </w:pPr>
            <w:r w:rsidRPr="0023367D">
              <w:rPr>
                <w:bCs/>
                <w:color w:val="000000"/>
                <w:sz w:val="20"/>
                <w:szCs w:val="19"/>
                <w:lang w:bidi="he-IL"/>
              </w:rPr>
              <w:t>Full Sample</w:t>
            </w:r>
          </w:p>
        </w:tc>
        <w:tc>
          <w:tcPr>
            <w:tcW w:w="978" w:type="pct"/>
            <w:gridSpan w:val="2"/>
            <w:tcBorders>
              <w:right w:val="single" w:sz="12" w:space="0" w:color="auto"/>
            </w:tcBorders>
          </w:tcPr>
          <w:p w14:paraId="40E9FF6F" w14:textId="77777777" w:rsidR="00335619" w:rsidRPr="0023367D" w:rsidRDefault="00335619" w:rsidP="008C73CE">
            <w:pPr>
              <w:contextualSpacing/>
              <w:jc w:val="center"/>
              <w:rPr>
                <w:bCs/>
                <w:color w:val="000000"/>
                <w:sz w:val="20"/>
                <w:szCs w:val="19"/>
                <w:lang w:bidi="he-IL"/>
              </w:rPr>
            </w:pPr>
            <w:r w:rsidRPr="0023367D">
              <w:rPr>
                <w:bCs/>
                <w:color w:val="000000"/>
                <w:sz w:val="20"/>
                <w:szCs w:val="19"/>
                <w:lang w:bidi="he-IL"/>
              </w:rPr>
              <w:t>Subsample of Homogeneous-Liquid Bonds</w:t>
            </w:r>
            <w:r w:rsidRPr="0023367D">
              <w:rPr>
                <w:bCs/>
                <w:color w:val="000000"/>
                <w:sz w:val="20"/>
                <w:szCs w:val="19"/>
                <w:vertAlign w:val="superscript"/>
                <w:lang w:bidi="he-IL"/>
              </w:rPr>
              <w:t>(</w:t>
            </w:r>
            <w:r w:rsidR="008C73CE" w:rsidRPr="0023367D">
              <w:rPr>
                <w:bCs/>
                <w:color w:val="000000"/>
                <w:sz w:val="20"/>
                <w:szCs w:val="19"/>
                <w:vertAlign w:val="superscript"/>
                <w:lang w:bidi="he-IL"/>
              </w:rPr>
              <w:t>c</w:t>
            </w:r>
            <w:r w:rsidRPr="0023367D">
              <w:rPr>
                <w:bCs/>
                <w:color w:val="000000"/>
                <w:sz w:val="20"/>
                <w:szCs w:val="19"/>
                <w:vertAlign w:val="superscript"/>
                <w:lang w:bidi="he-IL"/>
              </w:rPr>
              <w:t>)</w:t>
            </w:r>
          </w:p>
        </w:tc>
        <w:tc>
          <w:tcPr>
            <w:tcW w:w="1027" w:type="pct"/>
            <w:gridSpan w:val="2"/>
            <w:tcBorders>
              <w:left w:val="single" w:sz="12" w:space="0" w:color="auto"/>
            </w:tcBorders>
            <w:vAlign w:val="center"/>
          </w:tcPr>
          <w:p w14:paraId="6BF91951" w14:textId="77777777" w:rsidR="00335619" w:rsidRPr="0023367D" w:rsidRDefault="00335619" w:rsidP="00335619">
            <w:pPr>
              <w:contextualSpacing/>
              <w:jc w:val="center"/>
              <w:rPr>
                <w:bCs/>
                <w:color w:val="000000"/>
                <w:sz w:val="20"/>
                <w:szCs w:val="19"/>
                <w:lang w:bidi="he-IL"/>
              </w:rPr>
            </w:pPr>
            <w:r w:rsidRPr="0023367D">
              <w:rPr>
                <w:bCs/>
                <w:color w:val="000000"/>
                <w:sz w:val="20"/>
                <w:szCs w:val="19"/>
                <w:lang w:bidi="he-IL"/>
              </w:rPr>
              <w:t>Full Sample</w:t>
            </w:r>
          </w:p>
        </w:tc>
        <w:tc>
          <w:tcPr>
            <w:tcW w:w="1026" w:type="pct"/>
            <w:gridSpan w:val="2"/>
          </w:tcPr>
          <w:p w14:paraId="4E4D2A04" w14:textId="77777777" w:rsidR="00335619" w:rsidRPr="0023367D" w:rsidRDefault="00335619" w:rsidP="008C73CE">
            <w:pPr>
              <w:contextualSpacing/>
              <w:jc w:val="center"/>
              <w:rPr>
                <w:bCs/>
                <w:color w:val="000000"/>
                <w:sz w:val="20"/>
                <w:szCs w:val="19"/>
                <w:lang w:bidi="he-IL"/>
              </w:rPr>
            </w:pPr>
            <w:r w:rsidRPr="0023367D">
              <w:rPr>
                <w:bCs/>
                <w:color w:val="000000"/>
                <w:sz w:val="20"/>
                <w:szCs w:val="19"/>
                <w:lang w:bidi="he-IL"/>
              </w:rPr>
              <w:t>Subsample of Homogeneous-Liquid Bonds</w:t>
            </w:r>
            <w:r w:rsidRPr="0023367D">
              <w:rPr>
                <w:bCs/>
                <w:color w:val="000000"/>
                <w:sz w:val="20"/>
                <w:szCs w:val="19"/>
                <w:vertAlign w:val="superscript"/>
                <w:lang w:bidi="he-IL"/>
              </w:rPr>
              <w:t>(</w:t>
            </w:r>
            <w:r w:rsidR="008C73CE" w:rsidRPr="0023367D">
              <w:rPr>
                <w:bCs/>
                <w:color w:val="000000"/>
                <w:sz w:val="20"/>
                <w:szCs w:val="19"/>
                <w:vertAlign w:val="superscript"/>
                <w:lang w:bidi="he-IL"/>
              </w:rPr>
              <w:t>c</w:t>
            </w:r>
            <w:r w:rsidRPr="0023367D">
              <w:rPr>
                <w:bCs/>
                <w:color w:val="000000"/>
                <w:sz w:val="20"/>
                <w:szCs w:val="19"/>
                <w:vertAlign w:val="superscript"/>
                <w:lang w:bidi="he-IL"/>
              </w:rPr>
              <w:t>)</w:t>
            </w:r>
          </w:p>
        </w:tc>
      </w:tr>
      <w:tr w:rsidR="00335619" w:rsidRPr="0023367D" w14:paraId="5A148446" w14:textId="77777777" w:rsidTr="00576741">
        <w:trPr>
          <w:trHeight w:val="300"/>
          <w:jc w:val="center"/>
        </w:trPr>
        <w:tc>
          <w:tcPr>
            <w:tcW w:w="912" w:type="pct"/>
            <w:tcBorders>
              <w:right w:val="single" w:sz="12" w:space="0" w:color="auto"/>
            </w:tcBorders>
            <w:shd w:val="clear" w:color="auto" w:fill="auto"/>
            <w:noWrap/>
            <w:vAlign w:val="center"/>
          </w:tcPr>
          <w:p w14:paraId="38C1379B" w14:textId="77777777" w:rsidR="00335619" w:rsidRPr="0023367D" w:rsidRDefault="00335619" w:rsidP="00335619">
            <w:pPr>
              <w:jc w:val="center"/>
              <w:rPr>
                <w:bCs/>
                <w:color w:val="000000"/>
                <w:sz w:val="20"/>
                <w:szCs w:val="19"/>
                <w:lang w:bidi="he-IL"/>
              </w:rPr>
            </w:pPr>
          </w:p>
        </w:tc>
        <w:tc>
          <w:tcPr>
            <w:tcW w:w="508" w:type="pct"/>
            <w:tcBorders>
              <w:left w:val="single" w:sz="12" w:space="0" w:color="auto"/>
            </w:tcBorders>
            <w:shd w:val="clear" w:color="auto" w:fill="auto"/>
            <w:noWrap/>
            <w:vAlign w:val="center"/>
          </w:tcPr>
          <w:p w14:paraId="677F0734" w14:textId="77777777" w:rsidR="00335619" w:rsidRPr="0023367D" w:rsidRDefault="00335619" w:rsidP="00335619">
            <w:pPr>
              <w:jc w:val="center"/>
              <w:rPr>
                <w:color w:val="000000"/>
                <w:sz w:val="20"/>
                <w:szCs w:val="19"/>
                <w:lang w:bidi="he-IL"/>
              </w:rPr>
            </w:pPr>
            <w:r w:rsidRPr="0023367D">
              <w:rPr>
                <w:color w:val="000000"/>
                <w:sz w:val="20"/>
                <w:szCs w:val="19"/>
                <w:lang w:bidi="he-IL"/>
              </w:rPr>
              <w:t>N</w:t>
            </w:r>
          </w:p>
        </w:tc>
        <w:tc>
          <w:tcPr>
            <w:tcW w:w="549" w:type="pct"/>
            <w:vAlign w:val="center"/>
          </w:tcPr>
          <w:p w14:paraId="0F444FA7" w14:textId="77777777" w:rsidR="00335619" w:rsidRPr="0023367D" w:rsidRDefault="00335619" w:rsidP="00335619">
            <w:pPr>
              <w:jc w:val="center"/>
              <w:rPr>
                <w:bCs/>
                <w:color w:val="000000"/>
                <w:sz w:val="20"/>
                <w:szCs w:val="19"/>
                <w:lang w:bidi="he-IL"/>
              </w:rPr>
            </w:pPr>
            <w:r w:rsidRPr="0023367D">
              <w:rPr>
                <w:bCs/>
                <w:color w:val="000000"/>
                <w:sz w:val="20"/>
                <w:szCs w:val="19"/>
                <w:lang w:bidi="he-IL"/>
              </w:rPr>
              <w:t xml:space="preserve">Relative </w:t>
            </w:r>
          </w:p>
          <w:p w14:paraId="4AB07383" w14:textId="77777777" w:rsidR="00335619" w:rsidRPr="0023367D" w:rsidRDefault="00335619" w:rsidP="008C73CE">
            <w:pPr>
              <w:jc w:val="center"/>
              <w:rPr>
                <w:bCs/>
                <w:color w:val="000000"/>
                <w:sz w:val="20"/>
                <w:szCs w:val="19"/>
                <w:vertAlign w:val="subscript"/>
                <w:lang w:bidi="he-IL"/>
              </w:rPr>
            </w:pPr>
            <w:r w:rsidRPr="0023367D">
              <w:rPr>
                <w:bCs/>
                <w:color w:val="000000"/>
                <w:sz w:val="20"/>
                <w:szCs w:val="19"/>
                <w:lang w:bidi="he-IL"/>
              </w:rPr>
              <w:t>R</w:t>
            </w:r>
            <w:r w:rsidRPr="0023367D">
              <w:rPr>
                <w:bCs/>
                <w:color w:val="000000"/>
                <w:sz w:val="20"/>
                <w:szCs w:val="19"/>
                <w:vertAlign w:val="superscript"/>
                <w:lang w:bidi="he-IL"/>
              </w:rPr>
              <w:t xml:space="preserve">2 </w:t>
            </w:r>
            <w:r w:rsidRPr="0023367D">
              <w:rPr>
                <w:bCs/>
                <w:color w:val="000000"/>
                <w:sz w:val="20"/>
                <w:szCs w:val="19"/>
                <w:vertAlign w:val="subscript"/>
                <w:lang w:bidi="he-IL"/>
              </w:rPr>
              <w:t>ACCT</w:t>
            </w:r>
            <w:r w:rsidRPr="0023367D">
              <w:rPr>
                <w:bCs/>
                <w:color w:val="000000"/>
                <w:sz w:val="20"/>
                <w:szCs w:val="19"/>
                <w:vertAlign w:val="superscript"/>
                <w:lang w:bidi="he-IL"/>
              </w:rPr>
              <w:t>(</w:t>
            </w:r>
            <w:r w:rsidR="008C73CE" w:rsidRPr="0023367D">
              <w:rPr>
                <w:bCs/>
                <w:color w:val="000000"/>
                <w:sz w:val="20"/>
                <w:szCs w:val="19"/>
                <w:vertAlign w:val="superscript"/>
                <w:lang w:bidi="he-IL"/>
              </w:rPr>
              <w:t>d</w:t>
            </w:r>
            <w:r w:rsidR="00576741">
              <w:rPr>
                <w:bCs/>
                <w:color w:val="000000"/>
                <w:sz w:val="20"/>
                <w:szCs w:val="19"/>
                <w:vertAlign w:val="superscript"/>
                <w:lang w:bidi="he-IL"/>
              </w:rPr>
              <w:t>)</w:t>
            </w:r>
          </w:p>
        </w:tc>
        <w:tc>
          <w:tcPr>
            <w:tcW w:w="410" w:type="pct"/>
            <w:vAlign w:val="center"/>
          </w:tcPr>
          <w:p w14:paraId="6E4C4B1E" w14:textId="77777777" w:rsidR="00335619" w:rsidRPr="0023367D" w:rsidRDefault="00335619" w:rsidP="00335619">
            <w:pPr>
              <w:jc w:val="center"/>
              <w:rPr>
                <w:color w:val="000000"/>
                <w:sz w:val="20"/>
                <w:szCs w:val="19"/>
                <w:lang w:bidi="he-IL"/>
              </w:rPr>
            </w:pPr>
            <w:r w:rsidRPr="0023367D">
              <w:rPr>
                <w:color w:val="000000"/>
                <w:sz w:val="20"/>
                <w:szCs w:val="19"/>
                <w:lang w:bidi="he-IL"/>
              </w:rPr>
              <w:t>N</w:t>
            </w:r>
          </w:p>
        </w:tc>
        <w:tc>
          <w:tcPr>
            <w:tcW w:w="568" w:type="pct"/>
            <w:tcBorders>
              <w:right w:val="single" w:sz="12" w:space="0" w:color="auto"/>
            </w:tcBorders>
            <w:shd w:val="clear" w:color="auto" w:fill="auto"/>
            <w:vAlign w:val="center"/>
          </w:tcPr>
          <w:p w14:paraId="7FEAB8A1" w14:textId="77777777" w:rsidR="00335619" w:rsidRPr="0023367D" w:rsidRDefault="00335619" w:rsidP="00335619">
            <w:pPr>
              <w:jc w:val="center"/>
              <w:rPr>
                <w:bCs/>
                <w:color w:val="000000"/>
                <w:sz w:val="20"/>
                <w:szCs w:val="19"/>
                <w:lang w:bidi="he-IL"/>
              </w:rPr>
            </w:pPr>
            <w:r w:rsidRPr="0023367D">
              <w:rPr>
                <w:bCs/>
                <w:color w:val="000000"/>
                <w:sz w:val="20"/>
                <w:szCs w:val="19"/>
                <w:lang w:bidi="he-IL"/>
              </w:rPr>
              <w:t xml:space="preserve">Relative </w:t>
            </w:r>
          </w:p>
          <w:p w14:paraId="6AB9E6B5" w14:textId="77777777" w:rsidR="00335619" w:rsidRPr="0023367D" w:rsidRDefault="00335619" w:rsidP="008C73CE">
            <w:pPr>
              <w:jc w:val="center"/>
              <w:rPr>
                <w:bCs/>
                <w:color w:val="000000"/>
                <w:sz w:val="20"/>
                <w:szCs w:val="19"/>
                <w:vertAlign w:val="subscript"/>
                <w:lang w:bidi="he-IL"/>
              </w:rPr>
            </w:pPr>
            <w:r w:rsidRPr="0023367D">
              <w:rPr>
                <w:bCs/>
                <w:color w:val="000000"/>
                <w:sz w:val="20"/>
                <w:szCs w:val="19"/>
                <w:lang w:bidi="he-IL"/>
              </w:rPr>
              <w:t>R</w:t>
            </w:r>
            <w:r w:rsidRPr="0023367D">
              <w:rPr>
                <w:bCs/>
                <w:color w:val="000000"/>
                <w:sz w:val="20"/>
                <w:szCs w:val="19"/>
                <w:vertAlign w:val="superscript"/>
                <w:lang w:bidi="he-IL"/>
              </w:rPr>
              <w:t xml:space="preserve">2 </w:t>
            </w:r>
            <w:r w:rsidRPr="0023367D">
              <w:rPr>
                <w:bCs/>
                <w:color w:val="000000"/>
                <w:sz w:val="20"/>
                <w:szCs w:val="19"/>
                <w:vertAlign w:val="subscript"/>
                <w:lang w:bidi="he-IL"/>
              </w:rPr>
              <w:t>ACCT</w:t>
            </w:r>
            <w:r w:rsidRPr="0023367D">
              <w:rPr>
                <w:bCs/>
                <w:color w:val="000000"/>
                <w:sz w:val="20"/>
                <w:szCs w:val="19"/>
                <w:vertAlign w:val="superscript"/>
                <w:lang w:bidi="he-IL"/>
              </w:rPr>
              <w:t>(</w:t>
            </w:r>
            <w:r w:rsidR="008C73CE" w:rsidRPr="0023367D">
              <w:rPr>
                <w:bCs/>
                <w:color w:val="000000"/>
                <w:sz w:val="20"/>
                <w:szCs w:val="19"/>
                <w:vertAlign w:val="superscript"/>
                <w:lang w:bidi="he-IL"/>
              </w:rPr>
              <w:t>d</w:t>
            </w:r>
            <w:r w:rsidRPr="0023367D">
              <w:rPr>
                <w:bCs/>
                <w:color w:val="000000"/>
                <w:sz w:val="20"/>
                <w:szCs w:val="19"/>
                <w:vertAlign w:val="superscript"/>
                <w:lang w:bidi="he-IL"/>
              </w:rPr>
              <w:t>)</w:t>
            </w:r>
          </w:p>
        </w:tc>
        <w:tc>
          <w:tcPr>
            <w:tcW w:w="462" w:type="pct"/>
            <w:tcBorders>
              <w:left w:val="single" w:sz="12" w:space="0" w:color="auto"/>
            </w:tcBorders>
            <w:vAlign w:val="center"/>
          </w:tcPr>
          <w:p w14:paraId="78D48F15" w14:textId="77777777" w:rsidR="00335619" w:rsidRPr="0023367D" w:rsidRDefault="00335619" w:rsidP="00335619">
            <w:pPr>
              <w:jc w:val="center"/>
              <w:rPr>
                <w:bCs/>
                <w:color w:val="000000"/>
                <w:sz w:val="20"/>
                <w:szCs w:val="19"/>
                <w:lang w:bidi="he-IL"/>
              </w:rPr>
            </w:pPr>
            <w:r w:rsidRPr="0023367D">
              <w:rPr>
                <w:color w:val="000000"/>
                <w:sz w:val="20"/>
                <w:szCs w:val="19"/>
                <w:lang w:bidi="he-IL"/>
              </w:rPr>
              <w:t>N</w:t>
            </w:r>
          </w:p>
        </w:tc>
        <w:tc>
          <w:tcPr>
            <w:tcW w:w="565" w:type="pct"/>
            <w:vAlign w:val="center"/>
          </w:tcPr>
          <w:p w14:paraId="0D8216F6" w14:textId="77777777" w:rsidR="00335619" w:rsidRPr="0023367D" w:rsidRDefault="00335619" w:rsidP="00335619">
            <w:pPr>
              <w:jc w:val="center"/>
              <w:rPr>
                <w:bCs/>
                <w:color w:val="000000"/>
                <w:sz w:val="20"/>
                <w:szCs w:val="19"/>
                <w:lang w:bidi="he-IL"/>
              </w:rPr>
            </w:pPr>
            <w:r w:rsidRPr="0023367D">
              <w:rPr>
                <w:bCs/>
                <w:color w:val="000000"/>
                <w:sz w:val="20"/>
                <w:szCs w:val="19"/>
                <w:lang w:bidi="he-IL"/>
              </w:rPr>
              <w:t xml:space="preserve">Relative </w:t>
            </w:r>
          </w:p>
          <w:p w14:paraId="52B7986F" w14:textId="77777777" w:rsidR="00335619" w:rsidRPr="0023367D" w:rsidRDefault="00335619" w:rsidP="008C73CE">
            <w:pPr>
              <w:jc w:val="center"/>
              <w:rPr>
                <w:bCs/>
                <w:color w:val="000000"/>
                <w:sz w:val="20"/>
                <w:szCs w:val="19"/>
                <w:lang w:bidi="he-IL"/>
              </w:rPr>
            </w:pPr>
            <w:r w:rsidRPr="0023367D">
              <w:rPr>
                <w:bCs/>
                <w:color w:val="000000"/>
                <w:sz w:val="20"/>
                <w:szCs w:val="19"/>
                <w:lang w:bidi="he-IL"/>
              </w:rPr>
              <w:t>R</w:t>
            </w:r>
            <w:r w:rsidRPr="0023367D">
              <w:rPr>
                <w:bCs/>
                <w:color w:val="000000"/>
                <w:sz w:val="20"/>
                <w:szCs w:val="19"/>
                <w:vertAlign w:val="superscript"/>
                <w:lang w:bidi="he-IL"/>
              </w:rPr>
              <w:t xml:space="preserve">2 </w:t>
            </w:r>
            <w:r w:rsidRPr="0023367D">
              <w:rPr>
                <w:bCs/>
                <w:color w:val="000000"/>
                <w:sz w:val="20"/>
                <w:szCs w:val="19"/>
                <w:vertAlign w:val="subscript"/>
                <w:lang w:bidi="he-IL"/>
              </w:rPr>
              <w:t>ACCT</w:t>
            </w:r>
            <w:r w:rsidRPr="0023367D">
              <w:rPr>
                <w:bCs/>
                <w:color w:val="000000"/>
                <w:sz w:val="20"/>
                <w:szCs w:val="19"/>
                <w:vertAlign w:val="superscript"/>
                <w:lang w:bidi="he-IL"/>
              </w:rPr>
              <w:t>(</w:t>
            </w:r>
            <w:r w:rsidR="008C73CE" w:rsidRPr="0023367D">
              <w:rPr>
                <w:bCs/>
                <w:color w:val="000000"/>
                <w:sz w:val="20"/>
                <w:szCs w:val="19"/>
                <w:vertAlign w:val="superscript"/>
                <w:lang w:bidi="he-IL"/>
              </w:rPr>
              <w:t>d</w:t>
            </w:r>
            <w:r w:rsidRPr="0023367D">
              <w:rPr>
                <w:bCs/>
                <w:color w:val="000000"/>
                <w:sz w:val="20"/>
                <w:szCs w:val="19"/>
                <w:vertAlign w:val="superscript"/>
                <w:lang w:bidi="he-IL"/>
              </w:rPr>
              <w:t>)</w:t>
            </w:r>
          </w:p>
        </w:tc>
        <w:tc>
          <w:tcPr>
            <w:tcW w:w="462" w:type="pct"/>
            <w:vAlign w:val="center"/>
          </w:tcPr>
          <w:p w14:paraId="685FB596" w14:textId="77777777" w:rsidR="00335619" w:rsidRPr="0023367D" w:rsidRDefault="00335619" w:rsidP="00335619">
            <w:pPr>
              <w:jc w:val="center"/>
              <w:rPr>
                <w:bCs/>
                <w:color w:val="000000"/>
                <w:sz w:val="20"/>
                <w:szCs w:val="19"/>
                <w:lang w:bidi="he-IL"/>
              </w:rPr>
            </w:pPr>
            <w:r w:rsidRPr="0023367D">
              <w:rPr>
                <w:color w:val="000000"/>
                <w:sz w:val="20"/>
                <w:szCs w:val="19"/>
                <w:lang w:bidi="he-IL"/>
              </w:rPr>
              <w:t>N</w:t>
            </w:r>
          </w:p>
        </w:tc>
        <w:tc>
          <w:tcPr>
            <w:tcW w:w="564" w:type="pct"/>
            <w:vAlign w:val="center"/>
          </w:tcPr>
          <w:p w14:paraId="3AC61E79" w14:textId="77777777" w:rsidR="00335619" w:rsidRPr="0023367D" w:rsidRDefault="00335619" w:rsidP="00335619">
            <w:pPr>
              <w:jc w:val="center"/>
              <w:rPr>
                <w:bCs/>
                <w:color w:val="000000"/>
                <w:sz w:val="20"/>
                <w:szCs w:val="19"/>
                <w:lang w:bidi="he-IL"/>
              </w:rPr>
            </w:pPr>
            <w:r w:rsidRPr="0023367D">
              <w:rPr>
                <w:bCs/>
                <w:color w:val="000000"/>
                <w:sz w:val="20"/>
                <w:szCs w:val="19"/>
                <w:lang w:bidi="he-IL"/>
              </w:rPr>
              <w:t xml:space="preserve">Relative </w:t>
            </w:r>
          </w:p>
          <w:p w14:paraId="5D8BDFC6" w14:textId="77777777" w:rsidR="00335619" w:rsidRPr="0023367D" w:rsidRDefault="00335619" w:rsidP="008C73CE">
            <w:pPr>
              <w:jc w:val="center"/>
              <w:rPr>
                <w:bCs/>
                <w:color w:val="000000"/>
                <w:sz w:val="20"/>
                <w:szCs w:val="19"/>
                <w:lang w:bidi="he-IL"/>
              </w:rPr>
            </w:pPr>
            <w:r w:rsidRPr="0023367D">
              <w:rPr>
                <w:bCs/>
                <w:color w:val="000000"/>
                <w:sz w:val="20"/>
                <w:szCs w:val="19"/>
                <w:lang w:bidi="he-IL"/>
              </w:rPr>
              <w:t>R</w:t>
            </w:r>
            <w:r w:rsidRPr="0023367D">
              <w:rPr>
                <w:bCs/>
                <w:color w:val="000000"/>
                <w:sz w:val="20"/>
                <w:szCs w:val="19"/>
                <w:vertAlign w:val="superscript"/>
                <w:lang w:bidi="he-IL"/>
              </w:rPr>
              <w:t xml:space="preserve">2 </w:t>
            </w:r>
            <w:r w:rsidRPr="0023367D">
              <w:rPr>
                <w:bCs/>
                <w:color w:val="000000"/>
                <w:sz w:val="20"/>
                <w:szCs w:val="19"/>
                <w:vertAlign w:val="subscript"/>
                <w:lang w:bidi="he-IL"/>
              </w:rPr>
              <w:t>ACCT</w:t>
            </w:r>
            <w:r w:rsidRPr="0023367D">
              <w:rPr>
                <w:bCs/>
                <w:color w:val="000000"/>
                <w:sz w:val="20"/>
                <w:szCs w:val="19"/>
                <w:vertAlign w:val="superscript"/>
                <w:lang w:bidi="he-IL"/>
              </w:rPr>
              <w:t>(</w:t>
            </w:r>
            <w:r w:rsidR="008C73CE" w:rsidRPr="0023367D">
              <w:rPr>
                <w:bCs/>
                <w:color w:val="000000"/>
                <w:sz w:val="20"/>
                <w:szCs w:val="19"/>
                <w:vertAlign w:val="superscript"/>
                <w:lang w:bidi="he-IL"/>
              </w:rPr>
              <w:t>d</w:t>
            </w:r>
            <w:r w:rsidRPr="0023367D">
              <w:rPr>
                <w:bCs/>
                <w:color w:val="000000"/>
                <w:sz w:val="20"/>
                <w:szCs w:val="19"/>
                <w:vertAlign w:val="superscript"/>
                <w:lang w:bidi="he-IL"/>
              </w:rPr>
              <w:t>)</w:t>
            </w:r>
          </w:p>
        </w:tc>
      </w:tr>
      <w:tr w:rsidR="00335619" w:rsidRPr="0023367D" w14:paraId="24D46624" w14:textId="77777777" w:rsidTr="00576741">
        <w:trPr>
          <w:trHeight w:val="269"/>
          <w:jc w:val="center"/>
        </w:trPr>
        <w:tc>
          <w:tcPr>
            <w:tcW w:w="912" w:type="pct"/>
            <w:tcBorders>
              <w:right w:val="single" w:sz="12" w:space="0" w:color="auto"/>
            </w:tcBorders>
            <w:shd w:val="clear" w:color="auto" w:fill="auto"/>
            <w:noWrap/>
            <w:vAlign w:val="center"/>
          </w:tcPr>
          <w:p w14:paraId="602346FF" w14:textId="77777777" w:rsidR="00335619" w:rsidRPr="0023367D" w:rsidRDefault="00335619" w:rsidP="00335619">
            <w:pPr>
              <w:jc w:val="center"/>
              <w:rPr>
                <w:bCs/>
                <w:sz w:val="20"/>
                <w:szCs w:val="18"/>
                <w:lang w:bidi="he-IL"/>
              </w:rPr>
            </w:pPr>
            <w:r w:rsidRPr="0023367D">
              <w:rPr>
                <w:bCs/>
                <w:sz w:val="20"/>
                <w:szCs w:val="18"/>
                <w:lang w:bidi="he-IL"/>
              </w:rPr>
              <w:t>All firm-years</w:t>
            </w:r>
          </w:p>
        </w:tc>
        <w:tc>
          <w:tcPr>
            <w:tcW w:w="508" w:type="pct"/>
            <w:tcBorders>
              <w:left w:val="single" w:sz="12" w:space="0" w:color="auto"/>
            </w:tcBorders>
            <w:shd w:val="clear" w:color="auto" w:fill="auto"/>
            <w:noWrap/>
            <w:vAlign w:val="center"/>
          </w:tcPr>
          <w:p w14:paraId="44678F1C" w14:textId="77777777" w:rsidR="00335619" w:rsidRPr="0023367D" w:rsidRDefault="00335619" w:rsidP="00335619">
            <w:pPr>
              <w:jc w:val="right"/>
              <w:rPr>
                <w:sz w:val="20"/>
                <w:szCs w:val="18"/>
                <w:lang w:bidi="he-IL"/>
              </w:rPr>
            </w:pPr>
            <w:r w:rsidRPr="0023367D">
              <w:rPr>
                <w:color w:val="000000"/>
                <w:sz w:val="20"/>
                <w:szCs w:val="18"/>
              </w:rPr>
              <w:t>19,732</w:t>
            </w:r>
          </w:p>
        </w:tc>
        <w:tc>
          <w:tcPr>
            <w:tcW w:w="549" w:type="pct"/>
            <w:vAlign w:val="center"/>
          </w:tcPr>
          <w:p w14:paraId="53EA0348" w14:textId="77777777" w:rsidR="00335619" w:rsidRPr="0023367D" w:rsidRDefault="00335619" w:rsidP="00335619">
            <w:pPr>
              <w:jc w:val="right"/>
              <w:rPr>
                <w:sz w:val="20"/>
                <w:szCs w:val="18"/>
                <w:lang w:bidi="he-IL"/>
              </w:rPr>
            </w:pPr>
            <w:r w:rsidRPr="0023367D">
              <w:rPr>
                <w:color w:val="000000"/>
                <w:sz w:val="20"/>
                <w:szCs w:val="18"/>
              </w:rPr>
              <w:t>40.3%</w:t>
            </w:r>
          </w:p>
        </w:tc>
        <w:tc>
          <w:tcPr>
            <w:tcW w:w="410" w:type="pct"/>
            <w:vAlign w:val="center"/>
          </w:tcPr>
          <w:p w14:paraId="538CC064" w14:textId="77777777" w:rsidR="00335619" w:rsidRPr="0023367D" w:rsidRDefault="00335619" w:rsidP="00335619">
            <w:pPr>
              <w:jc w:val="right"/>
              <w:rPr>
                <w:color w:val="000000"/>
                <w:sz w:val="20"/>
                <w:szCs w:val="18"/>
              </w:rPr>
            </w:pPr>
            <w:r w:rsidRPr="0023367D">
              <w:rPr>
                <w:color w:val="000000"/>
                <w:sz w:val="20"/>
                <w:szCs w:val="18"/>
              </w:rPr>
              <w:t>6,338</w:t>
            </w:r>
          </w:p>
        </w:tc>
        <w:tc>
          <w:tcPr>
            <w:tcW w:w="568" w:type="pct"/>
            <w:tcBorders>
              <w:right w:val="single" w:sz="12" w:space="0" w:color="auto"/>
            </w:tcBorders>
            <w:shd w:val="clear" w:color="auto" w:fill="auto"/>
            <w:vAlign w:val="center"/>
          </w:tcPr>
          <w:p w14:paraId="59BD90FF" w14:textId="77777777" w:rsidR="00335619" w:rsidRPr="0023367D" w:rsidRDefault="00335619" w:rsidP="00335619">
            <w:pPr>
              <w:jc w:val="right"/>
              <w:rPr>
                <w:sz w:val="20"/>
                <w:szCs w:val="18"/>
                <w:lang w:bidi="he-IL"/>
              </w:rPr>
            </w:pPr>
            <w:r w:rsidRPr="0023367D">
              <w:rPr>
                <w:color w:val="000000"/>
                <w:sz w:val="20"/>
                <w:szCs w:val="18"/>
              </w:rPr>
              <w:t>42.1%</w:t>
            </w:r>
          </w:p>
        </w:tc>
        <w:tc>
          <w:tcPr>
            <w:tcW w:w="462" w:type="pct"/>
            <w:tcBorders>
              <w:left w:val="single" w:sz="12" w:space="0" w:color="auto"/>
            </w:tcBorders>
            <w:vAlign w:val="center"/>
          </w:tcPr>
          <w:p w14:paraId="58706A37" w14:textId="77777777" w:rsidR="00335619" w:rsidRPr="0023367D" w:rsidRDefault="00335619" w:rsidP="00335619">
            <w:pPr>
              <w:jc w:val="right"/>
              <w:rPr>
                <w:color w:val="000000"/>
                <w:sz w:val="20"/>
                <w:szCs w:val="18"/>
              </w:rPr>
            </w:pPr>
            <w:r w:rsidRPr="0023367D">
              <w:rPr>
                <w:color w:val="000000"/>
                <w:sz w:val="20"/>
                <w:szCs w:val="19"/>
              </w:rPr>
              <w:t>19,658</w:t>
            </w:r>
          </w:p>
        </w:tc>
        <w:tc>
          <w:tcPr>
            <w:tcW w:w="565" w:type="pct"/>
            <w:vAlign w:val="center"/>
          </w:tcPr>
          <w:p w14:paraId="6BA7A92D" w14:textId="77777777" w:rsidR="00335619" w:rsidRPr="0023367D" w:rsidRDefault="00335619" w:rsidP="00335619">
            <w:pPr>
              <w:jc w:val="right"/>
              <w:rPr>
                <w:color w:val="000000"/>
                <w:sz w:val="20"/>
                <w:szCs w:val="18"/>
              </w:rPr>
            </w:pPr>
            <w:r w:rsidRPr="0023367D">
              <w:rPr>
                <w:color w:val="000000"/>
                <w:sz w:val="20"/>
                <w:szCs w:val="19"/>
              </w:rPr>
              <w:t>25.1%</w:t>
            </w:r>
          </w:p>
        </w:tc>
        <w:tc>
          <w:tcPr>
            <w:tcW w:w="462" w:type="pct"/>
            <w:vAlign w:val="center"/>
          </w:tcPr>
          <w:p w14:paraId="1A122474" w14:textId="77777777" w:rsidR="00335619" w:rsidRPr="0023367D" w:rsidRDefault="00335619" w:rsidP="00335619">
            <w:pPr>
              <w:jc w:val="right"/>
              <w:rPr>
                <w:color w:val="000000"/>
                <w:sz w:val="20"/>
                <w:szCs w:val="18"/>
              </w:rPr>
            </w:pPr>
            <w:r w:rsidRPr="0023367D">
              <w:rPr>
                <w:color w:val="000000"/>
                <w:sz w:val="20"/>
                <w:szCs w:val="19"/>
              </w:rPr>
              <w:t>6,271</w:t>
            </w:r>
          </w:p>
        </w:tc>
        <w:tc>
          <w:tcPr>
            <w:tcW w:w="564" w:type="pct"/>
            <w:vAlign w:val="center"/>
          </w:tcPr>
          <w:p w14:paraId="450D286B" w14:textId="77777777" w:rsidR="00335619" w:rsidRPr="0023367D" w:rsidRDefault="00335619" w:rsidP="00335619">
            <w:pPr>
              <w:jc w:val="right"/>
              <w:rPr>
                <w:color w:val="000000"/>
                <w:sz w:val="20"/>
                <w:szCs w:val="18"/>
              </w:rPr>
            </w:pPr>
            <w:r w:rsidRPr="0023367D">
              <w:rPr>
                <w:color w:val="000000"/>
                <w:sz w:val="20"/>
                <w:szCs w:val="19"/>
              </w:rPr>
              <w:t>15.7%</w:t>
            </w:r>
          </w:p>
        </w:tc>
      </w:tr>
      <w:tr w:rsidR="00335619" w:rsidRPr="0023367D" w14:paraId="2489165C" w14:textId="77777777" w:rsidTr="00576741">
        <w:trPr>
          <w:trHeight w:val="274"/>
          <w:jc w:val="center"/>
        </w:trPr>
        <w:tc>
          <w:tcPr>
            <w:tcW w:w="912" w:type="pct"/>
            <w:tcBorders>
              <w:right w:val="single" w:sz="12" w:space="0" w:color="auto"/>
            </w:tcBorders>
            <w:shd w:val="clear" w:color="auto" w:fill="auto"/>
            <w:noWrap/>
            <w:vAlign w:val="center"/>
          </w:tcPr>
          <w:p w14:paraId="035F41AF"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Mean over years</w:t>
            </w:r>
          </w:p>
        </w:tc>
        <w:tc>
          <w:tcPr>
            <w:tcW w:w="508" w:type="pct"/>
            <w:tcBorders>
              <w:left w:val="single" w:sz="12" w:space="0" w:color="auto"/>
            </w:tcBorders>
            <w:shd w:val="clear" w:color="auto" w:fill="auto"/>
            <w:noWrap/>
            <w:vAlign w:val="center"/>
          </w:tcPr>
          <w:p w14:paraId="78677870" w14:textId="77777777" w:rsidR="00335619" w:rsidRPr="0023367D" w:rsidRDefault="00335619" w:rsidP="00335619">
            <w:pPr>
              <w:jc w:val="right"/>
              <w:rPr>
                <w:color w:val="000000"/>
                <w:sz w:val="20"/>
                <w:szCs w:val="18"/>
                <w:lang w:bidi="he-IL"/>
              </w:rPr>
            </w:pPr>
            <w:r w:rsidRPr="0023367D">
              <w:rPr>
                <w:color w:val="000000"/>
                <w:sz w:val="20"/>
                <w:szCs w:val="18"/>
                <w:lang w:bidi="he-IL"/>
              </w:rPr>
              <w:t>39</w:t>
            </w:r>
          </w:p>
        </w:tc>
        <w:tc>
          <w:tcPr>
            <w:tcW w:w="549" w:type="pct"/>
            <w:vAlign w:val="center"/>
          </w:tcPr>
          <w:p w14:paraId="348464C9" w14:textId="77777777" w:rsidR="00335619" w:rsidRPr="0023367D" w:rsidRDefault="00335619" w:rsidP="00335619">
            <w:pPr>
              <w:jc w:val="right"/>
              <w:rPr>
                <w:color w:val="000000"/>
                <w:sz w:val="20"/>
                <w:szCs w:val="18"/>
                <w:lang w:bidi="he-IL"/>
              </w:rPr>
            </w:pPr>
            <w:r w:rsidRPr="0023367D">
              <w:rPr>
                <w:color w:val="000000"/>
                <w:sz w:val="20"/>
                <w:szCs w:val="18"/>
              </w:rPr>
              <w:t>64.2%</w:t>
            </w:r>
          </w:p>
        </w:tc>
        <w:tc>
          <w:tcPr>
            <w:tcW w:w="410" w:type="pct"/>
            <w:vAlign w:val="bottom"/>
          </w:tcPr>
          <w:p w14:paraId="561B55D9" w14:textId="77777777" w:rsidR="00335619" w:rsidRPr="0023367D" w:rsidRDefault="00335619" w:rsidP="00335619">
            <w:pPr>
              <w:jc w:val="right"/>
              <w:rPr>
                <w:color w:val="000000"/>
                <w:sz w:val="20"/>
                <w:szCs w:val="18"/>
              </w:rPr>
            </w:pPr>
            <w:r w:rsidRPr="0023367D">
              <w:rPr>
                <w:color w:val="000000"/>
                <w:sz w:val="20"/>
                <w:szCs w:val="18"/>
              </w:rPr>
              <w:t>39</w:t>
            </w:r>
          </w:p>
        </w:tc>
        <w:tc>
          <w:tcPr>
            <w:tcW w:w="568" w:type="pct"/>
            <w:tcBorders>
              <w:right w:val="single" w:sz="12" w:space="0" w:color="auto"/>
            </w:tcBorders>
            <w:shd w:val="clear" w:color="auto" w:fill="auto"/>
            <w:vAlign w:val="center"/>
          </w:tcPr>
          <w:p w14:paraId="71B95612" w14:textId="77777777" w:rsidR="00335619" w:rsidRPr="0023367D" w:rsidRDefault="00335619" w:rsidP="00335619">
            <w:pPr>
              <w:jc w:val="right"/>
              <w:rPr>
                <w:color w:val="000000"/>
                <w:sz w:val="20"/>
                <w:szCs w:val="18"/>
                <w:lang w:bidi="he-IL"/>
              </w:rPr>
            </w:pPr>
            <w:r w:rsidRPr="0023367D">
              <w:rPr>
                <w:color w:val="000000"/>
                <w:sz w:val="20"/>
                <w:szCs w:val="18"/>
              </w:rPr>
              <w:t>65.3%</w:t>
            </w:r>
          </w:p>
        </w:tc>
        <w:tc>
          <w:tcPr>
            <w:tcW w:w="462" w:type="pct"/>
            <w:tcBorders>
              <w:left w:val="single" w:sz="12" w:space="0" w:color="auto"/>
            </w:tcBorders>
          </w:tcPr>
          <w:p w14:paraId="6E27F47C" w14:textId="77777777" w:rsidR="00335619" w:rsidRPr="0023367D" w:rsidRDefault="00335619" w:rsidP="00335619">
            <w:pPr>
              <w:jc w:val="right"/>
              <w:rPr>
                <w:color w:val="000000"/>
                <w:sz w:val="20"/>
                <w:szCs w:val="18"/>
              </w:rPr>
            </w:pPr>
            <w:r w:rsidRPr="0023367D">
              <w:rPr>
                <w:color w:val="000000"/>
                <w:sz w:val="20"/>
                <w:szCs w:val="19"/>
              </w:rPr>
              <w:t>39</w:t>
            </w:r>
          </w:p>
        </w:tc>
        <w:tc>
          <w:tcPr>
            <w:tcW w:w="565" w:type="pct"/>
            <w:vAlign w:val="center"/>
          </w:tcPr>
          <w:p w14:paraId="0DDB344F" w14:textId="77777777" w:rsidR="00335619" w:rsidRPr="0023367D" w:rsidRDefault="00335619" w:rsidP="00335619">
            <w:pPr>
              <w:jc w:val="right"/>
              <w:rPr>
                <w:color w:val="000000"/>
                <w:sz w:val="20"/>
                <w:szCs w:val="18"/>
              </w:rPr>
            </w:pPr>
            <w:r w:rsidRPr="0023367D">
              <w:rPr>
                <w:color w:val="000000"/>
                <w:sz w:val="20"/>
                <w:szCs w:val="19"/>
              </w:rPr>
              <w:t>60.2%</w:t>
            </w:r>
          </w:p>
        </w:tc>
        <w:tc>
          <w:tcPr>
            <w:tcW w:w="462" w:type="pct"/>
          </w:tcPr>
          <w:p w14:paraId="2D726689" w14:textId="77777777" w:rsidR="00335619" w:rsidRPr="0023367D" w:rsidRDefault="00335619" w:rsidP="00335619">
            <w:pPr>
              <w:jc w:val="right"/>
              <w:rPr>
                <w:color w:val="000000"/>
                <w:sz w:val="20"/>
                <w:szCs w:val="18"/>
              </w:rPr>
            </w:pPr>
            <w:r w:rsidRPr="0023367D">
              <w:rPr>
                <w:color w:val="000000"/>
                <w:sz w:val="20"/>
                <w:szCs w:val="19"/>
              </w:rPr>
              <w:t>39</w:t>
            </w:r>
          </w:p>
        </w:tc>
        <w:tc>
          <w:tcPr>
            <w:tcW w:w="564" w:type="pct"/>
            <w:vAlign w:val="center"/>
          </w:tcPr>
          <w:p w14:paraId="18D45337" w14:textId="77777777" w:rsidR="00335619" w:rsidRPr="0023367D" w:rsidRDefault="00335619" w:rsidP="00335619">
            <w:pPr>
              <w:jc w:val="right"/>
              <w:rPr>
                <w:color w:val="000000"/>
                <w:sz w:val="20"/>
                <w:szCs w:val="18"/>
              </w:rPr>
            </w:pPr>
            <w:r w:rsidRPr="0023367D">
              <w:rPr>
                <w:color w:val="000000"/>
                <w:sz w:val="20"/>
                <w:szCs w:val="19"/>
              </w:rPr>
              <w:t>62.9%</w:t>
            </w:r>
          </w:p>
        </w:tc>
      </w:tr>
      <w:tr w:rsidR="00335619" w:rsidRPr="0023367D" w14:paraId="2255E890" w14:textId="77777777" w:rsidTr="00576741">
        <w:trPr>
          <w:trHeight w:val="215"/>
          <w:jc w:val="center"/>
        </w:trPr>
        <w:tc>
          <w:tcPr>
            <w:tcW w:w="912" w:type="pct"/>
            <w:tcBorders>
              <w:right w:val="single" w:sz="12" w:space="0" w:color="auto"/>
            </w:tcBorders>
            <w:shd w:val="clear" w:color="auto" w:fill="auto"/>
            <w:noWrap/>
            <w:vAlign w:val="center"/>
          </w:tcPr>
          <w:p w14:paraId="3A2B95CC"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1975</w:t>
            </w:r>
          </w:p>
        </w:tc>
        <w:tc>
          <w:tcPr>
            <w:tcW w:w="508" w:type="pct"/>
            <w:tcBorders>
              <w:left w:val="single" w:sz="12" w:space="0" w:color="auto"/>
            </w:tcBorders>
            <w:shd w:val="clear" w:color="auto" w:fill="auto"/>
            <w:noWrap/>
            <w:vAlign w:val="bottom"/>
          </w:tcPr>
          <w:p w14:paraId="351E8CCD" w14:textId="77777777" w:rsidR="00335619" w:rsidRPr="0023367D" w:rsidRDefault="00335619" w:rsidP="00335619">
            <w:pPr>
              <w:jc w:val="right"/>
              <w:rPr>
                <w:color w:val="000000"/>
                <w:sz w:val="20"/>
                <w:szCs w:val="18"/>
                <w:lang w:bidi="he-IL"/>
              </w:rPr>
            </w:pPr>
            <w:r w:rsidRPr="0023367D">
              <w:rPr>
                <w:color w:val="000000"/>
                <w:sz w:val="20"/>
                <w:szCs w:val="18"/>
              </w:rPr>
              <w:t>195</w:t>
            </w:r>
          </w:p>
        </w:tc>
        <w:tc>
          <w:tcPr>
            <w:tcW w:w="549" w:type="pct"/>
            <w:vAlign w:val="bottom"/>
          </w:tcPr>
          <w:p w14:paraId="700C5835" w14:textId="77777777" w:rsidR="00335619" w:rsidRPr="0023367D" w:rsidRDefault="00335619" w:rsidP="00335619">
            <w:pPr>
              <w:jc w:val="right"/>
              <w:rPr>
                <w:color w:val="000000"/>
                <w:sz w:val="20"/>
                <w:szCs w:val="18"/>
              </w:rPr>
            </w:pPr>
            <w:r w:rsidRPr="0023367D">
              <w:rPr>
                <w:color w:val="000000"/>
                <w:sz w:val="20"/>
                <w:szCs w:val="18"/>
              </w:rPr>
              <w:t>66.7%</w:t>
            </w:r>
          </w:p>
        </w:tc>
        <w:tc>
          <w:tcPr>
            <w:tcW w:w="410" w:type="pct"/>
            <w:vAlign w:val="bottom"/>
          </w:tcPr>
          <w:p w14:paraId="24A0CAE3" w14:textId="77777777" w:rsidR="00335619" w:rsidRPr="0023367D" w:rsidRDefault="00335619" w:rsidP="00335619">
            <w:pPr>
              <w:jc w:val="right"/>
              <w:rPr>
                <w:color w:val="000000"/>
                <w:sz w:val="20"/>
                <w:szCs w:val="18"/>
              </w:rPr>
            </w:pPr>
            <w:r w:rsidRPr="0023367D">
              <w:rPr>
                <w:color w:val="000000"/>
                <w:sz w:val="20"/>
                <w:szCs w:val="18"/>
              </w:rPr>
              <w:t>116</w:t>
            </w:r>
          </w:p>
        </w:tc>
        <w:tc>
          <w:tcPr>
            <w:tcW w:w="568" w:type="pct"/>
            <w:tcBorders>
              <w:right w:val="single" w:sz="12" w:space="0" w:color="auto"/>
            </w:tcBorders>
            <w:shd w:val="clear" w:color="auto" w:fill="auto"/>
            <w:vAlign w:val="bottom"/>
          </w:tcPr>
          <w:p w14:paraId="47943404" w14:textId="77777777" w:rsidR="00335619" w:rsidRPr="0023367D" w:rsidRDefault="00335619" w:rsidP="00335619">
            <w:pPr>
              <w:jc w:val="right"/>
              <w:rPr>
                <w:color w:val="000000"/>
                <w:sz w:val="20"/>
                <w:szCs w:val="18"/>
              </w:rPr>
            </w:pPr>
            <w:r w:rsidRPr="0023367D">
              <w:rPr>
                <w:color w:val="000000"/>
                <w:sz w:val="20"/>
                <w:szCs w:val="18"/>
              </w:rPr>
              <w:t>70.8%</w:t>
            </w:r>
          </w:p>
        </w:tc>
        <w:tc>
          <w:tcPr>
            <w:tcW w:w="462" w:type="pct"/>
            <w:tcBorders>
              <w:left w:val="single" w:sz="12" w:space="0" w:color="auto"/>
            </w:tcBorders>
          </w:tcPr>
          <w:p w14:paraId="1B9C5738" w14:textId="77777777" w:rsidR="00335619" w:rsidRPr="0023367D" w:rsidRDefault="00335619" w:rsidP="00335619">
            <w:pPr>
              <w:jc w:val="right"/>
              <w:rPr>
                <w:color w:val="000000"/>
                <w:sz w:val="20"/>
                <w:szCs w:val="18"/>
              </w:rPr>
            </w:pPr>
            <w:r w:rsidRPr="0023367D">
              <w:rPr>
                <w:color w:val="000000"/>
                <w:sz w:val="20"/>
                <w:szCs w:val="19"/>
              </w:rPr>
              <w:t>192</w:t>
            </w:r>
          </w:p>
        </w:tc>
        <w:tc>
          <w:tcPr>
            <w:tcW w:w="565" w:type="pct"/>
            <w:vAlign w:val="bottom"/>
          </w:tcPr>
          <w:p w14:paraId="57CACA0C" w14:textId="77777777" w:rsidR="00335619" w:rsidRPr="0023367D" w:rsidRDefault="00335619" w:rsidP="00335619">
            <w:pPr>
              <w:jc w:val="right"/>
              <w:rPr>
                <w:color w:val="000000"/>
                <w:sz w:val="20"/>
                <w:szCs w:val="18"/>
              </w:rPr>
            </w:pPr>
            <w:r w:rsidRPr="0023367D">
              <w:rPr>
                <w:color w:val="000000"/>
                <w:sz w:val="20"/>
                <w:szCs w:val="19"/>
              </w:rPr>
              <w:t>79.5%</w:t>
            </w:r>
          </w:p>
        </w:tc>
        <w:tc>
          <w:tcPr>
            <w:tcW w:w="462" w:type="pct"/>
            <w:vAlign w:val="bottom"/>
          </w:tcPr>
          <w:p w14:paraId="19B60BDF" w14:textId="77777777" w:rsidR="00335619" w:rsidRPr="0023367D" w:rsidRDefault="00335619" w:rsidP="00335619">
            <w:pPr>
              <w:jc w:val="right"/>
              <w:rPr>
                <w:color w:val="000000"/>
                <w:sz w:val="20"/>
                <w:szCs w:val="18"/>
              </w:rPr>
            </w:pPr>
            <w:r w:rsidRPr="0023367D">
              <w:rPr>
                <w:color w:val="000000"/>
                <w:sz w:val="20"/>
                <w:szCs w:val="19"/>
              </w:rPr>
              <w:t>115</w:t>
            </w:r>
          </w:p>
        </w:tc>
        <w:tc>
          <w:tcPr>
            <w:tcW w:w="564" w:type="pct"/>
            <w:vAlign w:val="bottom"/>
          </w:tcPr>
          <w:p w14:paraId="77F237DC" w14:textId="77777777" w:rsidR="00335619" w:rsidRPr="0023367D" w:rsidRDefault="00335619" w:rsidP="00335619">
            <w:pPr>
              <w:jc w:val="right"/>
              <w:rPr>
                <w:color w:val="000000"/>
                <w:sz w:val="20"/>
                <w:szCs w:val="18"/>
              </w:rPr>
            </w:pPr>
            <w:r w:rsidRPr="0023367D">
              <w:rPr>
                <w:color w:val="000000"/>
                <w:sz w:val="20"/>
                <w:szCs w:val="19"/>
              </w:rPr>
              <w:t>78.6%</w:t>
            </w:r>
          </w:p>
        </w:tc>
      </w:tr>
      <w:tr w:rsidR="00335619" w:rsidRPr="0023367D" w14:paraId="61643FCE" w14:textId="77777777" w:rsidTr="00576741">
        <w:trPr>
          <w:trHeight w:val="170"/>
          <w:jc w:val="center"/>
        </w:trPr>
        <w:tc>
          <w:tcPr>
            <w:tcW w:w="912" w:type="pct"/>
            <w:tcBorders>
              <w:right w:val="single" w:sz="12" w:space="0" w:color="auto"/>
            </w:tcBorders>
            <w:shd w:val="clear" w:color="auto" w:fill="auto"/>
            <w:noWrap/>
            <w:vAlign w:val="center"/>
          </w:tcPr>
          <w:p w14:paraId="54C796AE"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1976</w:t>
            </w:r>
          </w:p>
        </w:tc>
        <w:tc>
          <w:tcPr>
            <w:tcW w:w="508" w:type="pct"/>
            <w:tcBorders>
              <w:left w:val="single" w:sz="12" w:space="0" w:color="auto"/>
            </w:tcBorders>
            <w:shd w:val="clear" w:color="auto" w:fill="auto"/>
            <w:noWrap/>
            <w:vAlign w:val="bottom"/>
          </w:tcPr>
          <w:p w14:paraId="07EC7E29" w14:textId="77777777" w:rsidR="00335619" w:rsidRPr="0023367D" w:rsidRDefault="00335619" w:rsidP="00335619">
            <w:pPr>
              <w:jc w:val="right"/>
              <w:rPr>
                <w:color w:val="000000"/>
                <w:sz w:val="20"/>
                <w:szCs w:val="18"/>
              </w:rPr>
            </w:pPr>
            <w:r w:rsidRPr="0023367D">
              <w:rPr>
                <w:color w:val="000000"/>
                <w:sz w:val="20"/>
                <w:szCs w:val="18"/>
              </w:rPr>
              <w:t>237</w:t>
            </w:r>
          </w:p>
        </w:tc>
        <w:tc>
          <w:tcPr>
            <w:tcW w:w="549" w:type="pct"/>
            <w:vAlign w:val="bottom"/>
          </w:tcPr>
          <w:p w14:paraId="16B0A26B" w14:textId="77777777" w:rsidR="00335619" w:rsidRPr="0023367D" w:rsidRDefault="00335619" w:rsidP="00335619">
            <w:pPr>
              <w:jc w:val="right"/>
              <w:rPr>
                <w:color w:val="000000"/>
                <w:sz w:val="20"/>
                <w:szCs w:val="18"/>
              </w:rPr>
            </w:pPr>
            <w:r w:rsidRPr="0023367D">
              <w:rPr>
                <w:color w:val="000000"/>
                <w:sz w:val="20"/>
                <w:szCs w:val="18"/>
              </w:rPr>
              <w:t>70.8%</w:t>
            </w:r>
          </w:p>
        </w:tc>
        <w:tc>
          <w:tcPr>
            <w:tcW w:w="410" w:type="pct"/>
            <w:vAlign w:val="bottom"/>
          </w:tcPr>
          <w:p w14:paraId="1153AD34" w14:textId="77777777" w:rsidR="00335619" w:rsidRPr="0023367D" w:rsidRDefault="00335619" w:rsidP="00335619">
            <w:pPr>
              <w:jc w:val="right"/>
              <w:rPr>
                <w:color w:val="000000"/>
                <w:sz w:val="20"/>
                <w:szCs w:val="18"/>
              </w:rPr>
            </w:pPr>
            <w:r w:rsidRPr="0023367D">
              <w:rPr>
                <w:color w:val="000000"/>
                <w:sz w:val="20"/>
                <w:szCs w:val="18"/>
              </w:rPr>
              <w:t>147</w:t>
            </w:r>
          </w:p>
        </w:tc>
        <w:tc>
          <w:tcPr>
            <w:tcW w:w="568" w:type="pct"/>
            <w:tcBorders>
              <w:right w:val="single" w:sz="12" w:space="0" w:color="auto"/>
            </w:tcBorders>
            <w:shd w:val="clear" w:color="auto" w:fill="auto"/>
            <w:vAlign w:val="bottom"/>
          </w:tcPr>
          <w:p w14:paraId="52285E8F" w14:textId="77777777" w:rsidR="00335619" w:rsidRPr="0023367D" w:rsidRDefault="00335619" w:rsidP="00335619">
            <w:pPr>
              <w:jc w:val="right"/>
              <w:rPr>
                <w:color w:val="000000"/>
                <w:sz w:val="20"/>
                <w:szCs w:val="18"/>
              </w:rPr>
            </w:pPr>
            <w:r w:rsidRPr="0023367D">
              <w:rPr>
                <w:color w:val="000000"/>
                <w:sz w:val="20"/>
                <w:szCs w:val="18"/>
              </w:rPr>
              <w:t>72.3%</w:t>
            </w:r>
          </w:p>
        </w:tc>
        <w:tc>
          <w:tcPr>
            <w:tcW w:w="462" w:type="pct"/>
            <w:tcBorders>
              <w:left w:val="single" w:sz="12" w:space="0" w:color="auto"/>
            </w:tcBorders>
          </w:tcPr>
          <w:p w14:paraId="71C07667" w14:textId="77777777" w:rsidR="00335619" w:rsidRPr="0023367D" w:rsidRDefault="00335619" w:rsidP="00335619">
            <w:pPr>
              <w:jc w:val="right"/>
              <w:rPr>
                <w:color w:val="000000"/>
                <w:sz w:val="20"/>
                <w:szCs w:val="18"/>
              </w:rPr>
            </w:pPr>
            <w:r w:rsidRPr="0023367D">
              <w:rPr>
                <w:color w:val="000000"/>
                <w:sz w:val="20"/>
                <w:szCs w:val="19"/>
              </w:rPr>
              <w:t>238</w:t>
            </w:r>
          </w:p>
        </w:tc>
        <w:tc>
          <w:tcPr>
            <w:tcW w:w="565" w:type="pct"/>
            <w:vAlign w:val="bottom"/>
          </w:tcPr>
          <w:p w14:paraId="7F8B412E" w14:textId="77777777" w:rsidR="00335619" w:rsidRPr="0023367D" w:rsidRDefault="00335619" w:rsidP="00335619">
            <w:pPr>
              <w:jc w:val="right"/>
              <w:rPr>
                <w:color w:val="000000"/>
                <w:sz w:val="20"/>
                <w:szCs w:val="18"/>
              </w:rPr>
            </w:pPr>
            <w:r w:rsidRPr="0023367D">
              <w:rPr>
                <w:color w:val="000000"/>
                <w:sz w:val="20"/>
                <w:szCs w:val="19"/>
              </w:rPr>
              <w:t>72.8%</w:t>
            </w:r>
          </w:p>
        </w:tc>
        <w:tc>
          <w:tcPr>
            <w:tcW w:w="462" w:type="pct"/>
            <w:vAlign w:val="bottom"/>
          </w:tcPr>
          <w:p w14:paraId="1C5073FB" w14:textId="77777777" w:rsidR="00335619" w:rsidRPr="0023367D" w:rsidRDefault="00335619" w:rsidP="00335619">
            <w:pPr>
              <w:jc w:val="right"/>
              <w:rPr>
                <w:color w:val="000000"/>
                <w:sz w:val="20"/>
                <w:szCs w:val="18"/>
              </w:rPr>
            </w:pPr>
            <w:r w:rsidRPr="0023367D">
              <w:rPr>
                <w:color w:val="000000"/>
                <w:sz w:val="20"/>
                <w:szCs w:val="19"/>
              </w:rPr>
              <w:t>153</w:t>
            </w:r>
          </w:p>
        </w:tc>
        <w:tc>
          <w:tcPr>
            <w:tcW w:w="564" w:type="pct"/>
            <w:vAlign w:val="bottom"/>
          </w:tcPr>
          <w:p w14:paraId="557E17CF" w14:textId="77777777" w:rsidR="00335619" w:rsidRPr="0023367D" w:rsidRDefault="00335619" w:rsidP="00335619">
            <w:pPr>
              <w:jc w:val="right"/>
              <w:rPr>
                <w:color w:val="000000"/>
                <w:sz w:val="20"/>
                <w:szCs w:val="18"/>
              </w:rPr>
            </w:pPr>
            <w:r w:rsidRPr="0023367D">
              <w:rPr>
                <w:color w:val="000000"/>
                <w:sz w:val="20"/>
                <w:szCs w:val="19"/>
              </w:rPr>
              <w:t>71.9%</w:t>
            </w:r>
          </w:p>
        </w:tc>
      </w:tr>
      <w:tr w:rsidR="00335619" w:rsidRPr="0023367D" w14:paraId="534FFC83" w14:textId="77777777" w:rsidTr="00576741">
        <w:trPr>
          <w:trHeight w:val="216"/>
          <w:jc w:val="center"/>
        </w:trPr>
        <w:tc>
          <w:tcPr>
            <w:tcW w:w="912" w:type="pct"/>
            <w:tcBorders>
              <w:right w:val="single" w:sz="12" w:space="0" w:color="auto"/>
            </w:tcBorders>
            <w:shd w:val="clear" w:color="auto" w:fill="auto"/>
            <w:noWrap/>
            <w:vAlign w:val="center"/>
          </w:tcPr>
          <w:p w14:paraId="5DF0B958"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1977</w:t>
            </w:r>
          </w:p>
        </w:tc>
        <w:tc>
          <w:tcPr>
            <w:tcW w:w="508" w:type="pct"/>
            <w:tcBorders>
              <w:left w:val="single" w:sz="12" w:space="0" w:color="auto"/>
            </w:tcBorders>
            <w:shd w:val="clear" w:color="auto" w:fill="auto"/>
            <w:noWrap/>
            <w:vAlign w:val="bottom"/>
          </w:tcPr>
          <w:p w14:paraId="77035A4E" w14:textId="77777777" w:rsidR="00335619" w:rsidRPr="0023367D" w:rsidRDefault="00335619" w:rsidP="00335619">
            <w:pPr>
              <w:jc w:val="right"/>
              <w:rPr>
                <w:color w:val="000000"/>
                <w:sz w:val="20"/>
                <w:szCs w:val="18"/>
              </w:rPr>
            </w:pPr>
            <w:r w:rsidRPr="0023367D">
              <w:rPr>
                <w:color w:val="000000"/>
                <w:sz w:val="20"/>
                <w:szCs w:val="18"/>
              </w:rPr>
              <w:t>230</w:t>
            </w:r>
          </w:p>
        </w:tc>
        <w:tc>
          <w:tcPr>
            <w:tcW w:w="549" w:type="pct"/>
            <w:vAlign w:val="bottom"/>
          </w:tcPr>
          <w:p w14:paraId="56AC4D68" w14:textId="77777777" w:rsidR="00335619" w:rsidRPr="0023367D" w:rsidRDefault="00335619" w:rsidP="00335619">
            <w:pPr>
              <w:jc w:val="right"/>
              <w:rPr>
                <w:color w:val="000000"/>
                <w:sz w:val="20"/>
                <w:szCs w:val="18"/>
              </w:rPr>
            </w:pPr>
            <w:r w:rsidRPr="0023367D">
              <w:rPr>
                <w:color w:val="000000"/>
                <w:sz w:val="20"/>
                <w:szCs w:val="18"/>
              </w:rPr>
              <w:t>73.5%</w:t>
            </w:r>
          </w:p>
        </w:tc>
        <w:tc>
          <w:tcPr>
            <w:tcW w:w="410" w:type="pct"/>
            <w:vAlign w:val="bottom"/>
          </w:tcPr>
          <w:p w14:paraId="2B227E5A" w14:textId="77777777" w:rsidR="00335619" w:rsidRPr="0023367D" w:rsidRDefault="00335619" w:rsidP="00335619">
            <w:pPr>
              <w:jc w:val="right"/>
              <w:rPr>
                <w:color w:val="000000"/>
                <w:sz w:val="20"/>
                <w:szCs w:val="18"/>
              </w:rPr>
            </w:pPr>
            <w:r w:rsidRPr="0023367D">
              <w:rPr>
                <w:color w:val="000000"/>
                <w:sz w:val="20"/>
                <w:szCs w:val="18"/>
              </w:rPr>
              <w:t>149</w:t>
            </w:r>
          </w:p>
        </w:tc>
        <w:tc>
          <w:tcPr>
            <w:tcW w:w="568" w:type="pct"/>
            <w:tcBorders>
              <w:right w:val="single" w:sz="12" w:space="0" w:color="auto"/>
            </w:tcBorders>
            <w:shd w:val="clear" w:color="auto" w:fill="auto"/>
            <w:vAlign w:val="bottom"/>
          </w:tcPr>
          <w:p w14:paraId="655607ED" w14:textId="77777777" w:rsidR="00335619" w:rsidRPr="0023367D" w:rsidRDefault="00335619" w:rsidP="00335619">
            <w:pPr>
              <w:jc w:val="right"/>
              <w:rPr>
                <w:color w:val="000000"/>
                <w:sz w:val="20"/>
                <w:szCs w:val="18"/>
              </w:rPr>
            </w:pPr>
            <w:r w:rsidRPr="0023367D">
              <w:rPr>
                <w:color w:val="000000"/>
                <w:sz w:val="20"/>
                <w:szCs w:val="18"/>
              </w:rPr>
              <w:t>75.4%</w:t>
            </w:r>
          </w:p>
        </w:tc>
        <w:tc>
          <w:tcPr>
            <w:tcW w:w="462" w:type="pct"/>
            <w:tcBorders>
              <w:left w:val="single" w:sz="12" w:space="0" w:color="auto"/>
            </w:tcBorders>
          </w:tcPr>
          <w:p w14:paraId="307B0902" w14:textId="77777777" w:rsidR="00335619" w:rsidRPr="0023367D" w:rsidRDefault="00335619" w:rsidP="00335619">
            <w:pPr>
              <w:jc w:val="right"/>
              <w:rPr>
                <w:color w:val="000000"/>
                <w:sz w:val="20"/>
                <w:szCs w:val="18"/>
              </w:rPr>
            </w:pPr>
            <w:r w:rsidRPr="0023367D">
              <w:rPr>
                <w:color w:val="000000"/>
                <w:sz w:val="20"/>
                <w:szCs w:val="19"/>
              </w:rPr>
              <w:t>232</w:t>
            </w:r>
          </w:p>
        </w:tc>
        <w:tc>
          <w:tcPr>
            <w:tcW w:w="565" w:type="pct"/>
            <w:vAlign w:val="bottom"/>
          </w:tcPr>
          <w:p w14:paraId="7B155981" w14:textId="77777777" w:rsidR="00335619" w:rsidRPr="0023367D" w:rsidRDefault="00335619" w:rsidP="00335619">
            <w:pPr>
              <w:jc w:val="right"/>
              <w:rPr>
                <w:color w:val="000000"/>
                <w:sz w:val="20"/>
                <w:szCs w:val="18"/>
              </w:rPr>
            </w:pPr>
            <w:r w:rsidRPr="0023367D">
              <w:rPr>
                <w:color w:val="000000"/>
                <w:sz w:val="20"/>
                <w:szCs w:val="19"/>
              </w:rPr>
              <w:t>78.9%</w:t>
            </w:r>
          </w:p>
        </w:tc>
        <w:tc>
          <w:tcPr>
            <w:tcW w:w="462" w:type="pct"/>
            <w:vAlign w:val="bottom"/>
          </w:tcPr>
          <w:p w14:paraId="7D17AA83" w14:textId="77777777" w:rsidR="00335619" w:rsidRPr="0023367D" w:rsidRDefault="00335619" w:rsidP="00335619">
            <w:pPr>
              <w:jc w:val="right"/>
              <w:rPr>
                <w:color w:val="000000"/>
                <w:sz w:val="20"/>
                <w:szCs w:val="18"/>
              </w:rPr>
            </w:pPr>
            <w:r w:rsidRPr="0023367D">
              <w:rPr>
                <w:color w:val="000000"/>
                <w:sz w:val="20"/>
                <w:szCs w:val="19"/>
              </w:rPr>
              <w:t>151</w:t>
            </w:r>
          </w:p>
        </w:tc>
        <w:tc>
          <w:tcPr>
            <w:tcW w:w="564" w:type="pct"/>
            <w:vAlign w:val="bottom"/>
          </w:tcPr>
          <w:p w14:paraId="0FF55F26" w14:textId="77777777" w:rsidR="00335619" w:rsidRPr="0023367D" w:rsidRDefault="00335619" w:rsidP="00335619">
            <w:pPr>
              <w:jc w:val="right"/>
              <w:rPr>
                <w:color w:val="000000"/>
                <w:sz w:val="20"/>
                <w:szCs w:val="18"/>
              </w:rPr>
            </w:pPr>
            <w:r w:rsidRPr="0023367D">
              <w:rPr>
                <w:color w:val="000000"/>
                <w:sz w:val="20"/>
                <w:szCs w:val="19"/>
              </w:rPr>
              <w:t>82.2%</w:t>
            </w:r>
          </w:p>
        </w:tc>
      </w:tr>
      <w:tr w:rsidR="00335619" w:rsidRPr="0023367D" w14:paraId="1CCDC807" w14:textId="77777777" w:rsidTr="00576741">
        <w:trPr>
          <w:trHeight w:val="216"/>
          <w:jc w:val="center"/>
        </w:trPr>
        <w:tc>
          <w:tcPr>
            <w:tcW w:w="912" w:type="pct"/>
            <w:tcBorders>
              <w:right w:val="single" w:sz="12" w:space="0" w:color="auto"/>
            </w:tcBorders>
            <w:shd w:val="clear" w:color="auto" w:fill="auto"/>
            <w:noWrap/>
            <w:vAlign w:val="center"/>
          </w:tcPr>
          <w:p w14:paraId="3E9700E9"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1978</w:t>
            </w:r>
          </w:p>
        </w:tc>
        <w:tc>
          <w:tcPr>
            <w:tcW w:w="508" w:type="pct"/>
            <w:tcBorders>
              <w:left w:val="single" w:sz="12" w:space="0" w:color="auto"/>
            </w:tcBorders>
            <w:shd w:val="clear" w:color="auto" w:fill="auto"/>
            <w:noWrap/>
            <w:vAlign w:val="bottom"/>
          </w:tcPr>
          <w:p w14:paraId="420AC3E2" w14:textId="77777777" w:rsidR="00335619" w:rsidRPr="0023367D" w:rsidRDefault="00335619" w:rsidP="00335619">
            <w:pPr>
              <w:jc w:val="right"/>
              <w:rPr>
                <w:color w:val="000000"/>
                <w:sz w:val="20"/>
                <w:szCs w:val="18"/>
              </w:rPr>
            </w:pPr>
            <w:r w:rsidRPr="0023367D">
              <w:rPr>
                <w:color w:val="000000"/>
                <w:sz w:val="20"/>
                <w:szCs w:val="18"/>
              </w:rPr>
              <w:t>205</w:t>
            </w:r>
          </w:p>
        </w:tc>
        <w:tc>
          <w:tcPr>
            <w:tcW w:w="549" w:type="pct"/>
            <w:vAlign w:val="bottom"/>
          </w:tcPr>
          <w:p w14:paraId="32099BC1" w14:textId="77777777" w:rsidR="00335619" w:rsidRPr="0023367D" w:rsidRDefault="00335619" w:rsidP="00335619">
            <w:pPr>
              <w:jc w:val="right"/>
              <w:rPr>
                <w:color w:val="000000"/>
                <w:sz w:val="20"/>
                <w:szCs w:val="18"/>
              </w:rPr>
            </w:pPr>
            <w:r w:rsidRPr="0023367D">
              <w:rPr>
                <w:color w:val="000000"/>
                <w:sz w:val="20"/>
                <w:szCs w:val="18"/>
              </w:rPr>
              <w:t>80.4%</w:t>
            </w:r>
          </w:p>
        </w:tc>
        <w:tc>
          <w:tcPr>
            <w:tcW w:w="410" w:type="pct"/>
            <w:vAlign w:val="bottom"/>
          </w:tcPr>
          <w:p w14:paraId="35A90F1C" w14:textId="77777777" w:rsidR="00335619" w:rsidRPr="0023367D" w:rsidRDefault="00335619" w:rsidP="00335619">
            <w:pPr>
              <w:jc w:val="right"/>
              <w:rPr>
                <w:color w:val="000000"/>
                <w:sz w:val="20"/>
                <w:szCs w:val="18"/>
              </w:rPr>
            </w:pPr>
            <w:r w:rsidRPr="0023367D">
              <w:rPr>
                <w:color w:val="000000"/>
                <w:sz w:val="20"/>
                <w:szCs w:val="18"/>
              </w:rPr>
              <w:t>146</w:t>
            </w:r>
          </w:p>
        </w:tc>
        <w:tc>
          <w:tcPr>
            <w:tcW w:w="568" w:type="pct"/>
            <w:tcBorders>
              <w:right w:val="single" w:sz="12" w:space="0" w:color="auto"/>
            </w:tcBorders>
            <w:shd w:val="clear" w:color="auto" w:fill="auto"/>
            <w:vAlign w:val="bottom"/>
          </w:tcPr>
          <w:p w14:paraId="31B57067" w14:textId="77777777" w:rsidR="00335619" w:rsidRPr="0023367D" w:rsidRDefault="00335619" w:rsidP="00335619">
            <w:pPr>
              <w:jc w:val="right"/>
              <w:rPr>
                <w:color w:val="000000"/>
                <w:sz w:val="20"/>
                <w:szCs w:val="18"/>
              </w:rPr>
            </w:pPr>
            <w:r w:rsidRPr="0023367D">
              <w:rPr>
                <w:color w:val="000000"/>
                <w:sz w:val="20"/>
                <w:szCs w:val="18"/>
              </w:rPr>
              <w:t>80.0%</w:t>
            </w:r>
          </w:p>
        </w:tc>
        <w:tc>
          <w:tcPr>
            <w:tcW w:w="462" w:type="pct"/>
            <w:tcBorders>
              <w:left w:val="single" w:sz="12" w:space="0" w:color="auto"/>
            </w:tcBorders>
          </w:tcPr>
          <w:p w14:paraId="18A5E0FC" w14:textId="77777777" w:rsidR="00335619" w:rsidRPr="0023367D" w:rsidRDefault="00335619" w:rsidP="00335619">
            <w:pPr>
              <w:jc w:val="right"/>
              <w:rPr>
                <w:color w:val="000000"/>
                <w:sz w:val="20"/>
                <w:szCs w:val="18"/>
              </w:rPr>
            </w:pPr>
            <w:r w:rsidRPr="0023367D">
              <w:rPr>
                <w:color w:val="000000"/>
                <w:sz w:val="20"/>
                <w:szCs w:val="19"/>
              </w:rPr>
              <w:t>207</w:t>
            </w:r>
          </w:p>
        </w:tc>
        <w:tc>
          <w:tcPr>
            <w:tcW w:w="565" w:type="pct"/>
            <w:vAlign w:val="bottom"/>
          </w:tcPr>
          <w:p w14:paraId="2EB4D48D" w14:textId="77777777" w:rsidR="00335619" w:rsidRPr="0023367D" w:rsidRDefault="00335619" w:rsidP="00335619">
            <w:pPr>
              <w:jc w:val="right"/>
              <w:rPr>
                <w:color w:val="000000"/>
                <w:sz w:val="20"/>
                <w:szCs w:val="18"/>
              </w:rPr>
            </w:pPr>
            <w:r w:rsidRPr="0023367D">
              <w:rPr>
                <w:color w:val="000000"/>
                <w:sz w:val="20"/>
                <w:szCs w:val="19"/>
              </w:rPr>
              <w:t>83.3%</w:t>
            </w:r>
          </w:p>
        </w:tc>
        <w:tc>
          <w:tcPr>
            <w:tcW w:w="462" w:type="pct"/>
            <w:vAlign w:val="bottom"/>
          </w:tcPr>
          <w:p w14:paraId="6A4AF71E" w14:textId="77777777" w:rsidR="00335619" w:rsidRPr="0023367D" w:rsidRDefault="00335619" w:rsidP="00335619">
            <w:pPr>
              <w:jc w:val="right"/>
              <w:rPr>
                <w:color w:val="000000"/>
                <w:sz w:val="20"/>
                <w:szCs w:val="18"/>
              </w:rPr>
            </w:pPr>
            <w:r w:rsidRPr="0023367D">
              <w:rPr>
                <w:color w:val="000000"/>
                <w:sz w:val="20"/>
                <w:szCs w:val="19"/>
              </w:rPr>
              <w:t>146</w:t>
            </w:r>
          </w:p>
        </w:tc>
        <w:tc>
          <w:tcPr>
            <w:tcW w:w="564" w:type="pct"/>
            <w:vAlign w:val="bottom"/>
          </w:tcPr>
          <w:p w14:paraId="58F72831" w14:textId="77777777" w:rsidR="00335619" w:rsidRPr="0023367D" w:rsidRDefault="00335619" w:rsidP="00335619">
            <w:pPr>
              <w:jc w:val="right"/>
              <w:rPr>
                <w:color w:val="000000"/>
                <w:sz w:val="20"/>
                <w:szCs w:val="18"/>
              </w:rPr>
            </w:pPr>
            <w:r w:rsidRPr="0023367D">
              <w:rPr>
                <w:color w:val="000000"/>
                <w:sz w:val="20"/>
                <w:szCs w:val="19"/>
              </w:rPr>
              <w:t>92.1%</w:t>
            </w:r>
          </w:p>
        </w:tc>
      </w:tr>
      <w:tr w:rsidR="00335619" w:rsidRPr="0023367D" w14:paraId="501DDC48" w14:textId="77777777" w:rsidTr="00576741">
        <w:trPr>
          <w:trHeight w:val="216"/>
          <w:jc w:val="center"/>
        </w:trPr>
        <w:tc>
          <w:tcPr>
            <w:tcW w:w="912" w:type="pct"/>
            <w:tcBorders>
              <w:right w:val="single" w:sz="12" w:space="0" w:color="auto"/>
            </w:tcBorders>
            <w:shd w:val="clear" w:color="auto" w:fill="auto"/>
            <w:noWrap/>
            <w:vAlign w:val="center"/>
          </w:tcPr>
          <w:p w14:paraId="1D7F816C"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1979</w:t>
            </w:r>
          </w:p>
        </w:tc>
        <w:tc>
          <w:tcPr>
            <w:tcW w:w="508" w:type="pct"/>
            <w:tcBorders>
              <w:left w:val="single" w:sz="12" w:space="0" w:color="auto"/>
            </w:tcBorders>
            <w:shd w:val="clear" w:color="auto" w:fill="auto"/>
            <w:noWrap/>
            <w:vAlign w:val="bottom"/>
          </w:tcPr>
          <w:p w14:paraId="3F94CDA6" w14:textId="77777777" w:rsidR="00335619" w:rsidRPr="0023367D" w:rsidRDefault="00335619" w:rsidP="00335619">
            <w:pPr>
              <w:jc w:val="right"/>
              <w:rPr>
                <w:color w:val="000000"/>
                <w:sz w:val="20"/>
                <w:szCs w:val="18"/>
              </w:rPr>
            </w:pPr>
            <w:r w:rsidRPr="0023367D">
              <w:rPr>
                <w:color w:val="000000"/>
                <w:sz w:val="20"/>
                <w:szCs w:val="18"/>
              </w:rPr>
              <w:t>213</w:t>
            </w:r>
          </w:p>
        </w:tc>
        <w:tc>
          <w:tcPr>
            <w:tcW w:w="549" w:type="pct"/>
            <w:vAlign w:val="bottom"/>
          </w:tcPr>
          <w:p w14:paraId="4AA222BC" w14:textId="77777777" w:rsidR="00335619" w:rsidRPr="0023367D" w:rsidRDefault="00335619" w:rsidP="00335619">
            <w:pPr>
              <w:jc w:val="right"/>
              <w:rPr>
                <w:color w:val="000000"/>
                <w:sz w:val="20"/>
                <w:szCs w:val="18"/>
              </w:rPr>
            </w:pPr>
            <w:r w:rsidRPr="0023367D">
              <w:rPr>
                <w:color w:val="000000"/>
                <w:sz w:val="20"/>
                <w:szCs w:val="18"/>
              </w:rPr>
              <w:t>80.6%</w:t>
            </w:r>
          </w:p>
        </w:tc>
        <w:tc>
          <w:tcPr>
            <w:tcW w:w="410" w:type="pct"/>
            <w:vAlign w:val="bottom"/>
          </w:tcPr>
          <w:p w14:paraId="491B606F" w14:textId="77777777" w:rsidR="00335619" w:rsidRPr="0023367D" w:rsidRDefault="00335619" w:rsidP="00335619">
            <w:pPr>
              <w:jc w:val="right"/>
              <w:rPr>
                <w:color w:val="000000"/>
                <w:sz w:val="20"/>
                <w:szCs w:val="18"/>
              </w:rPr>
            </w:pPr>
            <w:r w:rsidRPr="0023367D">
              <w:rPr>
                <w:color w:val="000000"/>
                <w:sz w:val="20"/>
                <w:szCs w:val="18"/>
              </w:rPr>
              <w:t>155</w:t>
            </w:r>
          </w:p>
        </w:tc>
        <w:tc>
          <w:tcPr>
            <w:tcW w:w="568" w:type="pct"/>
            <w:tcBorders>
              <w:right w:val="single" w:sz="12" w:space="0" w:color="auto"/>
            </w:tcBorders>
            <w:shd w:val="clear" w:color="auto" w:fill="auto"/>
            <w:vAlign w:val="bottom"/>
          </w:tcPr>
          <w:p w14:paraId="3A4F6FDF" w14:textId="77777777" w:rsidR="00335619" w:rsidRPr="0023367D" w:rsidRDefault="00335619" w:rsidP="00335619">
            <w:pPr>
              <w:jc w:val="right"/>
              <w:rPr>
                <w:color w:val="000000"/>
                <w:sz w:val="20"/>
                <w:szCs w:val="18"/>
              </w:rPr>
            </w:pPr>
            <w:r w:rsidRPr="0023367D">
              <w:rPr>
                <w:color w:val="000000"/>
                <w:sz w:val="20"/>
                <w:szCs w:val="18"/>
              </w:rPr>
              <w:t>81.6%</w:t>
            </w:r>
          </w:p>
        </w:tc>
        <w:tc>
          <w:tcPr>
            <w:tcW w:w="462" w:type="pct"/>
            <w:tcBorders>
              <w:left w:val="single" w:sz="12" w:space="0" w:color="auto"/>
            </w:tcBorders>
          </w:tcPr>
          <w:p w14:paraId="148386EC" w14:textId="77777777" w:rsidR="00335619" w:rsidRPr="0023367D" w:rsidRDefault="00335619" w:rsidP="00335619">
            <w:pPr>
              <w:jc w:val="right"/>
              <w:rPr>
                <w:color w:val="000000"/>
                <w:sz w:val="20"/>
                <w:szCs w:val="18"/>
              </w:rPr>
            </w:pPr>
            <w:r w:rsidRPr="0023367D">
              <w:rPr>
                <w:color w:val="000000"/>
                <w:sz w:val="20"/>
                <w:szCs w:val="19"/>
              </w:rPr>
              <w:t>210</w:t>
            </w:r>
          </w:p>
        </w:tc>
        <w:tc>
          <w:tcPr>
            <w:tcW w:w="565" w:type="pct"/>
            <w:vAlign w:val="bottom"/>
          </w:tcPr>
          <w:p w14:paraId="14DBB519" w14:textId="77777777" w:rsidR="00335619" w:rsidRPr="0023367D" w:rsidRDefault="00335619" w:rsidP="00335619">
            <w:pPr>
              <w:jc w:val="right"/>
              <w:rPr>
                <w:color w:val="000000"/>
                <w:sz w:val="20"/>
                <w:szCs w:val="18"/>
              </w:rPr>
            </w:pPr>
            <w:r w:rsidRPr="0023367D">
              <w:rPr>
                <w:color w:val="000000"/>
                <w:sz w:val="20"/>
                <w:szCs w:val="19"/>
              </w:rPr>
              <w:t>82.5%</w:t>
            </w:r>
          </w:p>
        </w:tc>
        <w:tc>
          <w:tcPr>
            <w:tcW w:w="462" w:type="pct"/>
            <w:vAlign w:val="bottom"/>
          </w:tcPr>
          <w:p w14:paraId="4BBF3DBF" w14:textId="77777777" w:rsidR="00335619" w:rsidRPr="0023367D" w:rsidRDefault="00335619" w:rsidP="00335619">
            <w:pPr>
              <w:jc w:val="right"/>
              <w:rPr>
                <w:color w:val="000000"/>
                <w:sz w:val="20"/>
                <w:szCs w:val="18"/>
              </w:rPr>
            </w:pPr>
            <w:r w:rsidRPr="0023367D">
              <w:rPr>
                <w:color w:val="000000"/>
                <w:sz w:val="20"/>
                <w:szCs w:val="19"/>
              </w:rPr>
              <w:t>164</w:t>
            </w:r>
          </w:p>
        </w:tc>
        <w:tc>
          <w:tcPr>
            <w:tcW w:w="564" w:type="pct"/>
            <w:vAlign w:val="bottom"/>
          </w:tcPr>
          <w:p w14:paraId="02B0B509" w14:textId="77777777" w:rsidR="00335619" w:rsidRPr="0023367D" w:rsidRDefault="00335619" w:rsidP="00335619">
            <w:pPr>
              <w:jc w:val="right"/>
              <w:rPr>
                <w:color w:val="000000"/>
                <w:sz w:val="20"/>
                <w:szCs w:val="18"/>
              </w:rPr>
            </w:pPr>
            <w:r w:rsidRPr="0023367D">
              <w:rPr>
                <w:color w:val="000000"/>
                <w:sz w:val="20"/>
                <w:szCs w:val="19"/>
              </w:rPr>
              <w:t>96.4%</w:t>
            </w:r>
          </w:p>
        </w:tc>
      </w:tr>
      <w:tr w:rsidR="00335619" w:rsidRPr="0023367D" w14:paraId="21E2024E" w14:textId="77777777" w:rsidTr="00576741">
        <w:trPr>
          <w:trHeight w:val="216"/>
          <w:jc w:val="center"/>
        </w:trPr>
        <w:tc>
          <w:tcPr>
            <w:tcW w:w="912" w:type="pct"/>
            <w:tcBorders>
              <w:right w:val="single" w:sz="12" w:space="0" w:color="auto"/>
            </w:tcBorders>
            <w:shd w:val="clear" w:color="auto" w:fill="auto"/>
            <w:noWrap/>
            <w:vAlign w:val="center"/>
          </w:tcPr>
          <w:p w14:paraId="249890F9"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1980</w:t>
            </w:r>
          </w:p>
        </w:tc>
        <w:tc>
          <w:tcPr>
            <w:tcW w:w="508" w:type="pct"/>
            <w:tcBorders>
              <w:left w:val="single" w:sz="12" w:space="0" w:color="auto"/>
            </w:tcBorders>
            <w:shd w:val="clear" w:color="auto" w:fill="auto"/>
            <w:noWrap/>
            <w:vAlign w:val="bottom"/>
          </w:tcPr>
          <w:p w14:paraId="0BFE70A2" w14:textId="77777777" w:rsidR="00335619" w:rsidRPr="0023367D" w:rsidRDefault="00335619" w:rsidP="00335619">
            <w:pPr>
              <w:jc w:val="right"/>
              <w:rPr>
                <w:color w:val="000000"/>
                <w:sz w:val="20"/>
                <w:szCs w:val="18"/>
              </w:rPr>
            </w:pPr>
            <w:r w:rsidRPr="0023367D">
              <w:rPr>
                <w:color w:val="000000"/>
                <w:sz w:val="20"/>
                <w:szCs w:val="18"/>
              </w:rPr>
              <w:t>200</w:t>
            </w:r>
          </w:p>
        </w:tc>
        <w:tc>
          <w:tcPr>
            <w:tcW w:w="549" w:type="pct"/>
            <w:vAlign w:val="bottom"/>
          </w:tcPr>
          <w:p w14:paraId="3B33B7F7" w14:textId="77777777" w:rsidR="00335619" w:rsidRPr="0023367D" w:rsidRDefault="00335619" w:rsidP="00335619">
            <w:pPr>
              <w:jc w:val="right"/>
              <w:rPr>
                <w:color w:val="000000"/>
                <w:sz w:val="20"/>
                <w:szCs w:val="18"/>
              </w:rPr>
            </w:pPr>
            <w:r w:rsidRPr="0023367D">
              <w:rPr>
                <w:color w:val="000000"/>
                <w:sz w:val="20"/>
                <w:szCs w:val="18"/>
              </w:rPr>
              <w:t>84.8%</w:t>
            </w:r>
          </w:p>
        </w:tc>
        <w:tc>
          <w:tcPr>
            <w:tcW w:w="410" w:type="pct"/>
            <w:vAlign w:val="bottom"/>
          </w:tcPr>
          <w:p w14:paraId="4A2552A6" w14:textId="77777777" w:rsidR="00335619" w:rsidRPr="0023367D" w:rsidRDefault="00335619" w:rsidP="00335619">
            <w:pPr>
              <w:jc w:val="right"/>
              <w:rPr>
                <w:color w:val="000000"/>
                <w:sz w:val="20"/>
                <w:szCs w:val="18"/>
              </w:rPr>
            </w:pPr>
            <w:r w:rsidRPr="0023367D">
              <w:rPr>
                <w:color w:val="000000"/>
                <w:sz w:val="20"/>
                <w:szCs w:val="18"/>
              </w:rPr>
              <w:t>157</w:t>
            </w:r>
          </w:p>
        </w:tc>
        <w:tc>
          <w:tcPr>
            <w:tcW w:w="568" w:type="pct"/>
            <w:tcBorders>
              <w:right w:val="single" w:sz="12" w:space="0" w:color="auto"/>
            </w:tcBorders>
            <w:shd w:val="clear" w:color="auto" w:fill="auto"/>
            <w:vAlign w:val="bottom"/>
          </w:tcPr>
          <w:p w14:paraId="14E094EE" w14:textId="77777777" w:rsidR="00335619" w:rsidRPr="0023367D" w:rsidRDefault="00335619" w:rsidP="00335619">
            <w:pPr>
              <w:jc w:val="right"/>
              <w:rPr>
                <w:color w:val="000000"/>
                <w:sz w:val="20"/>
                <w:szCs w:val="18"/>
              </w:rPr>
            </w:pPr>
            <w:r w:rsidRPr="0023367D">
              <w:rPr>
                <w:color w:val="000000"/>
                <w:sz w:val="20"/>
                <w:szCs w:val="18"/>
              </w:rPr>
              <w:t>78.1%</w:t>
            </w:r>
          </w:p>
        </w:tc>
        <w:tc>
          <w:tcPr>
            <w:tcW w:w="462" w:type="pct"/>
            <w:tcBorders>
              <w:left w:val="single" w:sz="12" w:space="0" w:color="auto"/>
            </w:tcBorders>
          </w:tcPr>
          <w:p w14:paraId="06BE3426" w14:textId="77777777" w:rsidR="00335619" w:rsidRPr="0023367D" w:rsidRDefault="00335619" w:rsidP="00335619">
            <w:pPr>
              <w:jc w:val="right"/>
              <w:rPr>
                <w:color w:val="000000"/>
                <w:sz w:val="20"/>
                <w:szCs w:val="18"/>
              </w:rPr>
            </w:pPr>
            <w:r w:rsidRPr="0023367D">
              <w:rPr>
                <w:color w:val="000000"/>
                <w:sz w:val="20"/>
                <w:szCs w:val="19"/>
              </w:rPr>
              <w:t>209</w:t>
            </w:r>
          </w:p>
        </w:tc>
        <w:tc>
          <w:tcPr>
            <w:tcW w:w="565" w:type="pct"/>
            <w:vAlign w:val="bottom"/>
          </w:tcPr>
          <w:p w14:paraId="49E3466F" w14:textId="77777777" w:rsidR="00335619" w:rsidRPr="0023367D" w:rsidRDefault="00335619" w:rsidP="00335619">
            <w:pPr>
              <w:jc w:val="right"/>
              <w:rPr>
                <w:color w:val="000000"/>
                <w:sz w:val="20"/>
                <w:szCs w:val="18"/>
              </w:rPr>
            </w:pPr>
            <w:r w:rsidRPr="0023367D">
              <w:rPr>
                <w:color w:val="000000"/>
                <w:sz w:val="20"/>
                <w:szCs w:val="19"/>
              </w:rPr>
              <w:t>84.8%</w:t>
            </w:r>
          </w:p>
        </w:tc>
        <w:tc>
          <w:tcPr>
            <w:tcW w:w="462" w:type="pct"/>
            <w:vAlign w:val="bottom"/>
          </w:tcPr>
          <w:p w14:paraId="2F11E5BE" w14:textId="77777777" w:rsidR="00335619" w:rsidRPr="0023367D" w:rsidRDefault="00335619" w:rsidP="00335619">
            <w:pPr>
              <w:jc w:val="right"/>
              <w:rPr>
                <w:color w:val="000000"/>
                <w:sz w:val="20"/>
                <w:szCs w:val="18"/>
              </w:rPr>
            </w:pPr>
            <w:r w:rsidRPr="0023367D">
              <w:rPr>
                <w:color w:val="000000"/>
                <w:sz w:val="20"/>
                <w:szCs w:val="19"/>
              </w:rPr>
              <w:t>157</w:t>
            </w:r>
          </w:p>
        </w:tc>
        <w:tc>
          <w:tcPr>
            <w:tcW w:w="564" w:type="pct"/>
            <w:vAlign w:val="bottom"/>
          </w:tcPr>
          <w:p w14:paraId="5CA7868F" w14:textId="77777777" w:rsidR="00335619" w:rsidRPr="0023367D" w:rsidRDefault="00335619" w:rsidP="00335619">
            <w:pPr>
              <w:jc w:val="right"/>
              <w:rPr>
                <w:color w:val="000000"/>
                <w:sz w:val="20"/>
                <w:szCs w:val="18"/>
              </w:rPr>
            </w:pPr>
            <w:r w:rsidRPr="0023367D">
              <w:rPr>
                <w:color w:val="000000"/>
                <w:sz w:val="20"/>
                <w:szCs w:val="19"/>
              </w:rPr>
              <w:t>86.3%</w:t>
            </w:r>
          </w:p>
        </w:tc>
      </w:tr>
      <w:tr w:rsidR="00335619" w:rsidRPr="0023367D" w14:paraId="270EE8B7" w14:textId="77777777" w:rsidTr="00576741">
        <w:trPr>
          <w:trHeight w:val="216"/>
          <w:jc w:val="center"/>
        </w:trPr>
        <w:tc>
          <w:tcPr>
            <w:tcW w:w="912" w:type="pct"/>
            <w:tcBorders>
              <w:right w:val="single" w:sz="12" w:space="0" w:color="auto"/>
            </w:tcBorders>
            <w:shd w:val="clear" w:color="auto" w:fill="auto"/>
            <w:noWrap/>
            <w:vAlign w:val="center"/>
          </w:tcPr>
          <w:p w14:paraId="767F2274"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1981</w:t>
            </w:r>
          </w:p>
        </w:tc>
        <w:tc>
          <w:tcPr>
            <w:tcW w:w="508" w:type="pct"/>
            <w:tcBorders>
              <w:left w:val="single" w:sz="12" w:space="0" w:color="auto"/>
            </w:tcBorders>
            <w:shd w:val="clear" w:color="auto" w:fill="auto"/>
            <w:noWrap/>
            <w:vAlign w:val="bottom"/>
          </w:tcPr>
          <w:p w14:paraId="0659BE38" w14:textId="77777777" w:rsidR="00335619" w:rsidRPr="0023367D" w:rsidRDefault="00335619" w:rsidP="00335619">
            <w:pPr>
              <w:jc w:val="right"/>
              <w:rPr>
                <w:color w:val="000000"/>
                <w:sz w:val="20"/>
                <w:szCs w:val="18"/>
              </w:rPr>
            </w:pPr>
            <w:r w:rsidRPr="0023367D">
              <w:rPr>
                <w:color w:val="000000"/>
                <w:sz w:val="20"/>
                <w:szCs w:val="18"/>
              </w:rPr>
              <w:t>457</w:t>
            </w:r>
          </w:p>
        </w:tc>
        <w:tc>
          <w:tcPr>
            <w:tcW w:w="549" w:type="pct"/>
            <w:vAlign w:val="bottom"/>
          </w:tcPr>
          <w:p w14:paraId="3BE32A68" w14:textId="77777777" w:rsidR="00335619" w:rsidRPr="0023367D" w:rsidRDefault="00335619" w:rsidP="00335619">
            <w:pPr>
              <w:jc w:val="right"/>
              <w:rPr>
                <w:color w:val="000000"/>
                <w:sz w:val="20"/>
                <w:szCs w:val="18"/>
              </w:rPr>
            </w:pPr>
            <w:r w:rsidRPr="0023367D">
              <w:rPr>
                <w:color w:val="000000"/>
                <w:sz w:val="20"/>
                <w:szCs w:val="18"/>
              </w:rPr>
              <w:t>84.2%</w:t>
            </w:r>
          </w:p>
        </w:tc>
        <w:tc>
          <w:tcPr>
            <w:tcW w:w="410" w:type="pct"/>
            <w:vAlign w:val="bottom"/>
          </w:tcPr>
          <w:p w14:paraId="14DEBD3D" w14:textId="77777777" w:rsidR="00335619" w:rsidRPr="0023367D" w:rsidRDefault="00335619" w:rsidP="00335619">
            <w:pPr>
              <w:jc w:val="right"/>
              <w:rPr>
                <w:color w:val="000000"/>
                <w:sz w:val="20"/>
                <w:szCs w:val="18"/>
              </w:rPr>
            </w:pPr>
            <w:r w:rsidRPr="0023367D">
              <w:rPr>
                <w:color w:val="000000"/>
                <w:sz w:val="20"/>
                <w:szCs w:val="18"/>
              </w:rPr>
              <w:t>50</w:t>
            </w:r>
          </w:p>
        </w:tc>
        <w:tc>
          <w:tcPr>
            <w:tcW w:w="568" w:type="pct"/>
            <w:tcBorders>
              <w:right w:val="single" w:sz="12" w:space="0" w:color="auto"/>
            </w:tcBorders>
            <w:shd w:val="clear" w:color="auto" w:fill="auto"/>
            <w:vAlign w:val="bottom"/>
          </w:tcPr>
          <w:p w14:paraId="400E7E63" w14:textId="77777777" w:rsidR="00335619" w:rsidRPr="0023367D" w:rsidRDefault="00335619" w:rsidP="00335619">
            <w:pPr>
              <w:jc w:val="right"/>
              <w:rPr>
                <w:color w:val="000000"/>
                <w:sz w:val="20"/>
                <w:szCs w:val="18"/>
              </w:rPr>
            </w:pPr>
            <w:r w:rsidRPr="0023367D">
              <w:rPr>
                <w:color w:val="000000"/>
                <w:sz w:val="20"/>
                <w:szCs w:val="18"/>
              </w:rPr>
              <w:t>79.7%</w:t>
            </w:r>
          </w:p>
        </w:tc>
        <w:tc>
          <w:tcPr>
            <w:tcW w:w="462" w:type="pct"/>
            <w:tcBorders>
              <w:left w:val="single" w:sz="12" w:space="0" w:color="auto"/>
            </w:tcBorders>
          </w:tcPr>
          <w:p w14:paraId="071382C5" w14:textId="77777777" w:rsidR="00335619" w:rsidRPr="0023367D" w:rsidRDefault="00335619" w:rsidP="00335619">
            <w:pPr>
              <w:jc w:val="right"/>
              <w:rPr>
                <w:color w:val="000000"/>
                <w:sz w:val="20"/>
                <w:szCs w:val="18"/>
              </w:rPr>
            </w:pPr>
            <w:r w:rsidRPr="0023367D">
              <w:rPr>
                <w:color w:val="000000"/>
                <w:sz w:val="20"/>
                <w:szCs w:val="19"/>
              </w:rPr>
              <w:t>456</w:t>
            </w:r>
          </w:p>
        </w:tc>
        <w:tc>
          <w:tcPr>
            <w:tcW w:w="565" w:type="pct"/>
            <w:vAlign w:val="bottom"/>
          </w:tcPr>
          <w:p w14:paraId="128C7B23" w14:textId="77777777" w:rsidR="00335619" w:rsidRPr="0023367D" w:rsidRDefault="00335619" w:rsidP="00335619">
            <w:pPr>
              <w:jc w:val="right"/>
              <w:rPr>
                <w:color w:val="000000"/>
                <w:sz w:val="20"/>
                <w:szCs w:val="18"/>
              </w:rPr>
            </w:pPr>
            <w:r w:rsidRPr="0023367D">
              <w:rPr>
                <w:color w:val="000000"/>
                <w:sz w:val="20"/>
                <w:szCs w:val="19"/>
              </w:rPr>
              <w:t>79.3%</w:t>
            </w:r>
          </w:p>
        </w:tc>
        <w:tc>
          <w:tcPr>
            <w:tcW w:w="462" w:type="pct"/>
            <w:vAlign w:val="bottom"/>
          </w:tcPr>
          <w:p w14:paraId="325CB0B4" w14:textId="77777777" w:rsidR="00335619" w:rsidRPr="0023367D" w:rsidRDefault="00335619" w:rsidP="00335619">
            <w:pPr>
              <w:jc w:val="right"/>
              <w:rPr>
                <w:color w:val="000000"/>
                <w:sz w:val="20"/>
                <w:szCs w:val="18"/>
              </w:rPr>
            </w:pPr>
            <w:r w:rsidRPr="0023367D">
              <w:rPr>
                <w:color w:val="000000"/>
                <w:sz w:val="20"/>
                <w:szCs w:val="19"/>
              </w:rPr>
              <w:t>49</w:t>
            </w:r>
          </w:p>
        </w:tc>
        <w:tc>
          <w:tcPr>
            <w:tcW w:w="564" w:type="pct"/>
            <w:vAlign w:val="bottom"/>
          </w:tcPr>
          <w:p w14:paraId="28F3ABB4" w14:textId="77777777" w:rsidR="00335619" w:rsidRPr="0023367D" w:rsidRDefault="00335619" w:rsidP="00335619">
            <w:pPr>
              <w:jc w:val="right"/>
              <w:rPr>
                <w:color w:val="000000"/>
                <w:sz w:val="20"/>
                <w:szCs w:val="18"/>
              </w:rPr>
            </w:pPr>
            <w:r w:rsidRPr="0023367D">
              <w:rPr>
                <w:color w:val="000000"/>
                <w:sz w:val="20"/>
                <w:szCs w:val="19"/>
              </w:rPr>
              <w:t>82.0%</w:t>
            </w:r>
          </w:p>
        </w:tc>
      </w:tr>
      <w:tr w:rsidR="00335619" w:rsidRPr="0023367D" w14:paraId="3926CD8C" w14:textId="77777777" w:rsidTr="00576741">
        <w:trPr>
          <w:trHeight w:val="216"/>
          <w:jc w:val="center"/>
        </w:trPr>
        <w:tc>
          <w:tcPr>
            <w:tcW w:w="912" w:type="pct"/>
            <w:tcBorders>
              <w:right w:val="single" w:sz="12" w:space="0" w:color="auto"/>
            </w:tcBorders>
            <w:shd w:val="clear" w:color="auto" w:fill="auto"/>
            <w:noWrap/>
            <w:vAlign w:val="center"/>
          </w:tcPr>
          <w:p w14:paraId="02028389"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1982</w:t>
            </w:r>
          </w:p>
        </w:tc>
        <w:tc>
          <w:tcPr>
            <w:tcW w:w="508" w:type="pct"/>
            <w:tcBorders>
              <w:left w:val="single" w:sz="12" w:space="0" w:color="auto"/>
            </w:tcBorders>
            <w:shd w:val="clear" w:color="auto" w:fill="auto"/>
            <w:noWrap/>
            <w:vAlign w:val="bottom"/>
          </w:tcPr>
          <w:p w14:paraId="357CC416" w14:textId="77777777" w:rsidR="00335619" w:rsidRPr="0023367D" w:rsidRDefault="00335619" w:rsidP="00335619">
            <w:pPr>
              <w:jc w:val="right"/>
              <w:rPr>
                <w:color w:val="000000"/>
                <w:sz w:val="20"/>
                <w:szCs w:val="18"/>
              </w:rPr>
            </w:pPr>
            <w:r w:rsidRPr="0023367D">
              <w:rPr>
                <w:color w:val="000000"/>
                <w:sz w:val="20"/>
                <w:szCs w:val="18"/>
              </w:rPr>
              <w:t>441</w:t>
            </w:r>
          </w:p>
        </w:tc>
        <w:tc>
          <w:tcPr>
            <w:tcW w:w="549" w:type="pct"/>
            <w:vAlign w:val="bottom"/>
          </w:tcPr>
          <w:p w14:paraId="0E7B4502" w14:textId="77777777" w:rsidR="00335619" w:rsidRPr="0023367D" w:rsidRDefault="00335619" w:rsidP="00335619">
            <w:pPr>
              <w:jc w:val="right"/>
              <w:rPr>
                <w:color w:val="000000"/>
                <w:sz w:val="20"/>
                <w:szCs w:val="18"/>
              </w:rPr>
            </w:pPr>
            <w:r w:rsidRPr="0023367D">
              <w:rPr>
                <w:color w:val="000000"/>
                <w:sz w:val="20"/>
                <w:szCs w:val="18"/>
              </w:rPr>
              <w:t>82.3%</w:t>
            </w:r>
          </w:p>
        </w:tc>
        <w:tc>
          <w:tcPr>
            <w:tcW w:w="410" w:type="pct"/>
            <w:vAlign w:val="bottom"/>
          </w:tcPr>
          <w:p w14:paraId="2A130D02" w14:textId="77777777" w:rsidR="00335619" w:rsidRPr="0023367D" w:rsidRDefault="00335619" w:rsidP="00335619">
            <w:pPr>
              <w:jc w:val="right"/>
              <w:rPr>
                <w:color w:val="000000"/>
                <w:sz w:val="20"/>
                <w:szCs w:val="18"/>
              </w:rPr>
            </w:pPr>
            <w:r w:rsidRPr="0023367D">
              <w:rPr>
                <w:color w:val="000000"/>
                <w:sz w:val="20"/>
                <w:szCs w:val="18"/>
              </w:rPr>
              <w:t>60</w:t>
            </w:r>
          </w:p>
        </w:tc>
        <w:tc>
          <w:tcPr>
            <w:tcW w:w="568" w:type="pct"/>
            <w:tcBorders>
              <w:right w:val="single" w:sz="12" w:space="0" w:color="auto"/>
            </w:tcBorders>
            <w:shd w:val="clear" w:color="auto" w:fill="auto"/>
            <w:vAlign w:val="bottom"/>
          </w:tcPr>
          <w:p w14:paraId="37E6D0CE" w14:textId="77777777" w:rsidR="00335619" w:rsidRPr="0023367D" w:rsidRDefault="00335619" w:rsidP="00335619">
            <w:pPr>
              <w:jc w:val="right"/>
              <w:rPr>
                <w:color w:val="000000"/>
                <w:sz w:val="20"/>
                <w:szCs w:val="18"/>
              </w:rPr>
            </w:pPr>
            <w:r w:rsidRPr="0023367D">
              <w:rPr>
                <w:color w:val="000000"/>
                <w:sz w:val="20"/>
                <w:szCs w:val="18"/>
              </w:rPr>
              <w:t>71.5%</w:t>
            </w:r>
          </w:p>
        </w:tc>
        <w:tc>
          <w:tcPr>
            <w:tcW w:w="462" w:type="pct"/>
            <w:tcBorders>
              <w:left w:val="single" w:sz="12" w:space="0" w:color="auto"/>
            </w:tcBorders>
          </w:tcPr>
          <w:p w14:paraId="2CE548D4" w14:textId="77777777" w:rsidR="00335619" w:rsidRPr="0023367D" w:rsidRDefault="00335619" w:rsidP="00335619">
            <w:pPr>
              <w:jc w:val="right"/>
              <w:rPr>
                <w:color w:val="000000"/>
                <w:sz w:val="20"/>
                <w:szCs w:val="18"/>
              </w:rPr>
            </w:pPr>
            <w:r w:rsidRPr="0023367D">
              <w:rPr>
                <w:color w:val="000000"/>
                <w:sz w:val="20"/>
                <w:szCs w:val="19"/>
              </w:rPr>
              <w:t>455</w:t>
            </w:r>
          </w:p>
        </w:tc>
        <w:tc>
          <w:tcPr>
            <w:tcW w:w="565" w:type="pct"/>
            <w:vAlign w:val="bottom"/>
          </w:tcPr>
          <w:p w14:paraId="7327A642" w14:textId="77777777" w:rsidR="00335619" w:rsidRPr="0023367D" w:rsidRDefault="00335619" w:rsidP="00335619">
            <w:pPr>
              <w:jc w:val="right"/>
              <w:rPr>
                <w:color w:val="000000"/>
                <w:sz w:val="20"/>
                <w:szCs w:val="18"/>
              </w:rPr>
            </w:pPr>
            <w:r w:rsidRPr="0023367D">
              <w:rPr>
                <w:color w:val="000000"/>
                <w:sz w:val="20"/>
                <w:szCs w:val="19"/>
              </w:rPr>
              <w:t>80.5%</w:t>
            </w:r>
          </w:p>
        </w:tc>
        <w:tc>
          <w:tcPr>
            <w:tcW w:w="462" w:type="pct"/>
            <w:vAlign w:val="bottom"/>
          </w:tcPr>
          <w:p w14:paraId="5322297D" w14:textId="77777777" w:rsidR="00335619" w:rsidRPr="0023367D" w:rsidRDefault="00335619" w:rsidP="00335619">
            <w:pPr>
              <w:jc w:val="right"/>
              <w:rPr>
                <w:color w:val="000000"/>
                <w:sz w:val="20"/>
                <w:szCs w:val="18"/>
              </w:rPr>
            </w:pPr>
            <w:r w:rsidRPr="0023367D">
              <w:rPr>
                <w:color w:val="000000"/>
                <w:sz w:val="20"/>
                <w:szCs w:val="19"/>
              </w:rPr>
              <w:t>59</w:t>
            </w:r>
          </w:p>
        </w:tc>
        <w:tc>
          <w:tcPr>
            <w:tcW w:w="564" w:type="pct"/>
            <w:vAlign w:val="bottom"/>
          </w:tcPr>
          <w:p w14:paraId="609E6F75" w14:textId="77777777" w:rsidR="00335619" w:rsidRPr="0023367D" w:rsidRDefault="00335619" w:rsidP="00335619">
            <w:pPr>
              <w:jc w:val="right"/>
              <w:rPr>
                <w:color w:val="000000"/>
                <w:sz w:val="20"/>
                <w:szCs w:val="18"/>
              </w:rPr>
            </w:pPr>
            <w:r w:rsidRPr="0023367D">
              <w:rPr>
                <w:color w:val="000000"/>
                <w:sz w:val="20"/>
                <w:szCs w:val="19"/>
              </w:rPr>
              <w:t>76.0%</w:t>
            </w:r>
          </w:p>
        </w:tc>
      </w:tr>
      <w:tr w:rsidR="00335619" w:rsidRPr="0023367D" w14:paraId="592A83FA" w14:textId="77777777" w:rsidTr="00576741">
        <w:trPr>
          <w:trHeight w:val="216"/>
          <w:jc w:val="center"/>
        </w:trPr>
        <w:tc>
          <w:tcPr>
            <w:tcW w:w="912" w:type="pct"/>
            <w:tcBorders>
              <w:right w:val="single" w:sz="12" w:space="0" w:color="auto"/>
            </w:tcBorders>
            <w:shd w:val="clear" w:color="auto" w:fill="auto"/>
            <w:noWrap/>
            <w:vAlign w:val="center"/>
          </w:tcPr>
          <w:p w14:paraId="20A838DF"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1983</w:t>
            </w:r>
          </w:p>
        </w:tc>
        <w:tc>
          <w:tcPr>
            <w:tcW w:w="508" w:type="pct"/>
            <w:tcBorders>
              <w:left w:val="single" w:sz="12" w:space="0" w:color="auto"/>
            </w:tcBorders>
            <w:shd w:val="clear" w:color="auto" w:fill="auto"/>
            <w:noWrap/>
            <w:vAlign w:val="bottom"/>
          </w:tcPr>
          <w:p w14:paraId="709A81A6" w14:textId="77777777" w:rsidR="00335619" w:rsidRPr="0023367D" w:rsidRDefault="00335619" w:rsidP="00335619">
            <w:pPr>
              <w:jc w:val="right"/>
              <w:rPr>
                <w:color w:val="000000"/>
                <w:sz w:val="20"/>
                <w:szCs w:val="18"/>
              </w:rPr>
            </w:pPr>
            <w:r w:rsidRPr="0023367D">
              <w:rPr>
                <w:color w:val="000000"/>
                <w:sz w:val="20"/>
                <w:szCs w:val="18"/>
              </w:rPr>
              <w:t>475</w:t>
            </w:r>
          </w:p>
        </w:tc>
        <w:tc>
          <w:tcPr>
            <w:tcW w:w="549" w:type="pct"/>
            <w:vAlign w:val="bottom"/>
          </w:tcPr>
          <w:p w14:paraId="726CB7CF" w14:textId="77777777" w:rsidR="00335619" w:rsidRPr="0023367D" w:rsidRDefault="00335619" w:rsidP="00335619">
            <w:pPr>
              <w:jc w:val="right"/>
              <w:rPr>
                <w:color w:val="000000"/>
                <w:sz w:val="20"/>
                <w:szCs w:val="18"/>
              </w:rPr>
            </w:pPr>
            <w:r w:rsidRPr="0023367D">
              <w:rPr>
                <w:color w:val="000000"/>
                <w:sz w:val="20"/>
                <w:szCs w:val="18"/>
              </w:rPr>
              <w:t>73.9%</w:t>
            </w:r>
          </w:p>
        </w:tc>
        <w:tc>
          <w:tcPr>
            <w:tcW w:w="410" w:type="pct"/>
            <w:vAlign w:val="bottom"/>
          </w:tcPr>
          <w:p w14:paraId="4FD47FCD" w14:textId="77777777" w:rsidR="00335619" w:rsidRPr="0023367D" w:rsidRDefault="00335619" w:rsidP="00335619">
            <w:pPr>
              <w:jc w:val="right"/>
              <w:rPr>
                <w:color w:val="000000"/>
                <w:sz w:val="20"/>
                <w:szCs w:val="18"/>
              </w:rPr>
            </w:pPr>
            <w:r w:rsidRPr="0023367D">
              <w:rPr>
                <w:color w:val="000000"/>
                <w:sz w:val="20"/>
                <w:szCs w:val="18"/>
              </w:rPr>
              <w:t>98</w:t>
            </w:r>
          </w:p>
        </w:tc>
        <w:tc>
          <w:tcPr>
            <w:tcW w:w="568" w:type="pct"/>
            <w:tcBorders>
              <w:right w:val="single" w:sz="12" w:space="0" w:color="auto"/>
            </w:tcBorders>
            <w:shd w:val="clear" w:color="auto" w:fill="auto"/>
            <w:vAlign w:val="bottom"/>
          </w:tcPr>
          <w:p w14:paraId="2637C234" w14:textId="77777777" w:rsidR="00335619" w:rsidRPr="0023367D" w:rsidRDefault="00335619" w:rsidP="00335619">
            <w:pPr>
              <w:jc w:val="right"/>
              <w:rPr>
                <w:color w:val="000000"/>
                <w:sz w:val="20"/>
                <w:szCs w:val="18"/>
              </w:rPr>
            </w:pPr>
            <w:r w:rsidRPr="0023367D">
              <w:rPr>
                <w:color w:val="000000"/>
                <w:sz w:val="20"/>
                <w:szCs w:val="18"/>
              </w:rPr>
              <w:t>68.7%</w:t>
            </w:r>
          </w:p>
        </w:tc>
        <w:tc>
          <w:tcPr>
            <w:tcW w:w="462" w:type="pct"/>
            <w:tcBorders>
              <w:left w:val="single" w:sz="12" w:space="0" w:color="auto"/>
            </w:tcBorders>
          </w:tcPr>
          <w:p w14:paraId="4421F97E" w14:textId="77777777" w:rsidR="00335619" w:rsidRPr="0023367D" w:rsidRDefault="00335619" w:rsidP="00335619">
            <w:pPr>
              <w:jc w:val="right"/>
              <w:rPr>
                <w:color w:val="000000"/>
                <w:sz w:val="20"/>
                <w:szCs w:val="18"/>
              </w:rPr>
            </w:pPr>
            <w:r w:rsidRPr="0023367D">
              <w:rPr>
                <w:color w:val="000000"/>
                <w:sz w:val="20"/>
                <w:szCs w:val="19"/>
              </w:rPr>
              <w:t>487</w:t>
            </w:r>
          </w:p>
        </w:tc>
        <w:tc>
          <w:tcPr>
            <w:tcW w:w="565" w:type="pct"/>
            <w:vAlign w:val="bottom"/>
          </w:tcPr>
          <w:p w14:paraId="666D1DE1" w14:textId="77777777" w:rsidR="00335619" w:rsidRPr="0023367D" w:rsidRDefault="00335619" w:rsidP="00335619">
            <w:pPr>
              <w:jc w:val="right"/>
              <w:rPr>
                <w:color w:val="000000"/>
                <w:sz w:val="20"/>
                <w:szCs w:val="18"/>
              </w:rPr>
            </w:pPr>
            <w:r w:rsidRPr="0023367D">
              <w:rPr>
                <w:color w:val="000000"/>
                <w:sz w:val="20"/>
                <w:szCs w:val="19"/>
              </w:rPr>
              <w:t>78.0%</w:t>
            </w:r>
          </w:p>
        </w:tc>
        <w:tc>
          <w:tcPr>
            <w:tcW w:w="462" w:type="pct"/>
            <w:vAlign w:val="bottom"/>
          </w:tcPr>
          <w:p w14:paraId="0320290B" w14:textId="77777777" w:rsidR="00335619" w:rsidRPr="0023367D" w:rsidRDefault="00335619" w:rsidP="00335619">
            <w:pPr>
              <w:jc w:val="right"/>
              <w:rPr>
                <w:color w:val="000000"/>
                <w:sz w:val="20"/>
                <w:szCs w:val="18"/>
              </w:rPr>
            </w:pPr>
            <w:r w:rsidRPr="0023367D">
              <w:rPr>
                <w:color w:val="000000"/>
                <w:sz w:val="20"/>
                <w:szCs w:val="19"/>
              </w:rPr>
              <w:t>98</w:t>
            </w:r>
          </w:p>
        </w:tc>
        <w:tc>
          <w:tcPr>
            <w:tcW w:w="564" w:type="pct"/>
            <w:vAlign w:val="bottom"/>
          </w:tcPr>
          <w:p w14:paraId="03D3387B" w14:textId="77777777" w:rsidR="00335619" w:rsidRPr="0023367D" w:rsidRDefault="00335619" w:rsidP="00335619">
            <w:pPr>
              <w:jc w:val="right"/>
              <w:rPr>
                <w:color w:val="000000"/>
                <w:sz w:val="20"/>
                <w:szCs w:val="18"/>
              </w:rPr>
            </w:pPr>
            <w:r w:rsidRPr="0023367D">
              <w:rPr>
                <w:color w:val="000000"/>
                <w:sz w:val="20"/>
                <w:szCs w:val="19"/>
              </w:rPr>
              <w:t>75.7%</w:t>
            </w:r>
          </w:p>
        </w:tc>
      </w:tr>
      <w:tr w:rsidR="00335619" w:rsidRPr="0023367D" w14:paraId="4A9AC2AD" w14:textId="77777777" w:rsidTr="00576741">
        <w:trPr>
          <w:trHeight w:val="216"/>
          <w:jc w:val="center"/>
        </w:trPr>
        <w:tc>
          <w:tcPr>
            <w:tcW w:w="912" w:type="pct"/>
            <w:tcBorders>
              <w:right w:val="single" w:sz="12" w:space="0" w:color="auto"/>
            </w:tcBorders>
            <w:shd w:val="clear" w:color="auto" w:fill="auto"/>
            <w:noWrap/>
            <w:vAlign w:val="center"/>
          </w:tcPr>
          <w:p w14:paraId="4F15EE9E"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1984</w:t>
            </w:r>
          </w:p>
        </w:tc>
        <w:tc>
          <w:tcPr>
            <w:tcW w:w="508" w:type="pct"/>
            <w:tcBorders>
              <w:left w:val="single" w:sz="12" w:space="0" w:color="auto"/>
            </w:tcBorders>
            <w:shd w:val="clear" w:color="auto" w:fill="auto"/>
            <w:noWrap/>
            <w:vAlign w:val="bottom"/>
          </w:tcPr>
          <w:p w14:paraId="17700808" w14:textId="77777777" w:rsidR="00335619" w:rsidRPr="0023367D" w:rsidRDefault="00335619" w:rsidP="00335619">
            <w:pPr>
              <w:jc w:val="right"/>
              <w:rPr>
                <w:color w:val="000000"/>
                <w:sz w:val="20"/>
                <w:szCs w:val="18"/>
              </w:rPr>
            </w:pPr>
            <w:r w:rsidRPr="0023367D">
              <w:rPr>
                <w:color w:val="000000"/>
                <w:sz w:val="20"/>
                <w:szCs w:val="18"/>
              </w:rPr>
              <w:t>502</w:t>
            </w:r>
          </w:p>
        </w:tc>
        <w:tc>
          <w:tcPr>
            <w:tcW w:w="549" w:type="pct"/>
            <w:vAlign w:val="bottom"/>
          </w:tcPr>
          <w:p w14:paraId="3FF0CC36" w14:textId="77777777" w:rsidR="00335619" w:rsidRPr="0023367D" w:rsidRDefault="00335619" w:rsidP="00335619">
            <w:pPr>
              <w:jc w:val="right"/>
              <w:rPr>
                <w:color w:val="000000"/>
                <w:sz w:val="20"/>
                <w:szCs w:val="18"/>
              </w:rPr>
            </w:pPr>
            <w:r w:rsidRPr="0023367D">
              <w:rPr>
                <w:color w:val="000000"/>
                <w:sz w:val="20"/>
                <w:szCs w:val="18"/>
              </w:rPr>
              <w:t>72.6%</w:t>
            </w:r>
          </w:p>
        </w:tc>
        <w:tc>
          <w:tcPr>
            <w:tcW w:w="410" w:type="pct"/>
            <w:vAlign w:val="bottom"/>
          </w:tcPr>
          <w:p w14:paraId="13D6FB07" w14:textId="77777777" w:rsidR="00335619" w:rsidRPr="0023367D" w:rsidRDefault="00335619" w:rsidP="00335619">
            <w:pPr>
              <w:jc w:val="right"/>
              <w:rPr>
                <w:color w:val="000000"/>
                <w:sz w:val="20"/>
                <w:szCs w:val="18"/>
              </w:rPr>
            </w:pPr>
            <w:r w:rsidRPr="0023367D">
              <w:rPr>
                <w:color w:val="000000"/>
                <w:sz w:val="20"/>
                <w:szCs w:val="18"/>
              </w:rPr>
              <w:t>127</w:t>
            </w:r>
          </w:p>
        </w:tc>
        <w:tc>
          <w:tcPr>
            <w:tcW w:w="568" w:type="pct"/>
            <w:tcBorders>
              <w:right w:val="single" w:sz="12" w:space="0" w:color="auto"/>
            </w:tcBorders>
            <w:shd w:val="clear" w:color="auto" w:fill="auto"/>
            <w:vAlign w:val="bottom"/>
          </w:tcPr>
          <w:p w14:paraId="3968F2FE" w14:textId="77777777" w:rsidR="00335619" w:rsidRPr="0023367D" w:rsidRDefault="00335619" w:rsidP="00335619">
            <w:pPr>
              <w:jc w:val="right"/>
              <w:rPr>
                <w:color w:val="000000"/>
                <w:sz w:val="20"/>
                <w:szCs w:val="18"/>
              </w:rPr>
            </w:pPr>
            <w:r w:rsidRPr="0023367D">
              <w:rPr>
                <w:color w:val="000000"/>
                <w:sz w:val="20"/>
                <w:szCs w:val="18"/>
              </w:rPr>
              <w:t>65.4%</w:t>
            </w:r>
          </w:p>
        </w:tc>
        <w:tc>
          <w:tcPr>
            <w:tcW w:w="462" w:type="pct"/>
            <w:tcBorders>
              <w:left w:val="single" w:sz="12" w:space="0" w:color="auto"/>
            </w:tcBorders>
          </w:tcPr>
          <w:p w14:paraId="0A3EBDA3" w14:textId="77777777" w:rsidR="00335619" w:rsidRPr="0023367D" w:rsidRDefault="00335619" w:rsidP="00335619">
            <w:pPr>
              <w:jc w:val="right"/>
              <w:rPr>
                <w:color w:val="000000"/>
                <w:sz w:val="20"/>
                <w:szCs w:val="18"/>
              </w:rPr>
            </w:pPr>
            <w:r w:rsidRPr="0023367D">
              <w:rPr>
                <w:color w:val="000000"/>
                <w:sz w:val="20"/>
                <w:szCs w:val="19"/>
              </w:rPr>
              <w:t>507</w:t>
            </w:r>
          </w:p>
        </w:tc>
        <w:tc>
          <w:tcPr>
            <w:tcW w:w="565" w:type="pct"/>
            <w:vAlign w:val="bottom"/>
          </w:tcPr>
          <w:p w14:paraId="23FDD502" w14:textId="77777777" w:rsidR="00335619" w:rsidRPr="0023367D" w:rsidRDefault="00335619" w:rsidP="00335619">
            <w:pPr>
              <w:jc w:val="right"/>
              <w:rPr>
                <w:color w:val="000000"/>
                <w:sz w:val="20"/>
                <w:szCs w:val="18"/>
              </w:rPr>
            </w:pPr>
            <w:r w:rsidRPr="0023367D">
              <w:rPr>
                <w:color w:val="000000"/>
                <w:sz w:val="20"/>
                <w:szCs w:val="19"/>
              </w:rPr>
              <w:t>74.2%</w:t>
            </w:r>
          </w:p>
        </w:tc>
        <w:tc>
          <w:tcPr>
            <w:tcW w:w="462" w:type="pct"/>
            <w:vAlign w:val="bottom"/>
          </w:tcPr>
          <w:p w14:paraId="5BE16971" w14:textId="77777777" w:rsidR="00335619" w:rsidRPr="0023367D" w:rsidRDefault="00335619" w:rsidP="00335619">
            <w:pPr>
              <w:jc w:val="right"/>
              <w:rPr>
                <w:color w:val="000000"/>
                <w:sz w:val="20"/>
                <w:szCs w:val="18"/>
              </w:rPr>
            </w:pPr>
            <w:r w:rsidRPr="0023367D">
              <w:rPr>
                <w:color w:val="000000"/>
                <w:sz w:val="20"/>
                <w:szCs w:val="19"/>
              </w:rPr>
              <w:t>126</w:t>
            </w:r>
          </w:p>
        </w:tc>
        <w:tc>
          <w:tcPr>
            <w:tcW w:w="564" w:type="pct"/>
            <w:vAlign w:val="bottom"/>
          </w:tcPr>
          <w:p w14:paraId="71970B55" w14:textId="77777777" w:rsidR="00335619" w:rsidRPr="0023367D" w:rsidRDefault="00335619" w:rsidP="00335619">
            <w:pPr>
              <w:jc w:val="right"/>
              <w:rPr>
                <w:color w:val="000000"/>
                <w:sz w:val="20"/>
                <w:szCs w:val="18"/>
              </w:rPr>
            </w:pPr>
            <w:r w:rsidRPr="0023367D">
              <w:rPr>
                <w:color w:val="000000"/>
                <w:sz w:val="20"/>
                <w:szCs w:val="19"/>
              </w:rPr>
              <w:t>66.8%</w:t>
            </w:r>
          </w:p>
        </w:tc>
      </w:tr>
      <w:tr w:rsidR="00335619" w:rsidRPr="0023367D" w14:paraId="239CC378" w14:textId="77777777" w:rsidTr="00576741">
        <w:trPr>
          <w:trHeight w:val="216"/>
          <w:jc w:val="center"/>
        </w:trPr>
        <w:tc>
          <w:tcPr>
            <w:tcW w:w="912" w:type="pct"/>
            <w:tcBorders>
              <w:right w:val="single" w:sz="12" w:space="0" w:color="auto"/>
            </w:tcBorders>
            <w:shd w:val="clear" w:color="auto" w:fill="auto"/>
            <w:noWrap/>
            <w:vAlign w:val="center"/>
          </w:tcPr>
          <w:p w14:paraId="2E2B37FF"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1985</w:t>
            </w:r>
          </w:p>
        </w:tc>
        <w:tc>
          <w:tcPr>
            <w:tcW w:w="508" w:type="pct"/>
            <w:tcBorders>
              <w:left w:val="single" w:sz="12" w:space="0" w:color="auto"/>
            </w:tcBorders>
            <w:shd w:val="clear" w:color="auto" w:fill="auto"/>
            <w:noWrap/>
            <w:vAlign w:val="bottom"/>
          </w:tcPr>
          <w:p w14:paraId="4B10009C" w14:textId="77777777" w:rsidR="00335619" w:rsidRPr="0023367D" w:rsidRDefault="00335619" w:rsidP="00335619">
            <w:pPr>
              <w:jc w:val="right"/>
              <w:rPr>
                <w:color w:val="000000"/>
                <w:sz w:val="20"/>
                <w:szCs w:val="18"/>
              </w:rPr>
            </w:pPr>
            <w:r w:rsidRPr="0023367D">
              <w:rPr>
                <w:color w:val="000000"/>
                <w:sz w:val="20"/>
                <w:szCs w:val="18"/>
              </w:rPr>
              <w:t>471</w:t>
            </w:r>
          </w:p>
        </w:tc>
        <w:tc>
          <w:tcPr>
            <w:tcW w:w="549" w:type="pct"/>
            <w:vAlign w:val="bottom"/>
          </w:tcPr>
          <w:p w14:paraId="3FF44BBF" w14:textId="77777777" w:rsidR="00335619" w:rsidRPr="0023367D" w:rsidRDefault="00335619" w:rsidP="00335619">
            <w:pPr>
              <w:jc w:val="right"/>
              <w:rPr>
                <w:color w:val="000000"/>
                <w:sz w:val="20"/>
                <w:szCs w:val="18"/>
              </w:rPr>
            </w:pPr>
            <w:r w:rsidRPr="0023367D">
              <w:rPr>
                <w:color w:val="000000"/>
                <w:sz w:val="20"/>
                <w:szCs w:val="18"/>
              </w:rPr>
              <w:t>64.4%</w:t>
            </w:r>
          </w:p>
        </w:tc>
        <w:tc>
          <w:tcPr>
            <w:tcW w:w="410" w:type="pct"/>
            <w:vAlign w:val="bottom"/>
          </w:tcPr>
          <w:p w14:paraId="1A0AA785" w14:textId="77777777" w:rsidR="00335619" w:rsidRPr="0023367D" w:rsidRDefault="00335619" w:rsidP="00335619">
            <w:pPr>
              <w:jc w:val="right"/>
              <w:rPr>
                <w:color w:val="000000"/>
                <w:sz w:val="20"/>
                <w:szCs w:val="18"/>
              </w:rPr>
            </w:pPr>
            <w:r w:rsidRPr="0023367D">
              <w:rPr>
                <w:color w:val="000000"/>
                <w:sz w:val="20"/>
                <w:szCs w:val="18"/>
              </w:rPr>
              <w:t>133</w:t>
            </w:r>
          </w:p>
        </w:tc>
        <w:tc>
          <w:tcPr>
            <w:tcW w:w="568" w:type="pct"/>
            <w:tcBorders>
              <w:right w:val="single" w:sz="12" w:space="0" w:color="auto"/>
            </w:tcBorders>
            <w:shd w:val="clear" w:color="auto" w:fill="auto"/>
            <w:vAlign w:val="bottom"/>
          </w:tcPr>
          <w:p w14:paraId="25C95795" w14:textId="77777777" w:rsidR="00335619" w:rsidRPr="0023367D" w:rsidRDefault="00335619" w:rsidP="00335619">
            <w:pPr>
              <w:jc w:val="right"/>
              <w:rPr>
                <w:color w:val="000000"/>
                <w:sz w:val="20"/>
                <w:szCs w:val="18"/>
              </w:rPr>
            </w:pPr>
            <w:r w:rsidRPr="0023367D">
              <w:rPr>
                <w:color w:val="000000"/>
                <w:sz w:val="20"/>
                <w:szCs w:val="18"/>
              </w:rPr>
              <w:t>66.1%</w:t>
            </w:r>
          </w:p>
        </w:tc>
        <w:tc>
          <w:tcPr>
            <w:tcW w:w="462" w:type="pct"/>
            <w:tcBorders>
              <w:left w:val="single" w:sz="12" w:space="0" w:color="auto"/>
            </w:tcBorders>
          </w:tcPr>
          <w:p w14:paraId="3831C6CC" w14:textId="77777777" w:rsidR="00335619" w:rsidRPr="0023367D" w:rsidRDefault="00335619" w:rsidP="00335619">
            <w:pPr>
              <w:jc w:val="right"/>
              <w:rPr>
                <w:color w:val="000000"/>
                <w:sz w:val="20"/>
                <w:szCs w:val="18"/>
              </w:rPr>
            </w:pPr>
            <w:r w:rsidRPr="0023367D">
              <w:rPr>
                <w:color w:val="000000"/>
                <w:sz w:val="20"/>
                <w:szCs w:val="19"/>
              </w:rPr>
              <w:t>480</w:t>
            </w:r>
          </w:p>
        </w:tc>
        <w:tc>
          <w:tcPr>
            <w:tcW w:w="565" w:type="pct"/>
            <w:vAlign w:val="bottom"/>
          </w:tcPr>
          <w:p w14:paraId="68A44784" w14:textId="77777777" w:rsidR="00335619" w:rsidRPr="0023367D" w:rsidRDefault="00335619" w:rsidP="00335619">
            <w:pPr>
              <w:jc w:val="right"/>
              <w:rPr>
                <w:color w:val="000000"/>
                <w:sz w:val="20"/>
                <w:szCs w:val="18"/>
              </w:rPr>
            </w:pPr>
            <w:r w:rsidRPr="0023367D">
              <w:rPr>
                <w:color w:val="000000"/>
                <w:sz w:val="20"/>
                <w:szCs w:val="19"/>
              </w:rPr>
              <w:t>66.0%</w:t>
            </w:r>
          </w:p>
        </w:tc>
        <w:tc>
          <w:tcPr>
            <w:tcW w:w="462" w:type="pct"/>
            <w:vAlign w:val="bottom"/>
          </w:tcPr>
          <w:p w14:paraId="015870C4" w14:textId="77777777" w:rsidR="00335619" w:rsidRPr="0023367D" w:rsidRDefault="00335619" w:rsidP="00335619">
            <w:pPr>
              <w:jc w:val="right"/>
              <w:rPr>
                <w:color w:val="000000"/>
                <w:sz w:val="20"/>
                <w:szCs w:val="18"/>
              </w:rPr>
            </w:pPr>
            <w:r w:rsidRPr="0023367D">
              <w:rPr>
                <w:color w:val="000000"/>
                <w:sz w:val="20"/>
                <w:szCs w:val="19"/>
              </w:rPr>
              <w:t>133</w:t>
            </w:r>
          </w:p>
        </w:tc>
        <w:tc>
          <w:tcPr>
            <w:tcW w:w="564" w:type="pct"/>
            <w:vAlign w:val="bottom"/>
          </w:tcPr>
          <w:p w14:paraId="38EAD290" w14:textId="77777777" w:rsidR="00335619" w:rsidRPr="0023367D" w:rsidRDefault="00335619" w:rsidP="00335619">
            <w:pPr>
              <w:jc w:val="right"/>
              <w:rPr>
                <w:color w:val="000000"/>
                <w:sz w:val="20"/>
                <w:szCs w:val="18"/>
              </w:rPr>
            </w:pPr>
            <w:r w:rsidRPr="0023367D">
              <w:rPr>
                <w:color w:val="000000"/>
                <w:sz w:val="20"/>
                <w:szCs w:val="19"/>
              </w:rPr>
              <w:t>72.3%</w:t>
            </w:r>
          </w:p>
        </w:tc>
      </w:tr>
      <w:tr w:rsidR="00335619" w:rsidRPr="0023367D" w14:paraId="48ECCF67" w14:textId="77777777" w:rsidTr="00576741">
        <w:trPr>
          <w:trHeight w:val="216"/>
          <w:jc w:val="center"/>
        </w:trPr>
        <w:tc>
          <w:tcPr>
            <w:tcW w:w="912" w:type="pct"/>
            <w:tcBorders>
              <w:right w:val="single" w:sz="12" w:space="0" w:color="auto"/>
            </w:tcBorders>
            <w:shd w:val="clear" w:color="auto" w:fill="auto"/>
            <w:noWrap/>
            <w:vAlign w:val="center"/>
          </w:tcPr>
          <w:p w14:paraId="500399C6"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1986</w:t>
            </w:r>
          </w:p>
        </w:tc>
        <w:tc>
          <w:tcPr>
            <w:tcW w:w="508" w:type="pct"/>
            <w:tcBorders>
              <w:left w:val="single" w:sz="12" w:space="0" w:color="auto"/>
            </w:tcBorders>
            <w:shd w:val="clear" w:color="auto" w:fill="auto"/>
            <w:noWrap/>
            <w:vAlign w:val="bottom"/>
          </w:tcPr>
          <w:p w14:paraId="352F3033" w14:textId="77777777" w:rsidR="00335619" w:rsidRPr="0023367D" w:rsidRDefault="00335619" w:rsidP="00335619">
            <w:pPr>
              <w:jc w:val="right"/>
              <w:rPr>
                <w:color w:val="000000"/>
                <w:sz w:val="20"/>
                <w:szCs w:val="18"/>
              </w:rPr>
            </w:pPr>
            <w:r w:rsidRPr="0023367D">
              <w:rPr>
                <w:color w:val="000000"/>
                <w:sz w:val="20"/>
                <w:szCs w:val="18"/>
              </w:rPr>
              <w:t>464</w:t>
            </w:r>
          </w:p>
        </w:tc>
        <w:tc>
          <w:tcPr>
            <w:tcW w:w="549" w:type="pct"/>
            <w:vAlign w:val="bottom"/>
          </w:tcPr>
          <w:p w14:paraId="6E58E440" w14:textId="77777777" w:rsidR="00335619" w:rsidRPr="0023367D" w:rsidRDefault="00335619" w:rsidP="00335619">
            <w:pPr>
              <w:jc w:val="right"/>
              <w:rPr>
                <w:color w:val="000000"/>
                <w:sz w:val="20"/>
                <w:szCs w:val="18"/>
              </w:rPr>
            </w:pPr>
            <w:r w:rsidRPr="0023367D">
              <w:rPr>
                <w:color w:val="000000"/>
                <w:sz w:val="20"/>
                <w:szCs w:val="18"/>
              </w:rPr>
              <w:t>60.2%</w:t>
            </w:r>
          </w:p>
        </w:tc>
        <w:tc>
          <w:tcPr>
            <w:tcW w:w="410" w:type="pct"/>
            <w:vAlign w:val="bottom"/>
          </w:tcPr>
          <w:p w14:paraId="63394F47" w14:textId="77777777" w:rsidR="00335619" w:rsidRPr="0023367D" w:rsidRDefault="00335619" w:rsidP="00335619">
            <w:pPr>
              <w:jc w:val="right"/>
              <w:rPr>
                <w:color w:val="000000"/>
                <w:sz w:val="20"/>
                <w:szCs w:val="18"/>
              </w:rPr>
            </w:pPr>
            <w:r w:rsidRPr="0023367D">
              <w:rPr>
                <w:color w:val="000000"/>
                <w:sz w:val="20"/>
                <w:szCs w:val="18"/>
              </w:rPr>
              <w:t>147</w:t>
            </w:r>
          </w:p>
        </w:tc>
        <w:tc>
          <w:tcPr>
            <w:tcW w:w="568" w:type="pct"/>
            <w:tcBorders>
              <w:right w:val="single" w:sz="12" w:space="0" w:color="auto"/>
            </w:tcBorders>
            <w:shd w:val="clear" w:color="auto" w:fill="auto"/>
            <w:vAlign w:val="bottom"/>
          </w:tcPr>
          <w:p w14:paraId="28A34384" w14:textId="77777777" w:rsidR="00335619" w:rsidRPr="0023367D" w:rsidRDefault="00335619" w:rsidP="00335619">
            <w:pPr>
              <w:jc w:val="right"/>
              <w:rPr>
                <w:color w:val="000000"/>
                <w:sz w:val="20"/>
                <w:szCs w:val="18"/>
              </w:rPr>
            </w:pPr>
            <w:r w:rsidRPr="0023367D">
              <w:rPr>
                <w:color w:val="000000"/>
                <w:sz w:val="20"/>
                <w:szCs w:val="18"/>
              </w:rPr>
              <w:t>59.1%</w:t>
            </w:r>
          </w:p>
        </w:tc>
        <w:tc>
          <w:tcPr>
            <w:tcW w:w="462" w:type="pct"/>
            <w:tcBorders>
              <w:left w:val="single" w:sz="12" w:space="0" w:color="auto"/>
            </w:tcBorders>
          </w:tcPr>
          <w:p w14:paraId="1A61E7F0" w14:textId="77777777" w:rsidR="00335619" w:rsidRPr="0023367D" w:rsidRDefault="00335619" w:rsidP="00335619">
            <w:pPr>
              <w:jc w:val="right"/>
              <w:rPr>
                <w:color w:val="000000"/>
                <w:sz w:val="20"/>
                <w:szCs w:val="18"/>
              </w:rPr>
            </w:pPr>
            <w:r w:rsidRPr="0023367D">
              <w:rPr>
                <w:color w:val="000000"/>
                <w:sz w:val="20"/>
                <w:szCs w:val="19"/>
              </w:rPr>
              <w:t>471</w:t>
            </w:r>
          </w:p>
        </w:tc>
        <w:tc>
          <w:tcPr>
            <w:tcW w:w="565" w:type="pct"/>
            <w:vAlign w:val="bottom"/>
          </w:tcPr>
          <w:p w14:paraId="390B9284" w14:textId="77777777" w:rsidR="00335619" w:rsidRPr="0023367D" w:rsidRDefault="00335619" w:rsidP="00335619">
            <w:pPr>
              <w:jc w:val="right"/>
              <w:rPr>
                <w:color w:val="000000"/>
                <w:sz w:val="20"/>
                <w:szCs w:val="18"/>
              </w:rPr>
            </w:pPr>
            <w:r w:rsidRPr="0023367D">
              <w:rPr>
                <w:color w:val="000000"/>
                <w:sz w:val="20"/>
                <w:szCs w:val="19"/>
              </w:rPr>
              <w:t>58.7%</w:t>
            </w:r>
          </w:p>
        </w:tc>
        <w:tc>
          <w:tcPr>
            <w:tcW w:w="462" w:type="pct"/>
            <w:vAlign w:val="bottom"/>
          </w:tcPr>
          <w:p w14:paraId="0C00B1DD" w14:textId="77777777" w:rsidR="00335619" w:rsidRPr="0023367D" w:rsidRDefault="00335619" w:rsidP="00335619">
            <w:pPr>
              <w:jc w:val="right"/>
              <w:rPr>
                <w:color w:val="000000"/>
                <w:sz w:val="20"/>
                <w:szCs w:val="18"/>
              </w:rPr>
            </w:pPr>
            <w:r w:rsidRPr="0023367D">
              <w:rPr>
                <w:color w:val="000000"/>
                <w:sz w:val="20"/>
                <w:szCs w:val="19"/>
              </w:rPr>
              <w:t>145</w:t>
            </w:r>
          </w:p>
        </w:tc>
        <w:tc>
          <w:tcPr>
            <w:tcW w:w="564" w:type="pct"/>
            <w:vAlign w:val="bottom"/>
          </w:tcPr>
          <w:p w14:paraId="11B431F2" w14:textId="77777777" w:rsidR="00335619" w:rsidRPr="0023367D" w:rsidRDefault="00335619" w:rsidP="00335619">
            <w:pPr>
              <w:jc w:val="right"/>
              <w:rPr>
                <w:color w:val="000000"/>
                <w:sz w:val="20"/>
                <w:szCs w:val="18"/>
              </w:rPr>
            </w:pPr>
            <w:r w:rsidRPr="0023367D">
              <w:rPr>
                <w:color w:val="000000"/>
                <w:sz w:val="20"/>
                <w:szCs w:val="19"/>
              </w:rPr>
              <w:t>65.1%</w:t>
            </w:r>
          </w:p>
        </w:tc>
      </w:tr>
      <w:tr w:rsidR="00335619" w:rsidRPr="0023367D" w14:paraId="1E06DFD5" w14:textId="77777777" w:rsidTr="00576741">
        <w:trPr>
          <w:trHeight w:val="216"/>
          <w:jc w:val="center"/>
        </w:trPr>
        <w:tc>
          <w:tcPr>
            <w:tcW w:w="912" w:type="pct"/>
            <w:tcBorders>
              <w:right w:val="single" w:sz="12" w:space="0" w:color="auto"/>
            </w:tcBorders>
            <w:shd w:val="clear" w:color="auto" w:fill="auto"/>
            <w:noWrap/>
            <w:vAlign w:val="center"/>
          </w:tcPr>
          <w:p w14:paraId="3FDD8EFD"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1987</w:t>
            </w:r>
          </w:p>
        </w:tc>
        <w:tc>
          <w:tcPr>
            <w:tcW w:w="508" w:type="pct"/>
            <w:tcBorders>
              <w:left w:val="single" w:sz="12" w:space="0" w:color="auto"/>
            </w:tcBorders>
            <w:shd w:val="clear" w:color="auto" w:fill="auto"/>
            <w:noWrap/>
            <w:vAlign w:val="bottom"/>
          </w:tcPr>
          <w:p w14:paraId="31C36151" w14:textId="77777777" w:rsidR="00335619" w:rsidRPr="0023367D" w:rsidRDefault="00335619" w:rsidP="00335619">
            <w:pPr>
              <w:jc w:val="right"/>
              <w:rPr>
                <w:color w:val="000000"/>
                <w:sz w:val="20"/>
                <w:szCs w:val="18"/>
              </w:rPr>
            </w:pPr>
            <w:r w:rsidRPr="0023367D">
              <w:rPr>
                <w:color w:val="000000"/>
                <w:sz w:val="20"/>
                <w:szCs w:val="18"/>
              </w:rPr>
              <w:t>481</w:t>
            </w:r>
          </w:p>
        </w:tc>
        <w:tc>
          <w:tcPr>
            <w:tcW w:w="549" w:type="pct"/>
            <w:vAlign w:val="bottom"/>
          </w:tcPr>
          <w:p w14:paraId="2F793F5C" w14:textId="77777777" w:rsidR="00335619" w:rsidRPr="0023367D" w:rsidRDefault="00335619" w:rsidP="00335619">
            <w:pPr>
              <w:jc w:val="right"/>
              <w:rPr>
                <w:color w:val="000000"/>
                <w:sz w:val="20"/>
                <w:szCs w:val="18"/>
              </w:rPr>
            </w:pPr>
            <w:r w:rsidRPr="0023367D">
              <w:rPr>
                <w:color w:val="000000"/>
                <w:sz w:val="20"/>
                <w:szCs w:val="18"/>
              </w:rPr>
              <w:t>56.4%</w:t>
            </w:r>
          </w:p>
        </w:tc>
        <w:tc>
          <w:tcPr>
            <w:tcW w:w="410" w:type="pct"/>
            <w:vAlign w:val="bottom"/>
          </w:tcPr>
          <w:p w14:paraId="59808B94" w14:textId="77777777" w:rsidR="00335619" w:rsidRPr="0023367D" w:rsidRDefault="00335619" w:rsidP="00335619">
            <w:pPr>
              <w:jc w:val="right"/>
              <w:rPr>
                <w:color w:val="000000"/>
                <w:sz w:val="20"/>
                <w:szCs w:val="18"/>
              </w:rPr>
            </w:pPr>
            <w:r w:rsidRPr="0023367D">
              <w:rPr>
                <w:color w:val="000000"/>
                <w:sz w:val="20"/>
                <w:szCs w:val="18"/>
              </w:rPr>
              <w:t>163</w:t>
            </w:r>
          </w:p>
        </w:tc>
        <w:tc>
          <w:tcPr>
            <w:tcW w:w="568" w:type="pct"/>
            <w:tcBorders>
              <w:right w:val="single" w:sz="12" w:space="0" w:color="auto"/>
            </w:tcBorders>
            <w:shd w:val="clear" w:color="auto" w:fill="auto"/>
            <w:vAlign w:val="bottom"/>
          </w:tcPr>
          <w:p w14:paraId="3377A0D5" w14:textId="77777777" w:rsidR="00335619" w:rsidRPr="0023367D" w:rsidRDefault="00335619" w:rsidP="00335619">
            <w:pPr>
              <w:jc w:val="right"/>
              <w:rPr>
                <w:color w:val="000000"/>
                <w:sz w:val="20"/>
                <w:szCs w:val="18"/>
              </w:rPr>
            </w:pPr>
            <w:r w:rsidRPr="0023367D">
              <w:rPr>
                <w:color w:val="000000"/>
                <w:sz w:val="20"/>
                <w:szCs w:val="18"/>
              </w:rPr>
              <w:t>65.5%</w:t>
            </w:r>
          </w:p>
        </w:tc>
        <w:tc>
          <w:tcPr>
            <w:tcW w:w="462" w:type="pct"/>
            <w:tcBorders>
              <w:left w:val="single" w:sz="12" w:space="0" w:color="auto"/>
            </w:tcBorders>
          </w:tcPr>
          <w:p w14:paraId="0F61CCB8" w14:textId="77777777" w:rsidR="00335619" w:rsidRPr="0023367D" w:rsidRDefault="00335619" w:rsidP="00335619">
            <w:pPr>
              <w:jc w:val="right"/>
              <w:rPr>
                <w:color w:val="000000"/>
                <w:sz w:val="20"/>
                <w:szCs w:val="18"/>
              </w:rPr>
            </w:pPr>
            <w:r w:rsidRPr="0023367D">
              <w:rPr>
                <w:color w:val="000000"/>
                <w:sz w:val="20"/>
                <w:szCs w:val="19"/>
              </w:rPr>
              <w:t>463</w:t>
            </w:r>
          </w:p>
        </w:tc>
        <w:tc>
          <w:tcPr>
            <w:tcW w:w="565" w:type="pct"/>
            <w:vAlign w:val="bottom"/>
          </w:tcPr>
          <w:p w14:paraId="35F7714E" w14:textId="77777777" w:rsidR="00335619" w:rsidRPr="0023367D" w:rsidRDefault="00335619" w:rsidP="00335619">
            <w:pPr>
              <w:jc w:val="right"/>
              <w:rPr>
                <w:color w:val="000000"/>
                <w:sz w:val="20"/>
                <w:szCs w:val="18"/>
              </w:rPr>
            </w:pPr>
            <w:r w:rsidRPr="0023367D">
              <w:rPr>
                <w:color w:val="000000"/>
                <w:sz w:val="20"/>
                <w:szCs w:val="19"/>
              </w:rPr>
              <w:t>55.0%</w:t>
            </w:r>
          </w:p>
        </w:tc>
        <w:tc>
          <w:tcPr>
            <w:tcW w:w="462" w:type="pct"/>
            <w:vAlign w:val="bottom"/>
          </w:tcPr>
          <w:p w14:paraId="70C29B98" w14:textId="77777777" w:rsidR="00335619" w:rsidRPr="0023367D" w:rsidRDefault="00335619" w:rsidP="00335619">
            <w:pPr>
              <w:jc w:val="right"/>
              <w:rPr>
                <w:color w:val="000000"/>
                <w:sz w:val="20"/>
                <w:szCs w:val="18"/>
              </w:rPr>
            </w:pPr>
            <w:r w:rsidRPr="0023367D">
              <w:rPr>
                <w:color w:val="000000"/>
                <w:sz w:val="20"/>
                <w:szCs w:val="19"/>
              </w:rPr>
              <w:t>160</w:t>
            </w:r>
          </w:p>
        </w:tc>
        <w:tc>
          <w:tcPr>
            <w:tcW w:w="564" w:type="pct"/>
            <w:vAlign w:val="bottom"/>
          </w:tcPr>
          <w:p w14:paraId="74D80363" w14:textId="77777777" w:rsidR="00335619" w:rsidRPr="0023367D" w:rsidRDefault="00335619" w:rsidP="00335619">
            <w:pPr>
              <w:jc w:val="right"/>
              <w:rPr>
                <w:color w:val="000000"/>
                <w:sz w:val="20"/>
                <w:szCs w:val="18"/>
              </w:rPr>
            </w:pPr>
            <w:r w:rsidRPr="0023367D">
              <w:rPr>
                <w:color w:val="000000"/>
                <w:sz w:val="20"/>
                <w:szCs w:val="19"/>
              </w:rPr>
              <w:t>68.5%</w:t>
            </w:r>
          </w:p>
        </w:tc>
      </w:tr>
      <w:tr w:rsidR="00335619" w:rsidRPr="0023367D" w14:paraId="4216D1AB" w14:textId="77777777" w:rsidTr="00576741">
        <w:trPr>
          <w:trHeight w:val="216"/>
          <w:jc w:val="center"/>
        </w:trPr>
        <w:tc>
          <w:tcPr>
            <w:tcW w:w="912" w:type="pct"/>
            <w:tcBorders>
              <w:right w:val="single" w:sz="12" w:space="0" w:color="auto"/>
            </w:tcBorders>
            <w:shd w:val="clear" w:color="auto" w:fill="auto"/>
            <w:noWrap/>
            <w:vAlign w:val="center"/>
          </w:tcPr>
          <w:p w14:paraId="08C5B364"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1988</w:t>
            </w:r>
          </w:p>
        </w:tc>
        <w:tc>
          <w:tcPr>
            <w:tcW w:w="508" w:type="pct"/>
            <w:tcBorders>
              <w:left w:val="single" w:sz="12" w:space="0" w:color="auto"/>
            </w:tcBorders>
            <w:shd w:val="clear" w:color="auto" w:fill="auto"/>
            <w:noWrap/>
            <w:vAlign w:val="bottom"/>
          </w:tcPr>
          <w:p w14:paraId="237FC1F8" w14:textId="77777777" w:rsidR="00335619" w:rsidRPr="0023367D" w:rsidRDefault="00335619" w:rsidP="00335619">
            <w:pPr>
              <w:jc w:val="right"/>
              <w:rPr>
                <w:color w:val="000000"/>
                <w:sz w:val="20"/>
                <w:szCs w:val="18"/>
              </w:rPr>
            </w:pPr>
            <w:r w:rsidRPr="0023367D">
              <w:rPr>
                <w:color w:val="000000"/>
                <w:sz w:val="20"/>
                <w:szCs w:val="18"/>
              </w:rPr>
              <w:t>479</w:t>
            </w:r>
          </w:p>
        </w:tc>
        <w:tc>
          <w:tcPr>
            <w:tcW w:w="549" w:type="pct"/>
            <w:vAlign w:val="bottom"/>
          </w:tcPr>
          <w:p w14:paraId="77411B3C" w14:textId="77777777" w:rsidR="00335619" w:rsidRPr="0023367D" w:rsidRDefault="00335619" w:rsidP="00335619">
            <w:pPr>
              <w:jc w:val="right"/>
              <w:rPr>
                <w:color w:val="000000"/>
                <w:sz w:val="20"/>
                <w:szCs w:val="18"/>
              </w:rPr>
            </w:pPr>
            <w:r w:rsidRPr="0023367D">
              <w:rPr>
                <w:color w:val="000000"/>
                <w:sz w:val="20"/>
                <w:szCs w:val="18"/>
              </w:rPr>
              <w:t>54.9%</w:t>
            </w:r>
          </w:p>
        </w:tc>
        <w:tc>
          <w:tcPr>
            <w:tcW w:w="410" w:type="pct"/>
            <w:vAlign w:val="bottom"/>
          </w:tcPr>
          <w:p w14:paraId="17BECC54" w14:textId="77777777" w:rsidR="00335619" w:rsidRPr="0023367D" w:rsidRDefault="00335619" w:rsidP="00335619">
            <w:pPr>
              <w:jc w:val="right"/>
              <w:rPr>
                <w:color w:val="000000"/>
                <w:sz w:val="20"/>
                <w:szCs w:val="18"/>
              </w:rPr>
            </w:pPr>
            <w:r w:rsidRPr="0023367D">
              <w:rPr>
                <w:color w:val="000000"/>
                <w:sz w:val="20"/>
                <w:szCs w:val="18"/>
              </w:rPr>
              <w:t>178</w:t>
            </w:r>
          </w:p>
        </w:tc>
        <w:tc>
          <w:tcPr>
            <w:tcW w:w="568" w:type="pct"/>
            <w:tcBorders>
              <w:right w:val="single" w:sz="12" w:space="0" w:color="auto"/>
            </w:tcBorders>
            <w:shd w:val="clear" w:color="auto" w:fill="auto"/>
            <w:vAlign w:val="bottom"/>
          </w:tcPr>
          <w:p w14:paraId="0DB16BFD" w14:textId="77777777" w:rsidR="00335619" w:rsidRPr="0023367D" w:rsidRDefault="00335619" w:rsidP="00335619">
            <w:pPr>
              <w:jc w:val="right"/>
              <w:rPr>
                <w:color w:val="000000"/>
                <w:sz w:val="20"/>
                <w:szCs w:val="18"/>
              </w:rPr>
            </w:pPr>
            <w:r w:rsidRPr="0023367D">
              <w:rPr>
                <w:color w:val="000000"/>
                <w:sz w:val="20"/>
                <w:szCs w:val="18"/>
              </w:rPr>
              <w:t>60.4%</w:t>
            </w:r>
          </w:p>
        </w:tc>
        <w:tc>
          <w:tcPr>
            <w:tcW w:w="462" w:type="pct"/>
            <w:tcBorders>
              <w:left w:val="single" w:sz="12" w:space="0" w:color="auto"/>
            </w:tcBorders>
          </w:tcPr>
          <w:p w14:paraId="6A888899" w14:textId="77777777" w:rsidR="00335619" w:rsidRPr="0023367D" w:rsidRDefault="00335619" w:rsidP="00335619">
            <w:pPr>
              <w:jc w:val="right"/>
              <w:rPr>
                <w:color w:val="000000"/>
                <w:sz w:val="20"/>
                <w:szCs w:val="18"/>
              </w:rPr>
            </w:pPr>
            <w:r w:rsidRPr="0023367D">
              <w:rPr>
                <w:color w:val="000000"/>
                <w:sz w:val="20"/>
                <w:szCs w:val="19"/>
              </w:rPr>
              <w:t>474</w:t>
            </w:r>
          </w:p>
        </w:tc>
        <w:tc>
          <w:tcPr>
            <w:tcW w:w="565" w:type="pct"/>
            <w:vAlign w:val="bottom"/>
          </w:tcPr>
          <w:p w14:paraId="12ED3E8F" w14:textId="77777777" w:rsidR="00335619" w:rsidRPr="0023367D" w:rsidRDefault="00335619" w:rsidP="00335619">
            <w:pPr>
              <w:jc w:val="right"/>
              <w:rPr>
                <w:color w:val="000000"/>
                <w:sz w:val="20"/>
                <w:szCs w:val="18"/>
              </w:rPr>
            </w:pPr>
            <w:r w:rsidRPr="0023367D">
              <w:rPr>
                <w:color w:val="000000"/>
                <w:sz w:val="20"/>
                <w:szCs w:val="19"/>
              </w:rPr>
              <w:t>52.8%</w:t>
            </w:r>
          </w:p>
        </w:tc>
        <w:tc>
          <w:tcPr>
            <w:tcW w:w="462" w:type="pct"/>
            <w:vAlign w:val="bottom"/>
          </w:tcPr>
          <w:p w14:paraId="3285B9C9" w14:textId="77777777" w:rsidR="00335619" w:rsidRPr="0023367D" w:rsidRDefault="00335619" w:rsidP="00335619">
            <w:pPr>
              <w:jc w:val="right"/>
              <w:rPr>
                <w:color w:val="000000"/>
                <w:sz w:val="20"/>
                <w:szCs w:val="18"/>
              </w:rPr>
            </w:pPr>
            <w:r w:rsidRPr="0023367D">
              <w:rPr>
                <w:color w:val="000000"/>
                <w:sz w:val="20"/>
                <w:szCs w:val="19"/>
              </w:rPr>
              <w:t>178</w:t>
            </w:r>
          </w:p>
        </w:tc>
        <w:tc>
          <w:tcPr>
            <w:tcW w:w="564" w:type="pct"/>
            <w:vAlign w:val="bottom"/>
          </w:tcPr>
          <w:p w14:paraId="4F351296" w14:textId="77777777" w:rsidR="00335619" w:rsidRPr="0023367D" w:rsidRDefault="00335619" w:rsidP="00335619">
            <w:pPr>
              <w:jc w:val="right"/>
              <w:rPr>
                <w:color w:val="000000"/>
                <w:sz w:val="20"/>
                <w:szCs w:val="18"/>
              </w:rPr>
            </w:pPr>
            <w:r w:rsidRPr="0023367D">
              <w:rPr>
                <w:color w:val="000000"/>
                <w:sz w:val="20"/>
                <w:szCs w:val="19"/>
              </w:rPr>
              <w:t>53.0%</w:t>
            </w:r>
          </w:p>
        </w:tc>
      </w:tr>
      <w:tr w:rsidR="00335619" w:rsidRPr="0023367D" w14:paraId="2108404C" w14:textId="77777777" w:rsidTr="00576741">
        <w:trPr>
          <w:trHeight w:val="216"/>
          <w:jc w:val="center"/>
        </w:trPr>
        <w:tc>
          <w:tcPr>
            <w:tcW w:w="912" w:type="pct"/>
            <w:tcBorders>
              <w:right w:val="single" w:sz="12" w:space="0" w:color="auto"/>
            </w:tcBorders>
            <w:shd w:val="clear" w:color="auto" w:fill="auto"/>
            <w:noWrap/>
            <w:vAlign w:val="center"/>
          </w:tcPr>
          <w:p w14:paraId="00766A69"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1989</w:t>
            </w:r>
          </w:p>
        </w:tc>
        <w:tc>
          <w:tcPr>
            <w:tcW w:w="508" w:type="pct"/>
            <w:tcBorders>
              <w:left w:val="single" w:sz="12" w:space="0" w:color="auto"/>
            </w:tcBorders>
            <w:shd w:val="clear" w:color="auto" w:fill="auto"/>
            <w:noWrap/>
            <w:vAlign w:val="bottom"/>
          </w:tcPr>
          <w:p w14:paraId="59DCF717" w14:textId="77777777" w:rsidR="00335619" w:rsidRPr="0023367D" w:rsidRDefault="00335619" w:rsidP="00335619">
            <w:pPr>
              <w:jc w:val="right"/>
              <w:rPr>
                <w:color w:val="000000"/>
                <w:sz w:val="20"/>
                <w:szCs w:val="18"/>
              </w:rPr>
            </w:pPr>
            <w:r w:rsidRPr="0023367D">
              <w:rPr>
                <w:color w:val="000000"/>
                <w:sz w:val="20"/>
                <w:szCs w:val="18"/>
              </w:rPr>
              <w:t>488</w:t>
            </w:r>
          </w:p>
        </w:tc>
        <w:tc>
          <w:tcPr>
            <w:tcW w:w="549" w:type="pct"/>
            <w:vAlign w:val="bottom"/>
          </w:tcPr>
          <w:p w14:paraId="0D0008FF" w14:textId="77777777" w:rsidR="00335619" w:rsidRPr="0023367D" w:rsidRDefault="00335619" w:rsidP="00335619">
            <w:pPr>
              <w:jc w:val="right"/>
              <w:rPr>
                <w:color w:val="000000"/>
                <w:sz w:val="20"/>
                <w:szCs w:val="18"/>
              </w:rPr>
            </w:pPr>
            <w:r w:rsidRPr="0023367D">
              <w:rPr>
                <w:color w:val="000000"/>
                <w:sz w:val="20"/>
                <w:szCs w:val="18"/>
              </w:rPr>
              <w:t>49.1%</w:t>
            </w:r>
          </w:p>
        </w:tc>
        <w:tc>
          <w:tcPr>
            <w:tcW w:w="410" w:type="pct"/>
            <w:vAlign w:val="bottom"/>
          </w:tcPr>
          <w:p w14:paraId="5565E332" w14:textId="77777777" w:rsidR="00335619" w:rsidRPr="0023367D" w:rsidRDefault="00335619" w:rsidP="00335619">
            <w:pPr>
              <w:jc w:val="right"/>
              <w:rPr>
                <w:color w:val="000000"/>
                <w:sz w:val="20"/>
                <w:szCs w:val="18"/>
              </w:rPr>
            </w:pPr>
            <w:r w:rsidRPr="0023367D">
              <w:rPr>
                <w:color w:val="000000"/>
                <w:sz w:val="20"/>
                <w:szCs w:val="18"/>
              </w:rPr>
              <w:t>173</w:t>
            </w:r>
          </w:p>
        </w:tc>
        <w:tc>
          <w:tcPr>
            <w:tcW w:w="568" w:type="pct"/>
            <w:tcBorders>
              <w:right w:val="single" w:sz="12" w:space="0" w:color="auto"/>
            </w:tcBorders>
            <w:shd w:val="clear" w:color="auto" w:fill="auto"/>
            <w:vAlign w:val="bottom"/>
          </w:tcPr>
          <w:p w14:paraId="40C9D6B9" w14:textId="77777777" w:rsidR="00335619" w:rsidRPr="0023367D" w:rsidRDefault="00335619" w:rsidP="00335619">
            <w:pPr>
              <w:jc w:val="right"/>
              <w:rPr>
                <w:color w:val="000000"/>
                <w:sz w:val="20"/>
                <w:szCs w:val="18"/>
              </w:rPr>
            </w:pPr>
            <w:r w:rsidRPr="0023367D">
              <w:rPr>
                <w:color w:val="000000"/>
                <w:sz w:val="20"/>
                <w:szCs w:val="18"/>
              </w:rPr>
              <w:t>60.2%</w:t>
            </w:r>
          </w:p>
        </w:tc>
        <w:tc>
          <w:tcPr>
            <w:tcW w:w="462" w:type="pct"/>
            <w:tcBorders>
              <w:left w:val="single" w:sz="12" w:space="0" w:color="auto"/>
            </w:tcBorders>
          </w:tcPr>
          <w:p w14:paraId="1A3F3DB8" w14:textId="77777777" w:rsidR="00335619" w:rsidRPr="0023367D" w:rsidRDefault="00335619" w:rsidP="00335619">
            <w:pPr>
              <w:jc w:val="right"/>
              <w:rPr>
                <w:color w:val="000000"/>
                <w:sz w:val="20"/>
                <w:szCs w:val="18"/>
              </w:rPr>
            </w:pPr>
            <w:r w:rsidRPr="0023367D">
              <w:rPr>
                <w:color w:val="000000"/>
                <w:sz w:val="20"/>
                <w:szCs w:val="19"/>
              </w:rPr>
              <w:t>480</w:t>
            </w:r>
          </w:p>
        </w:tc>
        <w:tc>
          <w:tcPr>
            <w:tcW w:w="565" w:type="pct"/>
            <w:vAlign w:val="bottom"/>
          </w:tcPr>
          <w:p w14:paraId="072F6C67" w14:textId="77777777" w:rsidR="00335619" w:rsidRPr="0023367D" w:rsidRDefault="00335619" w:rsidP="00335619">
            <w:pPr>
              <w:jc w:val="right"/>
              <w:rPr>
                <w:color w:val="000000"/>
                <w:sz w:val="20"/>
                <w:szCs w:val="18"/>
              </w:rPr>
            </w:pPr>
            <w:r w:rsidRPr="0023367D">
              <w:rPr>
                <w:color w:val="000000"/>
                <w:sz w:val="20"/>
                <w:szCs w:val="19"/>
              </w:rPr>
              <w:t>45.3%</w:t>
            </w:r>
          </w:p>
        </w:tc>
        <w:tc>
          <w:tcPr>
            <w:tcW w:w="462" w:type="pct"/>
            <w:vAlign w:val="bottom"/>
          </w:tcPr>
          <w:p w14:paraId="415E5381" w14:textId="77777777" w:rsidR="00335619" w:rsidRPr="0023367D" w:rsidRDefault="00335619" w:rsidP="00335619">
            <w:pPr>
              <w:jc w:val="right"/>
              <w:rPr>
                <w:color w:val="000000"/>
                <w:sz w:val="20"/>
                <w:szCs w:val="18"/>
              </w:rPr>
            </w:pPr>
            <w:r w:rsidRPr="0023367D">
              <w:rPr>
                <w:color w:val="000000"/>
                <w:sz w:val="20"/>
                <w:szCs w:val="19"/>
              </w:rPr>
              <w:t>172</w:t>
            </w:r>
          </w:p>
        </w:tc>
        <w:tc>
          <w:tcPr>
            <w:tcW w:w="564" w:type="pct"/>
            <w:vAlign w:val="bottom"/>
          </w:tcPr>
          <w:p w14:paraId="5AB65C85" w14:textId="77777777" w:rsidR="00335619" w:rsidRPr="0023367D" w:rsidRDefault="00335619" w:rsidP="00335619">
            <w:pPr>
              <w:jc w:val="right"/>
              <w:rPr>
                <w:color w:val="000000"/>
                <w:sz w:val="20"/>
                <w:szCs w:val="18"/>
              </w:rPr>
            </w:pPr>
            <w:r w:rsidRPr="0023367D">
              <w:rPr>
                <w:color w:val="000000"/>
                <w:sz w:val="20"/>
                <w:szCs w:val="19"/>
              </w:rPr>
              <w:t>46.9%</w:t>
            </w:r>
          </w:p>
        </w:tc>
      </w:tr>
      <w:tr w:rsidR="00335619" w:rsidRPr="0023367D" w14:paraId="6D4DCE04" w14:textId="77777777" w:rsidTr="00576741">
        <w:trPr>
          <w:trHeight w:val="216"/>
          <w:jc w:val="center"/>
        </w:trPr>
        <w:tc>
          <w:tcPr>
            <w:tcW w:w="912" w:type="pct"/>
            <w:tcBorders>
              <w:right w:val="single" w:sz="12" w:space="0" w:color="auto"/>
            </w:tcBorders>
            <w:shd w:val="clear" w:color="auto" w:fill="auto"/>
            <w:noWrap/>
            <w:vAlign w:val="center"/>
          </w:tcPr>
          <w:p w14:paraId="54975F40"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1990</w:t>
            </w:r>
          </w:p>
        </w:tc>
        <w:tc>
          <w:tcPr>
            <w:tcW w:w="508" w:type="pct"/>
            <w:tcBorders>
              <w:left w:val="single" w:sz="12" w:space="0" w:color="auto"/>
            </w:tcBorders>
            <w:shd w:val="clear" w:color="auto" w:fill="auto"/>
            <w:noWrap/>
            <w:vAlign w:val="bottom"/>
          </w:tcPr>
          <w:p w14:paraId="4E2E0A91" w14:textId="77777777" w:rsidR="00335619" w:rsidRPr="0023367D" w:rsidRDefault="00335619" w:rsidP="00335619">
            <w:pPr>
              <w:jc w:val="right"/>
              <w:rPr>
                <w:color w:val="000000"/>
                <w:sz w:val="20"/>
                <w:szCs w:val="18"/>
              </w:rPr>
            </w:pPr>
            <w:r w:rsidRPr="0023367D">
              <w:rPr>
                <w:color w:val="000000"/>
                <w:sz w:val="20"/>
                <w:szCs w:val="18"/>
              </w:rPr>
              <w:t>495</w:t>
            </w:r>
          </w:p>
        </w:tc>
        <w:tc>
          <w:tcPr>
            <w:tcW w:w="549" w:type="pct"/>
            <w:vAlign w:val="bottom"/>
          </w:tcPr>
          <w:p w14:paraId="5758413A" w14:textId="77777777" w:rsidR="00335619" w:rsidRPr="0023367D" w:rsidRDefault="00335619" w:rsidP="00335619">
            <w:pPr>
              <w:jc w:val="right"/>
              <w:rPr>
                <w:color w:val="000000"/>
                <w:sz w:val="20"/>
                <w:szCs w:val="18"/>
              </w:rPr>
            </w:pPr>
            <w:r w:rsidRPr="0023367D">
              <w:rPr>
                <w:color w:val="000000"/>
                <w:sz w:val="20"/>
                <w:szCs w:val="18"/>
              </w:rPr>
              <w:t>45.9%</w:t>
            </w:r>
          </w:p>
        </w:tc>
        <w:tc>
          <w:tcPr>
            <w:tcW w:w="410" w:type="pct"/>
            <w:vAlign w:val="bottom"/>
          </w:tcPr>
          <w:p w14:paraId="6FCB4521" w14:textId="77777777" w:rsidR="00335619" w:rsidRPr="0023367D" w:rsidRDefault="00335619" w:rsidP="00335619">
            <w:pPr>
              <w:jc w:val="right"/>
              <w:rPr>
                <w:color w:val="000000"/>
                <w:sz w:val="20"/>
                <w:szCs w:val="18"/>
              </w:rPr>
            </w:pPr>
            <w:r w:rsidRPr="0023367D">
              <w:rPr>
                <w:color w:val="000000"/>
                <w:sz w:val="20"/>
                <w:szCs w:val="18"/>
              </w:rPr>
              <w:t>160</w:t>
            </w:r>
          </w:p>
        </w:tc>
        <w:tc>
          <w:tcPr>
            <w:tcW w:w="568" w:type="pct"/>
            <w:tcBorders>
              <w:right w:val="single" w:sz="12" w:space="0" w:color="auto"/>
            </w:tcBorders>
            <w:shd w:val="clear" w:color="auto" w:fill="auto"/>
            <w:vAlign w:val="bottom"/>
          </w:tcPr>
          <w:p w14:paraId="6427F4E1" w14:textId="77777777" w:rsidR="00335619" w:rsidRPr="0023367D" w:rsidRDefault="00335619" w:rsidP="00335619">
            <w:pPr>
              <w:jc w:val="right"/>
              <w:rPr>
                <w:color w:val="000000"/>
                <w:sz w:val="20"/>
                <w:szCs w:val="18"/>
              </w:rPr>
            </w:pPr>
            <w:r w:rsidRPr="0023367D">
              <w:rPr>
                <w:color w:val="000000"/>
                <w:sz w:val="20"/>
                <w:szCs w:val="18"/>
              </w:rPr>
              <w:t>58.1%</w:t>
            </w:r>
          </w:p>
        </w:tc>
        <w:tc>
          <w:tcPr>
            <w:tcW w:w="462" w:type="pct"/>
            <w:tcBorders>
              <w:left w:val="single" w:sz="12" w:space="0" w:color="auto"/>
            </w:tcBorders>
          </w:tcPr>
          <w:p w14:paraId="6BEA392C" w14:textId="77777777" w:rsidR="00335619" w:rsidRPr="0023367D" w:rsidRDefault="00335619" w:rsidP="00335619">
            <w:pPr>
              <w:jc w:val="right"/>
              <w:rPr>
                <w:color w:val="000000"/>
                <w:sz w:val="20"/>
                <w:szCs w:val="18"/>
              </w:rPr>
            </w:pPr>
            <w:r w:rsidRPr="0023367D">
              <w:rPr>
                <w:color w:val="000000"/>
                <w:sz w:val="20"/>
                <w:szCs w:val="19"/>
              </w:rPr>
              <w:t>493</w:t>
            </w:r>
          </w:p>
        </w:tc>
        <w:tc>
          <w:tcPr>
            <w:tcW w:w="565" w:type="pct"/>
            <w:vAlign w:val="bottom"/>
          </w:tcPr>
          <w:p w14:paraId="13A03A3C" w14:textId="77777777" w:rsidR="00335619" w:rsidRPr="0023367D" w:rsidRDefault="00335619" w:rsidP="00335619">
            <w:pPr>
              <w:jc w:val="right"/>
              <w:rPr>
                <w:color w:val="000000"/>
                <w:sz w:val="20"/>
                <w:szCs w:val="18"/>
              </w:rPr>
            </w:pPr>
            <w:r w:rsidRPr="0023367D">
              <w:rPr>
                <w:color w:val="000000"/>
                <w:sz w:val="20"/>
                <w:szCs w:val="19"/>
              </w:rPr>
              <w:t>47.0%</w:t>
            </w:r>
          </w:p>
        </w:tc>
        <w:tc>
          <w:tcPr>
            <w:tcW w:w="462" w:type="pct"/>
            <w:vAlign w:val="bottom"/>
          </w:tcPr>
          <w:p w14:paraId="04E6BCFC" w14:textId="77777777" w:rsidR="00335619" w:rsidRPr="0023367D" w:rsidRDefault="00335619" w:rsidP="00335619">
            <w:pPr>
              <w:jc w:val="right"/>
              <w:rPr>
                <w:color w:val="000000"/>
                <w:sz w:val="20"/>
                <w:szCs w:val="18"/>
              </w:rPr>
            </w:pPr>
            <w:r w:rsidRPr="0023367D">
              <w:rPr>
                <w:color w:val="000000"/>
                <w:sz w:val="20"/>
                <w:szCs w:val="19"/>
              </w:rPr>
              <w:t>160</w:t>
            </w:r>
          </w:p>
        </w:tc>
        <w:tc>
          <w:tcPr>
            <w:tcW w:w="564" w:type="pct"/>
            <w:vAlign w:val="bottom"/>
          </w:tcPr>
          <w:p w14:paraId="22ECB0F8" w14:textId="77777777" w:rsidR="00335619" w:rsidRPr="0023367D" w:rsidRDefault="00335619" w:rsidP="00335619">
            <w:pPr>
              <w:jc w:val="right"/>
              <w:rPr>
                <w:color w:val="000000"/>
                <w:sz w:val="20"/>
                <w:szCs w:val="18"/>
              </w:rPr>
            </w:pPr>
            <w:r w:rsidRPr="0023367D">
              <w:rPr>
                <w:color w:val="000000"/>
                <w:sz w:val="20"/>
                <w:szCs w:val="19"/>
              </w:rPr>
              <w:t>37.4%</w:t>
            </w:r>
          </w:p>
        </w:tc>
      </w:tr>
      <w:tr w:rsidR="00335619" w:rsidRPr="0023367D" w14:paraId="639247C1" w14:textId="77777777" w:rsidTr="00576741">
        <w:trPr>
          <w:trHeight w:val="216"/>
          <w:jc w:val="center"/>
        </w:trPr>
        <w:tc>
          <w:tcPr>
            <w:tcW w:w="912" w:type="pct"/>
            <w:tcBorders>
              <w:right w:val="single" w:sz="12" w:space="0" w:color="auto"/>
            </w:tcBorders>
            <w:shd w:val="clear" w:color="auto" w:fill="auto"/>
            <w:noWrap/>
            <w:vAlign w:val="center"/>
          </w:tcPr>
          <w:p w14:paraId="5CE56AEF"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1991</w:t>
            </w:r>
          </w:p>
        </w:tc>
        <w:tc>
          <w:tcPr>
            <w:tcW w:w="508" w:type="pct"/>
            <w:tcBorders>
              <w:left w:val="single" w:sz="12" w:space="0" w:color="auto"/>
            </w:tcBorders>
            <w:shd w:val="clear" w:color="auto" w:fill="auto"/>
            <w:noWrap/>
            <w:vAlign w:val="bottom"/>
          </w:tcPr>
          <w:p w14:paraId="684439D9" w14:textId="77777777" w:rsidR="00335619" w:rsidRPr="0023367D" w:rsidRDefault="00335619" w:rsidP="00335619">
            <w:pPr>
              <w:jc w:val="right"/>
              <w:rPr>
                <w:color w:val="000000"/>
                <w:sz w:val="20"/>
                <w:szCs w:val="18"/>
              </w:rPr>
            </w:pPr>
            <w:r w:rsidRPr="0023367D">
              <w:rPr>
                <w:color w:val="000000"/>
                <w:sz w:val="20"/>
                <w:szCs w:val="18"/>
              </w:rPr>
              <w:t>491</w:t>
            </w:r>
          </w:p>
        </w:tc>
        <w:tc>
          <w:tcPr>
            <w:tcW w:w="549" w:type="pct"/>
            <w:vAlign w:val="bottom"/>
          </w:tcPr>
          <w:p w14:paraId="1C6C30AC" w14:textId="77777777" w:rsidR="00335619" w:rsidRPr="0023367D" w:rsidRDefault="00335619" w:rsidP="00335619">
            <w:pPr>
              <w:jc w:val="right"/>
              <w:rPr>
                <w:color w:val="000000"/>
                <w:sz w:val="20"/>
                <w:szCs w:val="18"/>
              </w:rPr>
            </w:pPr>
            <w:r w:rsidRPr="0023367D">
              <w:rPr>
                <w:color w:val="000000"/>
                <w:sz w:val="20"/>
                <w:szCs w:val="18"/>
              </w:rPr>
              <w:t>49.1%</w:t>
            </w:r>
          </w:p>
        </w:tc>
        <w:tc>
          <w:tcPr>
            <w:tcW w:w="410" w:type="pct"/>
            <w:vAlign w:val="bottom"/>
          </w:tcPr>
          <w:p w14:paraId="7D93ED1B" w14:textId="77777777" w:rsidR="00335619" w:rsidRPr="0023367D" w:rsidRDefault="00335619" w:rsidP="00335619">
            <w:pPr>
              <w:jc w:val="right"/>
              <w:rPr>
                <w:color w:val="000000"/>
                <w:sz w:val="20"/>
                <w:szCs w:val="18"/>
              </w:rPr>
            </w:pPr>
            <w:r w:rsidRPr="0023367D">
              <w:rPr>
                <w:color w:val="000000"/>
                <w:sz w:val="20"/>
                <w:szCs w:val="18"/>
              </w:rPr>
              <w:t>139</w:t>
            </w:r>
          </w:p>
        </w:tc>
        <w:tc>
          <w:tcPr>
            <w:tcW w:w="568" w:type="pct"/>
            <w:tcBorders>
              <w:right w:val="single" w:sz="12" w:space="0" w:color="auto"/>
            </w:tcBorders>
            <w:shd w:val="clear" w:color="auto" w:fill="auto"/>
            <w:vAlign w:val="bottom"/>
          </w:tcPr>
          <w:p w14:paraId="2EFC0E9C" w14:textId="77777777" w:rsidR="00335619" w:rsidRPr="0023367D" w:rsidRDefault="00335619" w:rsidP="00335619">
            <w:pPr>
              <w:jc w:val="right"/>
              <w:rPr>
                <w:color w:val="000000"/>
                <w:sz w:val="20"/>
                <w:szCs w:val="18"/>
              </w:rPr>
            </w:pPr>
            <w:r w:rsidRPr="0023367D">
              <w:rPr>
                <w:color w:val="000000"/>
                <w:sz w:val="20"/>
                <w:szCs w:val="18"/>
              </w:rPr>
              <w:t>66.2%</w:t>
            </w:r>
          </w:p>
        </w:tc>
        <w:tc>
          <w:tcPr>
            <w:tcW w:w="462" w:type="pct"/>
            <w:tcBorders>
              <w:left w:val="single" w:sz="12" w:space="0" w:color="auto"/>
            </w:tcBorders>
          </w:tcPr>
          <w:p w14:paraId="16C93C6F" w14:textId="77777777" w:rsidR="00335619" w:rsidRPr="0023367D" w:rsidRDefault="00335619" w:rsidP="00335619">
            <w:pPr>
              <w:jc w:val="right"/>
              <w:rPr>
                <w:color w:val="000000"/>
                <w:sz w:val="20"/>
                <w:szCs w:val="18"/>
              </w:rPr>
            </w:pPr>
            <w:r w:rsidRPr="0023367D">
              <w:rPr>
                <w:color w:val="000000"/>
                <w:sz w:val="20"/>
                <w:szCs w:val="19"/>
              </w:rPr>
              <w:t>483</w:t>
            </w:r>
          </w:p>
        </w:tc>
        <w:tc>
          <w:tcPr>
            <w:tcW w:w="565" w:type="pct"/>
            <w:vAlign w:val="bottom"/>
          </w:tcPr>
          <w:p w14:paraId="412025EC" w14:textId="77777777" w:rsidR="00335619" w:rsidRPr="0023367D" w:rsidRDefault="00335619" w:rsidP="00335619">
            <w:pPr>
              <w:jc w:val="right"/>
              <w:rPr>
                <w:color w:val="000000"/>
                <w:sz w:val="20"/>
                <w:szCs w:val="18"/>
              </w:rPr>
            </w:pPr>
            <w:r w:rsidRPr="0023367D">
              <w:rPr>
                <w:color w:val="000000"/>
                <w:sz w:val="20"/>
                <w:szCs w:val="19"/>
              </w:rPr>
              <w:t>50.4%</w:t>
            </w:r>
          </w:p>
        </w:tc>
        <w:tc>
          <w:tcPr>
            <w:tcW w:w="462" w:type="pct"/>
            <w:vAlign w:val="bottom"/>
          </w:tcPr>
          <w:p w14:paraId="095BA009" w14:textId="77777777" w:rsidR="00335619" w:rsidRPr="0023367D" w:rsidRDefault="00335619" w:rsidP="00335619">
            <w:pPr>
              <w:jc w:val="right"/>
              <w:rPr>
                <w:color w:val="000000"/>
                <w:sz w:val="20"/>
                <w:szCs w:val="18"/>
              </w:rPr>
            </w:pPr>
            <w:r w:rsidRPr="0023367D">
              <w:rPr>
                <w:color w:val="000000"/>
                <w:sz w:val="20"/>
                <w:szCs w:val="19"/>
              </w:rPr>
              <w:t>139</w:t>
            </w:r>
          </w:p>
        </w:tc>
        <w:tc>
          <w:tcPr>
            <w:tcW w:w="564" w:type="pct"/>
            <w:vAlign w:val="bottom"/>
          </w:tcPr>
          <w:p w14:paraId="1B172FD2" w14:textId="77777777" w:rsidR="00335619" w:rsidRPr="0023367D" w:rsidRDefault="00335619" w:rsidP="00335619">
            <w:pPr>
              <w:jc w:val="right"/>
              <w:rPr>
                <w:color w:val="000000"/>
                <w:sz w:val="20"/>
                <w:szCs w:val="18"/>
              </w:rPr>
            </w:pPr>
            <w:r w:rsidRPr="0023367D">
              <w:rPr>
                <w:color w:val="000000"/>
                <w:sz w:val="20"/>
                <w:szCs w:val="19"/>
              </w:rPr>
              <w:t>48.6%</w:t>
            </w:r>
          </w:p>
        </w:tc>
      </w:tr>
      <w:tr w:rsidR="00335619" w:rsidRPr="0023367D" w14:paraId="0FF6D91B" w14:textId="77777777" w:rsidTr="00576741">
        <w:trPr>
          <w:trHeight w:val="216"/>
          <w:jc w:val="center"/>
        </w:trPr>
        <w:tc>
          <w:tcPr>
            <w:tcW w:w="912" w:type="pct"/>
            <w:tcBorders>
              <w:right w:val="single" w:sz="12" w:space="0" w:color="auto"/>
            </w:tcBorders>
            <w:shd w:val="clear" w:color="auto" w:fill="auto"/>
            <w:noWrap/>
            <w:vAlign w:val="center"/>
          </w:tcPr>
          <w:p w14:paraId="7DD7A75A"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1992</w:t>
            </w:r>
          </w:p>
        </w:tc>
        <w:tc>
          <w:tcPr>
            <w:tcW w:w="508" w:type="pct"/>
            <w:tcBorders>
              <w:left w:val="single" w:sz="12" w:space="0" w:color="auto"/>
            </w:tcBorders>
            <w:shd w:val="clear" w:color="auto" w:fill="auto"/>
            <w:noWrap/>
            <w:vAlign w:val="bottom"/>
          </w:tcPr>
          <w:p w14:paraId="553C2BA5" w14:textId="77777777" w:rsidR="00335619" w:rsidRPr="0023367D" w:rsidRDefault="00335619" w:rsidP="00335619">
            <w:pPr>
              <w:jc w:val="right"/>
              <w:rPr>
                <w:color w:val="000000"/>
                <w:sz w:val="20"/>
                <w:szCs w:val="18"/>
              </w:rPr>
            </w:pPr>
            <w:r w:rsidRPr="0023367D">
              <w:rPr>
                <w:color w:val="000000"/>
                <w:sz w:val="20"/>
                <w:szCs w:val="18"/>
              </w:rPr>
              <w:t>450</w:t>
            </w:r>
          </w:p>
        </w:tc>
        <w:tc>
          <w:tcPr>
            <w:tcW w:w="549" w:type="pct"/>
            <w:vAlign w:val="bottom"/>
          </w:tcPr>
          <w:p w14:paraId="00632DD7" w14:textId="77777777" w:rsidR="00335619" w:rsidRPr="0023367D" w:rsidRDefault="00335619" w:rsidP="00335619">
            <w:pPr>
              <w:jc w:val="right"/>
              <w:rPr>
                <w:color w:val="000000"/>
                <w:sz w:val="20"/>
                <w:szCs w:val="18"/>
              </w:rPr>
            </w:pPr>
            <w:r w:rsidRPr="0023367D">
              <w:rPr>
                <w:color w:val="000000"/>
                <w:sz w:val="20"/>
                <w:szCs w:val="18"/>
              </w:rPr>
              <w:t>46.7%</w:t>
            </w:r>
          </w:p>
        </w:tc>
        <w:tc>
          <w:tcPr>
            <w:tcW w:w="410" w:type="pct"/>
            <w:vAlign w:val="bottom"/>
          </w:tcPr>
          <w:p w14:paraId="77E23CDC" w14:textId="77777777" w:rsidR="00335619" w:rsidRPr="0023367D" w:rsidRDefault="00335619" w:rsidP="00335619">
            <w:pPr>
              <w:jc w:val="right"/>
              <w:rPr>
                <w:color w:val="000000"/>
                <w:sz w:val="20"/>
                <w:szCs w:val="18"/>
              </w:rPr>
            </w:pPr>
            <w:r w:rsidRPr="0023367D">
              <w:rPr>
                <w:color w:val="000000"/>
                <w:sz w:val="20"/>
                <w:szCs w:val="18"/>
              </w:rPr>
              <w:t>99</w:t>
            </w:r>
          </w:p>
        </w:tc>
        <w:tc>
          <w:tcPr>
            <w:tcW w:w="568" w:type="pct"/>
            <w:tcBorders>
              <w:right w:val="single" w:sz="12" w:space="0" w:color="auto"/>
            </w:tcBorders>
            <w:shd w:val="clear" w:color="auto" w:fill="auto"/>
            <w:vAlign w:val="bottom"/>
          </w:tcPr>
          <w:p w14:paraId="3D45C720" w14:textId="77777777" w:rsidR="00335619" w:rsidRPr="0023367D" w:rsidRDefault="00335619" w:rsidP="00335619">
            <w:pPr>
              <w:jc w:val="right"/>
              <w:rPr>
                <w:color w:val="000000"/>
                <w:sz w:val="20"/>
                <w:szCs w:val="18"/>
              </w:rPr>
            </w:pPr>
            <w:r w:rsidRPr="0023367D">
              <w:rPr>
                <w:color w:val="000000"/>
                <w:sz w:val="20"/>
                <w:szCs w:val="18"/>
              </w:rPr>
              <w:t>61.7%</w:t>
            </w:r>
          </w:p>
        </w:tc>
        <w:tc>
          <w:tcPr>
            <w:tcW w:w="462" w:type="pct"/>
            <w:tcBorders>
              <w:left w:val="single" w:sz="12" w:space="0" w:color="auto"/>
            </w:tcBorders>
          </w:tcPr>
          <w:p w14:paraId="38F4DA96" w14:textId="77777777" w:rsidR="00335619" w:rsidRPr="0023367D" w:rsidRDefault="00335619" w:rsidP="00335619">
            <w:pPr>
              <w:jc w:val="right"/>
              <w:rPr>
                <w:color w:val="000000"/>
                <w:sz w:val="20"/>
                <w:szCs w:val="18"/>
              </w:rPr>
            </w:pPr>
            <w:r w:rsidRPr="0023367D">
              <w:rPr>
                <w:color w:val="000000"/>
                <w:sz w:val="20"/>
                <w:szCs w:val="19"/>
              </w:rPr>
              <w:t>451</w:t>
            </w:r>
          </w:p>
        </w:tc>
        <w:tc>
          <w:tcPr>
            <w:tcW w:w="565" w:type="pct"/>
            <w:vAlign w:val="bottom"/>
          </w:tcPr>
          <w:p w14:paraId="24727CAB" w14:textId="77777777" w:rsidR="00335619" w:rsidRPr="0023367D" w:rsidRDefault="00335619" w:rsidP="00335619">
            <w:pPr>
              <w:jc w:val="right"/>
              <w:rPr>
                <w:color w:val="000000"/>
                <w:sz w:val="20"/>
                <w:szCs w:val="18"/>
              </w:rPr>
            </w:pPr>
            <w:r w:rsidRPr="0023367D">
              <w:rPr>
                <w:color w:val="000000"/>
                <w:sz w:val="20"/>
                <w:szCs w:val="19"/>
              </w:rPr>
              <w:t>47.5%</w:t>
            </w:r>
          </w:p>
        </w:tc>
        <w:tc>
          <w:tcPr>
            <w:tcW w:w="462" w:type="pct"/>
            <w:vAlign w:val="bottom"/>
          </w:tcPr>
          <w:p w14:paraId="57256D3C" w14:textId="77777777" w:rsidR="00335619" w:rsidRPr="0023367D" w:rsidRDefault="00335619" w:rsidP="00335619">
            <w:pPr>
              <w:jc w:val="right"/>
              <w:rPr>
                <w:color w:val="000000"/>
                <w:sz w:val="20"/>
                <w:szCs w:val="18"/>
              </w:rPr>
            </w:pPr>
            <w:r w:rsidRPr="0023367D">
              <w:rPr>
                <w:color w:val="000000"/>
                <w:sz w:val="20"/>
                <w:szCs w:val="19"/>
              </w:rPr>
              <w:t>96</w:t>
            </w:r>
          </w:p>
        </w:tc>
        <w:tc>
          <w:tcPr>
            <w:tcW w:w="564" w:type="pct"/>
            <w:vAlign w:val="bottom"/>
          </w:tcPr>
          <w:p w14:paraId="51DC6AB7" w14:textId="77777777" w:rsidR="00335619" w:rsidRPr="0023367D" w:rsidRDefault="00335619" w:rsidP="00335619">
            <w:pPr>
              <w:jc w:val="right"/>
              <w:rPr>
                <w:color w:val="000000"/>
                <w:sz w:val="20"/>
                <w:szCs w:val="18"/>
              </w:rPr>
            </w:pPr>
            <w:r w:rsidRPr="0023367D">
              <w:rPr>
                <w:color w:val="000000"/>
                <w:sz w:val="20"/>
                <w:szCs w:val="19"/>
              </w:rPr>
              <w:t>44.7%</w:t>
            </w:r>
          </w:p>
        </w:tc>
      </w:tr>
      <w:tr w:rsidR="00335619" w:rsidRPr="0023367D" w14:paraId="049F2BD9" w14:textId="77777777" w:rsidTr="00576741">
        <w:trPr>
          <w:trHeight w:val="216"/>
          <w:jc w:val="center"/>
        </w:trPr>
        <w:tc>
          <w:tcPr>
            <w:tcW w:w="912" w:type="pct"/>
            <w:tcBorders>
              <w:right w:val="single" w:sz="12" w:space="0" w:color="auto"/>
            </w:tcBorders>
            <w:shd w:val="clear" w:color="auto" w:fill="auto"/>
            <w:noWrap/>
            <w:vAlign w:val="center"/>
          </w:tcPr>
          <w:p w14:paraId="0BF3A67F"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1993</w:t>
            </w:r>
          </w:p>
        </w:tc>
        <w:tc>
          <w:tcPr>
            <w:tcW w:w="508" w:type="pct"/>
            <w:tcBorders>
              <w:left w:val="single" w:sz="12" w:space="0" w:color="auto"/>
            </w:tcBorders>
            <w:shd w:val="clear" w:color="auto" w:fill="auto"/>
            <w:noWrap/>
            <w:vAlign w:val="bottom"/>
          </w:tcPr>
          <w:p w14:paraId="1D4706C5" w14:textId="77777777" w:rsidR="00335619" w:rsidRPr="0023367D" w:rsidRDefault="00335619" w:rsidP="00335619">
            <w:pPr>
              <w:jc w:val="right"/>
              <w:rPr>
                <w:color w:val="000000"/>
                <w:sz w:val="20"/>
                <w:szCs w:val="18"/>
              </w:rPr>
            </w:pPr>
            <w:r w:rsidRPr="0023367D">
              <w:rPr>
                <w:color w:val="000000"/>
                <w:sz w:val="20"/>
                <w:szCs w:val="18"/>
              </w:rPr>
              <w:t>454</w:t>
            </w:r>
          </w:p>
        </w:tc>
        <w:tc>
          <w:tcPr>
            <w:tcW w:w="549" w:type="pct"/>
            <w:vAlign w:val="bottom"/>
          </w:tcPr>
          <w:p w14:paraId="48DB629F" w14:textId="77777777" w:rsidR="00335619" w:rsidRPr="0023367D" w:rsidRDefault="00335619" w:rsidP="00335619">
            <w:pPr>
              <w:jc w:val="right"/>
              <w:rPr>
                <w:color w:val="000000"/>
                <w:sz w:val="20"/>
                <w:szCs w:val="18"/>
              </w:rPr>
            </w:pPr>
            <w:r w:rsidRPr="0023367D">
              <w:rPr>
                <w:color w:val="000000"/>
                <w:sz w:val="20"/>
                <w:szCs w:val="18"/>
              </w:rPr>
              <w:t>50.3%</w:t>
            </w:r>
          </w:p>
        </w:tc>
        <w:tc>
          <w:tcPr>
            <w:tcW w:w="410" w:type="pct"/>
            <w:vAlign w:val="bottom"/>
          </w:tcPr>
          <w:p w14:paraId="23634A4D" w14:textId="77777777" w:rsidR="00335619" w:rsidRPr="0023367D" w:rsidRDefault="00335619" w:rsidP="00335619">
            <w:pPr>
              <w:jc w:val="right"/>
              <w:rPr>
                <w:color w:val="000000"/>
                <w:sz w:val="20"/>
                <w:szCs w:val="18"/>
              </w:rPr>
            </w:pPr>
            <w:r w:rsidRPr="0023367D">
              <w:rPr>
                <w:color w:val="000000"/>
                <w:sz w:val="20"/>
                <w:szCs w:val="18"/>
              </w:rPr>
              <w:t>79</w:t>
            </w:r>
          </w:p>
        </w:tc>
        <w:tc>
          <w:tcPr>
            <w:tcW w:w="568" w:type="pct"/>
            <w:tcBorders>
              <w:right w:val="single" w:sz="12" w:space="0" w:color="auto"/>
            </w:tcBorders>
            <w:shd w:val="clear" w:color="auto" w:fill="auto"/>
            <w:vAlign w:val="bottom"/>
          </w:tcPr>
          <w:p w14:paraId="33262BF6" w14:textId="77777777" w:rsidR="00335619" w:rsidRPr="0023367D" w:rsidRDefault="00335619" w:rsidP="00335619">
            <w:pPr>
              <w:jc w:val="right"/>
              <w:rPr>
                <w:color w:val="000000"/>
                <w:sz w:val="20"/>
                <w:szCs w:val="18"/>
              </w:rPr>
            </w:pPr>
            <w:r w:rsidRPr="0023367D">
              <w:rPr>
                <w:color w:val="000000"/>
                <w:sz w:val="20"/>
                <w:szCs w:val="18"/>
              </w:rPr>
              <w:t>73.0%</w:t>
            </w:r>
          </w:p>
        </w:tc>
        <w:tc>
          <w:tcPr>
            <w:tcW w:w="462" w:type="pct"/>
            <w:tcBorders>
              <w:left w:val="single" w:sz="12" w:space="0" w:color="auto"/>
            </w:tcBorders>
          </w:tcPr>
          <w:p w14:paraId="5A715ADA" w14:textId="77777777" w:rsidR="00335619" w:rsidRPr="0023367D" w:rsidRDefault="00335619" w:rsidP="00335619">
            <w:pPr>
              <w:jc w:val="right"/>
              <w:rPr>
                <w:color w:val="000000"/>
                <w:sz w:val="20"/>
                <w:szCs w:val="18"/>
              </w:rPr>
            </w:pPr>
            <w:r w:rsidRPr="0023367D">
              <w:rPr>
                <w:color w:val="000000"/>
                <w:sz w:val="20"/>
                <w:szCs w:val="19"/>
              </w:rPr>
              <w:t>445</w:t>
            </w:r>
          </w:p>
        </w:tc>
        <w:tc>
          <w:tcPr>
            <w:tcW w:w="565" w:type="pct"/>
            <w:vAlign w:val="bottom"/>
          </w:tcPr>
          <w:p w14:paraId="49B738E8" w14:textId="77777777" w:rsidR="00335619" w:rsidRPr="0023367D" w:rsidRDefault="00335619" w:rsidP="00335619">
            <w:pPr>
              <w:jc w:val="right"/>
              <w:rPr>
                <w:color w:val="000000"/>
                <w:sz w:val="20"/>
                <w:szCs w:val="18"/>
              </w:rPr>
            </w:pPr>
            <w:r w:rsidRPr="0023367D">
              <w:rPr>
                <w:color w:val="000000"/>
                <w:sz w:val="20"/>
                <w:szCs w:val="19"/>
              </w:rPr>
              <w:t>57.4%</w:t>
            </w:r>
          </w:p>
        </w:tc>
        <w:tc>
          <w:tcPr>
            <w:tcW w:w="462" w:type="pct"/>
            <w:vAlign w:val="bottom"/>
          </w:tcPr>
          <w:p w14:paraId="150F02B6" w14:textId="77777777" w:rsidR="00335619" w:rsidRPr="0023367D" w:rsidRDefault="00335619" w:rsidP="00335619">
            <w:pPr>
              <w:jc w:val="right"/>
              <w:rPr>
                <w:color w:val="000000"/>
                <w:sz w:val="20"/>
                <w:szCs w:val="18"/>
              </w:rPr>
            </w:pPr>
            <w:r w:rsidRPr="0023367D">
              <w:rPr>
                <w:color w:val="000000"/>
                <w:sz w:val="20"/>
                <w:szCs w:val="19"/>
              </w:rPr>
              <w:t>78</w:t>
            </w:r>
          </w:p>
        </w:tc>
        <w:tc>
          <w:tcPr>
            <w:tcW w:w="564" w:type="pct"/>
            <w:vAlign w:val="bottom"/>
          </w:tcPr>
          <w:p w14:paraId="7BE7BF34" w14:textId="77777777" w:rsidR="00335619" w:rsidRPr="0023367D" w:rsidRDefault="00335619" w:rsidP="00335619">
            <w:pPr>
              <w:jc w:val="right"/>
              <w:rPr>
                <w:color w:val="000000"/>
                <w:sz w:val="20"/>
                <w:szCs w:val="18"/>
              </w:rPr>
            </w:pPr>
            <w:r w:rsidRPr="0023367D">
              <w:rPr>
                <w:color w:val="000000"/>
                <w:sz w:val="20"/>
                <w:szCs w:val="19"/>
              </w:rPr>
              <w:t>59.0%</w:t>
            </w:r>
          </w:p>
        </w:tc>
      </w:tr>
      <w:tr w:rsidR="00335619" w:rsidRPr="0023367D" w14:paraId="1855A54E" w14:textId="77777777" w:rsidTr="00576741">
        <w:trPr>
          <w:trHeight w:val="216"/>
          <w:jc w:val="center"/>
        </w:trPr>
        <w:tc>
          <w:tcPr>
            <w:tcW w:w="912" w:type="pct"/>
            <w:tcBorders>
              <w:right w:val="single" w:sz="12" w:space="0" w:color="auto"/>
            </w:tcBorders>
            <w:shd w:val="clear" w:color="auto" w:fill="auto"/>
            <w:noWrap/>
            <w:vAlign w:val="center"/>
          </w:tcPr>
          <w:p w14:paraId="6961E458"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1994</w:t>
            </w:r>
          </w:p>
        </w:tc>
        <w:tc>
          <w:tcPr>
            <w:tcW w:w="508" w:type="pct"/>
            <w:tcBorders>
              <w:left w:val="single" w:sz="12" w:space="0" w:color="auto"/>
            </w:tcBorders>
            <w:shd w:val="clear" w:color="auto" w:fill="auto"/>
            <w:noWrap/>
            <w:vAlign w:val="bottom"/>
          </w:tcPr>
          <w:p w14:paraId="6B81ECDE" w14:textId="77777777" w:rsidR="00335619" w:rsidRPr="0023367D" w:rsidRDefault="00335619" w:rsidP="00335619">
            <w:pPr>
              <w:jc w:val="right"/>
              <w:rPr>
                <w:color w:val="000000"/>
                <w:sz w:val="20"/>
                <w:szCs w:val="18"/>
              </w:rPr>
            </w:pPr>
            <w:r w:rsidRPr="0023367D">
              <w:rPr>
                <w:color w:val="000000"/>
                <w:sz w:val="20"/>
                <w:szCs w:val="18"/>
              </w:rPr>
              <w:t>505</w:t>
            </w:r>
          </w:p>
        </w:tc>
        <w:tc>
          <w:tcPr>
            <w:tcW w:w="549" w:type="pct"/>
            <w:vAlign w:val="bottom"/>
          </w:tcPr>
          <w:p w14:paraId="7268E5E0" w14:textId="77777777" w:rsidR="00335619" w:rsidRPr="0023367D" w:rsidRDefault="00335619" w:rsidP="00335619">
            <w:pPr>
              <w:jc w:val="right"/>
              <w:rPr>
                <w:color w:val="000000"/>
                <w:sz w:val="20"/>
                <w:szCs w:val="18"/>
              </w:rPr>
            </w:pPr>
            <w:r w:rsidRPr="0023367D">
              <w:rPr>
                <w:color w:val="000000"/>
                <w:sz w:val="20"/>
                <w:szCs w:val="18"/>
              </w:rPr>
              <w:t>52.8%</w:t>
            </w:r>
          </w:p>
        </w:tc>
        <w:tc>
          <w:tcPr>
            <w:tcW w:w="410" w:type="pct"/>
            <w:vAlign w:val="bottom"/>
          </w:tcPr>
          <w:p w14:paraId="3D47AB80" w14:textId="77777777" w:rsidR="00335619" w:rsidRPr="0023367D" w:rsidRDefault="00335619" w:rsidP="00335619">
            <w:pPr>
              <w:jc w:val="right"/>
              <w:rPr>
                <w:color w:val="000000"/>
                <w:sz w:val="20"/>
                <w:szCs w:val="18"/>
              </w:rPr>
            </w:pPr>
            <w:r w:rsidRPr="0023367D">
              <w:rPr>
                <w:color w:val="000000"/>
                <w:sz w:val="20"/>
                <w:szCs w:val="18"/>
              </w:rPr>
              <w:t>85</w:t>
            </w:r>
          </w:p>
        </w:tc>
        <w:tc>
          <w:tcPr>
            <w:tcW w:w="568" w:type="pct"/>
            <w:tcBorders>
              <w:right w:val="single" w:sz="12" w:space="0" w:color="auto"/>
            </w:tcBorders>
            <w:shd w:val="clear" w:color="auto" w:fill="auto"/>
            <w:vAlign w:val="bottom"/>
          </w:tcPr>
          <w:p w14:paraId="018B2159" w14:textId="77777777" w:rsidR="00335619" w:rsidRPr="0023367D" w:rsidRDefault="00335619" w:rsidP="00335619">
            <w:pPr>
              <w:jc w:val="right"/>
              <w:rPr>
                <w:color w:val="000000"/>
                <w:sz w:val="20"/>
                <w:szCs w:val="18"/>
              </w:rPr>
            </w:pPr>
            <w:r w:rsidRPr="0023367D">
              <w:rPr>
                <w:color w:val="000000"/>
                <w:sz w:val="20"/>
                <w:szCs w:val="18"/>
              </w:rPr>
              <w:t>76.2%</w:t>
            </w:r>
          </w:p>
        </w:tc>
        <w:tc>
          <w:tcPr>
            <w:tcW w:w="462" w:type="pct"/>
            <w:tcBorders>
              <w:left w:val="single" w:sz="12" w:space="0" w:color="auto"/>
            </w:tcBorders>
          </w:tcPr>
          <w:p w14:paraId="518B109F" w14:textId="77777777" w:rsidR="00335619" w:rsidRPr="0023367D" w:rsidRDefault="00335619" w:rsidP="00335619">
            <w:pPr>
              <w:jc w:val="right"/>
              <w:rPr>
                <w:color w:val="000000"/>
                <w:sz w:val="20"/>
                <w:szCs w:val="18"/>
              </w:rPr>
            </w:pPr>
            <w:r w:rsidRPr="0023367D">
              <w:rPr>
                <w:color w:val="000000"/>
                <w:sz w:val="20"/>
                <w:szCs w:val="19"/>
              </w:rPr>
              <w:t>476</w:t>
            </w:r>
          </w:p>
        </w:tc>
        <w:tc>
          <w:tcPr>
            <w:tcW w:w="565" w:type="pct"/>
            <w:vAlign w:val="bottom"/>
          </w:tcPr>
          <w:p w14:paraId="5F0993EE" w14:textId="77777777" w:rsidR="00335619" w:rsidRPr="0023367D" w:rsidRDefault="00335619" w:rsidP="00335619">
            <w:pPr>
              <w:jc w:val="right"/>
              <w:rPr>
                <w:color w:val="000000"/>
                <w:sz w:val="20"/>
                <w:szCs w:val="18"/>
              </w:rPr>
            </w:pPr>
            <w:r w:rsidRPr="0023367D">
              <w:rPr>
                <w:color w:val="000000"/>
                <w:sz w:val="20"/>
                <w:szCs w:val="19"/>
              </w:rPr>
              <w:t>63.0%</w:t>
            </w:r>
          </w:p>
        </w:tc>
        <w:tc>
          <w:tcPr>
            <w:tcW w:w="462" w:type="pct"/>
            <w:vAlign w:val="bottom"/>
          </w:tcPr>
          <w:p w14:paraId="0D7CF38C" w14:textId="77777777" w:rsidR="00335619" w:rsidRPr="0023367D" w:rsidRDefault="00335619" w:rsidP="00335619">
            <w:pPr>
              <w:jc w:val="right"/>
              <w:rPr>
                <w:color w:val="000000"/>
                <w:sz w:val="20"/>
                <w:szCs w:val="18"/>
              </w:rPr>
            </w:pPr>
            <w:r w:rsidRPr="0023367D">
              <w:rPr>
                <w:color w:val="000000"/>
                <w:sz w:val="20"/>
                <w:szCs w:val="19"/>
              </w:rPr>
              <w:t>80</w:t>
            </w:r>
          </w:p>
        </w:tc>
        <w:tc>
          <w:tcPr>
            <w:tcW w:w="564" w:type="pct"/>
            <w:vAlign w:val="bottom"/>
          </w:tcPr>
          <w:p w14:paraId="0D97EC6C" w14:textId="77777777" w:rsidR="00335619" w:rsidRPr="0023367D" w:rsidRDefault="00335619" w:rsidP="00335619">
            <w:pPr>
              <w:jc w:val="right"/>
              <w:rPr>
                <w:color w:val="000000"/>
                <w:sz w:val="20"/>
                <w:szCs w:val="18"/>
              </w:rPr>
            </w:pPr>
            <w:r w:rsidRPr="0023367D">
              <w:rPr>
                <w:color w:val="000000"/>
                <w:sz w:val="20"/>
                <w:szCs w:val="19"/>
              </w:rPr>
              <w:t>71.5%</w:t>
            </w:r>
          </w:p>
        </w:tc>
      </w:tr>
      <w:tr w:rsidR="00335619" w:rsidRPr="0023367D" w14:paraId="7A606CC3" w14:textId="77777777" w:rsidTr="00576741">
        <w:trPr>
          <w:trHeight w:val="216"/>
          <w:jc w:val="center"/>
        </w:trPr>
        <w:tc>
          <w:tcPr>
            <w:tcW w:w="912" w:type="pct"/>
            <w:tcBorders>
              <w:right w:val="single" w:sz="12" w:space="0" w:color="auto"/>
            </w:tcBorders>
            <w:shd w:val="clear" w:color="auto" w:fill="auto"/>
            <w:noWrap/>
            <w:vAlign w:val="center"/>
          </w:tcPr>
          <w:p w14:paraId="28B37269"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1995</w:t>
            </w:r>
          </w:p>
        </w:tc>
        <w:tc>
          <w:tcPr>
            <w:tcW w:w="508" w:type="pct"/>
            <w:tcBorders>
              <w:left w:val="single" w:sz="12" w:space="0" w:color="auto"/>
            </w:tcBorders>
            <w:shd w:val="clear" w:color="auto" w:fill="auto"/>
            <w:noWrap/>
            <w:vAlign w:val="bottom"/>
          </w:tcPr>
          <w:p w14:paraId="0738EE28" w14:textId="77777777" w:rsidR="00335619" w:rsidRPr="0023367D" w:rsidRDefault="00335619" w:rsidP="00335619">
            <w:pPr>
              <w:jc w:val="right"/>
              <w:rPr>
                <w:color w:val="000000"/>
                <w:sz w:val="20"/>
                <w:szCs w:val="18"/>
              </w:rPr>
            </w:pPr>
            <w:r w:rsidRPr="0023367D">
              <w:rPr>
                <w:color w:val="000000"/>
                <w:sz w:val="20"/>
                <w:szCs w:val="18"/>
              </w:rPr>
              <w:t>527</w:t>
            </w:r>
          </w:p>
        </w:tc>
        <w:tc>
          <w:tcPr>
            <w:tcW w:w="549" w:type="pct"/>
            <w:vAlign w:val="bottom"/>
          </w:tcPr>
          <w:p w14:paraId="2E151700" w14:textId="77777777" w:rsidR="00335619" w:rsidRPr="0023367D" w:rsidRDefault="00335619" w:rsidP="00335619">
            <w:pPr>
              <w:jc w:val="right"/>
              <w:rPr>
                <w:color w:val="000000"/>
                <w:sz w:val="20"/>
                <w:szCs w:val="18"/>
              </w:rPr>
            </w:pPr>
            <w:r w:rsidRPr="0023367D">
              <w:rPr>
                <w:color w:val="000000"/>
                <w:sz w:val="20"/>
                <w:szCs w:val="18"/>
              </w:rPr>
              <w:t>55.9%</w:t>
            </w:r>
          </w:p>
        </w:tc>
        <w:tc>
          <w:tcPr>
            <w:tcW w:w="410" w:type="pct"/>
            <w:vAlign w:val="bottom"/>
          </w:tcPr>
          <w:p w14:paraId="7A2023C1" w14:textId="77777777" w:rsidR="00335619" w:rsidRPr="0023367D" w:rsidRDefault="00335619" w:rsidP="00335619">
            <w:pPr>
              <w:jc w:val="right"/>
              <w:rPr>
                <w:color w:val="000000"/>
                <w:sz w:val="20"/>
                <w:szCs w:val="18"/>
              </w:rPr>
            </w:pPr>
            <w:r w:rsidRPr="0023367D">
              <w:rPr>
                <w:color w:val="000000"/>
                <w:sz w:val="20"/>
                <w:szCs w:val="18"/>
              </w:rPr>
              <w:t>87</w:t>
            </w:r>
          </w:p>
        </w:tc>
        <w:tc>
          <w:tcPr>
            <w:tcW w:w="568" w:type="pct"/>
            <w:tcBorders>
              <w:right w:val="single" w:sz="12" w:space="0" w:color="auto"/>
            </w:tcBorders>
            <w:shd w:val="clear" w:color="auto" w:fill="auto"/>
            <w:vAlign w:val="bottom"/>
          </w:tcPr>
          <w:p w14:paraId="3E088B44" w14:textId="77777777" w:rsidR="00335619" w:rsidRPr="0023367D" w:rsidRDefault="00335619" w:rsidP="00335619">
            <w:pPr>
              <w:jc w:val="right"/>
              <w:rPr>
                <w:color w:val="000000"/>
                <w:sz w:val="20"/>
                <w:szCs w:val="18"/>
              </w:rPr>
            </w:pPr>
            <w:r w:rsidRPr="0023367D">
              <w:rPr>
                <w:color w:val="000000"/>
                <w:sz w:val="20"/>
                <w:szCs w:val="18"/>
              </w:rPr>
              <w:t>83.3%</w:t>
            </w:r>
          </w:p>
        </w:tc>
        <w:tc>
          <w:tcPr>
            <w:tcW w:w="462" w:type="pct"/>
            <w:tcBorders>
              <w:left w:val="single" w:sz="12" w:space="0" w:color="auto"/>
            </w:tcBorders>
          </w:tcPr>
          <w:p w14:paraId="68D375C2" w14:textId="77777777" w:rsidR="00335619" w:rsidRPr="0023367D" w:rsidRDefault="00335619" w:rsidP="00335619">
            <w:pPr>
              <w:jc w:val="right"/>
              <w:rPr>
                <w:color w:val="000000"/>
                <w:sz w:val="20"/>
                <w:szCs w:val="18"/>
              </w:rPr>
            </w:pPr>
            <w:r w:rsidRPr="0023367D">
              <w:rPr>
                <w:color w:val="000000"/>
                <w:sz w:val="20"/>
                <w:szCs w:val="19"/>
              </w:rPr>
              <w:t>513</w:t>
            </w:r>
          </w:p>
        </w:tc>
        <w:tc>
          <w:tcPr>
            <w:tcW w:w="565" w:type="pct"/>
            <w:vAlign w:val="bottom"/>
          </w:tcPr>
          <w:p w14:paraId="13598D50" w14:textId="77777777" w:rsidR="00335619" w:rsidRPr="0023367D" w:rsidRDefault="00335619" w:rsidP="00335619">
            <w:pPr>
              <w:jc w:val="right"/>
              <w:rPr>
                <w:color w:val="000000"/>
                <w:sz w:val="20"/>
                <w:szCs w:val="18"/>
              </w:rPr>
            </w:pPr>
            <w:r w:rsidRPr="0023367D">
              <w:rPr>
                <w:color w:val="000000"/>
                <w:sz w:val="20"/>
                <w:szCs w:val="19"/>
              </w:rPr>
              <w:t>64.0%</w:t>
            </w:r>
          </w:p>
        </w:tc>
        <w:tc>
          <w:tcPr>
            <w:tcW w:w="462" w:type="pct"/>
            <w:vAlign w:val="bottom"/>
          </w:tcPr>
          <w:p w14:paraId="6D8EF6DF" w14:textId="77777777" w:rsidR="00335619" w:rsidRPr="0023367D" w:rsidRDefault="00335619" w:rsidP="00335619">
            <w:pPr>
              <w:jc w:val="right"/>
              <w:rPr>
                <w:color w:val="000000"/>
                <w:sz w:val="20"/>
                <w:szCs w:val="18"/>
              </w:rPr>
            </w:pPr>
            <w:r w:rsidRPr="0023367D">
              <w:rPr>
                <w:color w:val="000000"/>
                <w:sz w:val="20"/>
                <w:szCs w:val="19"/>
              </w:rPr>
              <w:t>79</w:t>
            </w:r>
          </w:p>
        </w:tc>
        <w:tc>
          <w:tcPr>
            <w:tcW w:w="564" w:type="pct"/>
            <w:vAlign w:val="bottom"/>
          </w:tcPr>
          <w:p w14:paraId="20A1CDC9" w14:textId="77777777" w:rsidR="00335619" w:rsidRPr="0023367D" w:rsidRDefault="00335619" w:rsidP="00335619">
            <w:pPr>
              <w:jc w:val="right"/>
              <w:rPr>
                <w:color w:val="000000"/>
                <w:sz w:val="20"/>
                <w:szCs w:val="18"/>
              </w:rPr>
            </w:pPr>
            <w:r w:rsidRPr="0023367D">
              <w:rPr>
                <w:color w:val="000000"/>
                <w:sz w:val="20"/>
                <w:szCs w:val="19"/>
              </w:rPr>
              <w:t>78.8%</w:t>
            </w:r>
          </w:p>
        </w:tc>
      </w:tr>
      <w:tr w:rsidR="00335619" w:rsidRPr="0023367D" w14:paraId="3FFED932" w14:textId="77777777" w:rsidTr="00576741">
        <w:trPr>
          <w:trHeight w:val="216"/>
          <w:jc w:val="center"/>
        </w:trPr>
        <w:tc>
          <w:tcPr>
            <w:tcW w:w="912" w:type="pct"/>
            <w:tcBorders>
              <w:right w:val="single" w:sz="12" w:space="0" w:color="auto"/>
            </w:tcBorders>
            <w:shd w:val="clear" w:color="auto" w:fill="auto"/>
            <w:noWrap/>
            <w:vAlign w:val="center"/>
          </w:tcPr>
          <w:p w14:paraId="60395F63"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1996</w:t>
            </w:r>
          </w:p>
        </w:tc>
        <w:tc>
          <w:tcPr>
            <w:tcW w:w="508" w:type="pct"/>
            <w:tcBorders>
              <w:left w:val="single" w:sz="12" w:space="0" w:color="auto"/>
            </w:tcBorders>
            <w:shd w:val="clear" w:color="auto" w:fill="auto"/>
            <w:noWrap/>
            <w:vAlign w:val="bottom"/>
          </w:tcPr>
          <w:p w14:paraId="140D3E32" w14:textId="77777777" w:rsidR="00335619" w:rsidRPr="0023367D" w:rsidRDefault="00335619" w:rsidP="00335619">
            <w:pPr>
              <w:jc w:val="right"/>
              <w:rPr>
                <w:color w:val="000000"/>
                <w:sz w:val="20"/>
                <w:szCs w:val="18"/>
              </w:rPr>
            </w:pPr>
            <w:r w:rsidRPr="0023367D">
              <w:rPr>
                <w:color w:val="000000"/>
                <w:sz w:val="20"/>
                <w:szCs w:val="18"/>
              </w:rPr>
              <w:t>573</w:t>
            </w:r>
          </w:p>
        </w:tc>
        <w:tc>
          <w:tcPr>
            <w:tcW w:w="549" w:type="pct"/>
            <w:vAlign w:val="bottom"/>
          </w:tcPr>
          <w:p w14:paraId="5B17C6D9" w14:textId="77777777" w:rsidR="00335619" w:rsidRPr="0023367D" w:rsidRDefault="00335619" w:rsidP="00335619">
            <w:pPr>
              <w:jc w:val="right"/>
              <w:rPr>
                <w:color w:val="000000"/>
                <w:sz w:val="20"/>
                <w:szCs w:val="18"/>
              </w:rPr>
            </w:pPr>
            <w:r w:rsidRPr="0023367D">
              <w:rPr>
                <w:color w:val="000000"/>
                <w:sz w:val="20"/>
                <w:szCs w:val="18"/>
              </w:rPr>
              <w:t>50.1%</w:t>
            </w:r>
          </w:p>
        </w:tc>
        <w:tc>
          <w:tcPr>
            <w:tcW w:w="410" w:type="pct"/>
            <w:vAlign w:val="bottom"/>
          </w:tcPr>
          <w:p w14:paraId="3A3465FF" w14:textId="77777777" w:rsidR="00335619" w:rsidRPr="0023367D" w:rsidRDefault="00335619" w:rsidP="00335619">
            <w:pPr>
              <w:jc w:val="right"/>
              <w:rPr>
                <w:color w:val="000000"/>
                <w:sz w:val="20"/>
                <w:szCs w:val="18"/>
              </w:rPr>
            </w:pPr>
            <w:r w:rsidRPr="0023367D">
              <w:rPr>
                <w:color w:val="000000"/>
                <w:sz w:val="20"/>
                <w:szCs w:val="18"/>
              </w:rPr>
              <w:t>98</w:t>
            </w:r>
          </w:p>
        </w:tc>
        <w:tc>
          <w:tcPr>
            <w:tcW w:w="568" w:type="pct"/>
            <w:tcBorders>
              <w:right w:val="single" w:sz="12" w:space="0" w:color="auto"/>
            </w:tcBorders>
            <w:shd w:val="clear" w:color="auto" w:fill="auto"/>
            <w:vAlign w:val="bottom"/>
          </w:tcPr>
          <w:p w14:paraId="0739C873" w14:textId="77777777" w:rsidR="00335619" w:rsidRPr="0023367D" w:rsidRDefault="00335619" w:rsidP="00335619">
            <w:pPr>
              <w:jc w:val="right"/>
              <w:rPr>
                <w:color w:val="000000"/>
                <w:sz w:val="20"/>
                <w:szCs w:val="18"/>
              </w:rPr>
            </w:pPr>
            <w:r w:rsidRPr="0023367D">
              <w:rPr>
                <w:color w:val="000000"/>
                <w:sz w:val="20"/>
                <w:szCs w:val="18"/>
              </w:rPr>
              <w:t>78.2%</w:t>
            </w:r>
          </w:p>
        </w:tc>
        <w:tc>
          <w:tcPr>
            <w:tcW w:w="462" w:type="pct"/>
            <w:tcBorders>
              <w:left w:val="single" w:sz="12" w:space="0" w:color="auto"/>
            </w:tcBorders>
          </w:tcPr>
          <w:p w14:paraId="4ECB8AF7" w14:textId="77777777" w:rsidR="00335619" w:rsidRPr="0023367D" w:rsidRDefault="00335619" w:rsidP="00335619">
            <w:pPr>
              <w:jc w:val="right"/>
              <w:rPr>
                <w:color w:val="000000"/>
                <w:sz w:val="20"/>
                <w:szCs w:val="18"/>
              </w:rPr>
            </w:pPr>
            <w:r w:rsidRPr="0023367D">
              <w:rPr>
                <w:color w:val="000000"/>
                <w:sz w:val="20"/>
                <w:szCs w:val="19"/>
              </w:rPr>
              <w:t>557</w:t>
            </w:r>
          </w:p>
        </w:tc>
        <w:tc>
          <w:tcPr>
            <w:tcW w:w="565" w:type="pct"/>
            <w:vAlign w:val="bottom"/>
          </w:tcPr>
          <w:p w14:paraId="719EFF7E" w14:textId="77777777" w:rsidR="00335619" w:rsidRPr="0023367D" w:rsidRDefault="00335619" w:rsidP="00335619">
            <w:pPr>
              <w:jc w:val="right"/>
              <w:rPr>
                <w:color w:val="000000"/>
                <w:sz w:val="20"/>
                <w:szCs w:val="18"/>
              </w:rPr>
            </w:pPr>
            <w:r w:rsidRPr="0023367D">
              <w:rPr>
                <w:color w:val="000000"/>
                <w:sz w:val="20"/>
                <w:szCs w:val="19"/>
              </w:rPr>
              <w:t>63.7%</w:t>
            </w:r>
          </w:p>
        </w:tc>
        <w:tc>
          <w:tcPr>
            <w:tcW w:w="462" w:type="pct"/>
            <w:vAlign w:val="bottom"/>
          </w:tcPr>
          <w:p w14:paraId="7BBC75D6" w14:textId="77777777" w:rsidR="00335619" w:rsidRPr="0023367D" w:rsidRDefault="00335619" w:rsidP="00335619">
            <w:pPr>
              <w:jc w:val="right"/>
              <w:rPr>
                <w:color w:val="000000"/>
                <w:sz w:val="20"/>
                <w:szCs w:val="18"/>
              </w:rPr>
            </w:pPr>
            <w:r w:rsidRPr="0023367D">
              <w:rPr>
                <w:color w:val="000000"/>
                <w:sz w:val="20"/>
                <w:szCs w:val="19"/>
              </w:rPr>
              <w:t>95</w:t>
            </w:r>
          </w:p>
        </w:tc>
        <w:tc>
          <w:tcPr>
            <w:tcW w:w="564" w:type="pct"/>
            <w:vAlign w:val="bottom"/>
          </w:tcPr>
          <w:p w14:paraId="080196B2" w14:textId="77777777" w:rsidR="00335619" w:rsidRPr="0023367D" w:rsidRDefault="00335619" w:rsidP="00335619">
            <w:pPr>
              <w:jc w:val="right"/>
              <w:rPr>
                <w:color w:val="000000"/>
                <w:sz w:val="20"/>
                <w:szCs w:val="18"/>
              </w:rPr>
            </w:pPr>
            <w:r w:rsidRPr="0023367D">
              <w:rPr>
                <w:color w:val="000000"/>
                <w:sz w:val="20"/>
                <w:szCs w:val="19"/>
              </w:rPr>
              <w:t>64.2%</w:t>
            </w:r>
          </w:p>
        </w:tc>
      </w:tr>
      <w:tr w:rsidR="00335619" w:rsidRPr="0023367D" w14:paraId="0F2BA133" w14:textId="77777777" w:rsidTr="00576741">
        <w:trPr>
          <w:trHeight w:val="216"/>
          <w:jc w:val="center"/>
        </w:trPr>
        <w:tc>
          <w:tcPr>
            <w:tcW w:w="912" w:type="pct"/>
            <w:tcBorders>
              <w:right w:val="single" w:sz="12" w:space="0" w:color="auto"/>
            </w:tcBorders>
            <w:shd w:val="clear" w:color="auto" w:fill="auto"/>
            <w:noWrap/>
            <w:vAlign w:val="center"/>
          </w:tcPr>
          <w:p w14:paraId="2EDF2549"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1997</w:t>
            </w:r>
          </w:p>
        </w:tc>
        <w:tc>
          <w:tcPr>
            <w:tcW w:w="508" w:type="pct"/>
            <w:tcBorders>
              <w:left w:val="single" w:sz="12" w:space="0" w:color="auto"/>
            </w:tcBorders>
            <w:shd w:val="clear" w:color="auto" w:fill="auto"/>
            <w:noWrap/>
            <w:vAlign w:val="bottom"/>
          </w:tcPr>
          <w:p w14:paraId="41A63E5B" w14:textId="77777777" w:rsidR="00335619" w:rsidRPr="0023367D" w:rsidRDefault="00335619" w:rsidP="00335619">
            <w:pPr>
              <w:jc w:val="right"/>
              <w:rPr>
                <w:color w:val="000000"/>
                <w:sz w:val="20"/>
                <w:szCs w:val="18"/>
              </w:rPr>
            </w:pPr>
            <w:r w:rsidRPr="0023367D">
              <w:rPr>
                <w:color w:val="000000"/>
                <w:sz w:val="20"/>
                <w:szCs w:val="18"/>
              </w:rPr>
              <w:t>602</w:t>
            </w:r>
          </w:p>
        </w:tc>
        <w:tc>
          <w:tcPr>
            <w:tcW w:w="549" w:type="pct"/>
            <w:vAlign w:val="bottom"/>
          </w:tcPr>
          <w:p w14:paraId="21B304EC" w14:textId="77777777" w:rsidR="00335619" w:rsidRPr="0023367D" w:rsidRDefault="00335619" w:rsidP="00335619">
            <w:pPr>
              <w:jc w:val="right"/>
              <w:rPr>
                <w:color w:val="000000"/>
                <w:sz w:val="20"/>
                <w:szCs w:val="18"/>
              </w:rPr>
            </w:pPr>
            <w:r w:rsidRPr="0023367D">
              <w:rPr>
                <w:color w:val="000000"/>
                <w:sz w:val="20"/>
                <w:szCs w:val="18"/>
              </w:rPr>
              <w:t>49.1%</w:t>
            </w:r>
          </w:p>
        </w:tc>
        <w:tc>
          <w:tcPr>
            <w:tcW w:w="410" w:type="pct"/>
            <w:vAlign w:val="bottom"/>
          </w:tcPr>
          <w:p w14:paraId="6BD09FBB" w14:textId="77777777" w:rsidR="00335619" w:rsidRPr="0023367D" w:rsidRDefault="00335619" w:rsidP="00335619">
            <w:pPr>
              <w:jc w:val="right"/>
              <w:rPr>
                <w:color w:val="000000"/>
                <w:sz w:val="20"/>
                <w:szCs w:val="18"/>
              </w:rPr>
            </w:pPr>
            <w:r w:rsidRPr="0023367D">
              <w:rPr>
                <w:color w:val="000000"/>
                <w:sz w:val="20"/>
                <w:szCs w:val="18"/>
              </w:rPr>
              <w:t>122</w:t>
            </w:r>
          </w:p>
        </w:tc>
        <w:tc>
          <w:tcPr>
            <w:tcW w:w="568" w:type="pct"/>
            <w:tcBorders>
              <w:right w:val="single" w:sz="12" w:space="0" w:color="auto"/>
            </w:tcBorders>
            <w:shd w:val="clear" w:color="auto" w:fill="auto"/>
            <w:vAlign w:val="bottom"/>
          </w:tcPr>
          <w:p w14:paraId="3D8CCC82" w14:textId="77777777" w:rsidR="00335619" w:rsidRPr="0023367D" w:rsidRDefault="00335619" w:rsidP="00335619">
            <w:pPr>
              <w:jc w:val="right"/>
              <w:rPr>
                <w:color w:val="000000"/>
                <w:sz w:val="20"/>
                <w:szCs w:val="18"/>
              </w:rPr>
            </w:pPr>
            <w:r w:rsidRPr="0023367D">
              <w:rPr>
                <w:color w:val="000000"/>
                <w:sz w:val="20"/>
                <w:szCs w:val="18"/>
              </w:rPr>
              <w:t>77.7%</w:t>
            </w:r>
          </w:p>
        </w:tc>
        <w:tc>
          <w:tcPr>
            <w:tcW w:w="462" w:type="pct"/>
            <w:tcBorders>
              <w:left w:val="single" w:sz="12" w:space="0" w:color="auto"/>
            </w:tcBorders>
          </w:tcPr>
          <w:p w14:paraId="5D8E6F91" w14:textId="77777777" w:rsidR="00335619" w:rsidRPr="0023367D" w:rsidRDefault="00335619" w:rsidP="00335619">
            <w:pPr>
              <w:jc w:val="right"/>
              <w:rPr>
                <w:color w:val="000000"/>
                <w:sz w:val="20"/>
                <w:szCs w:val="18"/>
              </w:rPr>
            </w:pPr>
            <w:r w:rsidRPr="0023367D">
              <w:rPr>
                <w:color w:val="000000"/>
                <w:sz w:val="20"/>
                <w:szCs w:val="19"/>
              </w:rPr>
              <w:t>589</w:t>
            </w:r>
          </w:p>
        </w:tc>
        <w:tc>
          <w:tcPr>
            <w:tcW w:w="565" w:type="pct"/>
            <w:vAlign w:val="bottom"/>
          </w:tcPr>
          <w:p w14:paraId="3C5AED6F" w14:textId="77777777" w:rsidR="00335619" w:rsidRPr="0023367D" w:rsidRDefault="00335619" w:rsidP="00335619">
            <w:pPr>
              <w:jc w:val="right"/>
              <w:rPr>
                <w:color w:val="000000"/>
                <w:sz w:val="20"/>
                <w:szCs w:val="18"/>
              </w:rPr>
            </w:pPr>
            <w:r w:rsidRPr="0023367D">
              <w:rPr>
                <w:color w:val="000000"/>
                <w:sz w:val="20"/>
                <w:szCs w:val="19"/>
              </w:rPr>
              <w:t>65.6%</w:t>
            </w:r>
          </w:p>
        </w:tc>
        <w:tc>
          <w:tcPr>
            <w:tcW w:w="462" w:type="pct"/>
            <w:vAlign w:val="bottom"/>
          </w:tcPr>
          <w:p w14:paraId="07539A69" w14:textId="77777777" w:rsidR="00335619" w:rsidRPr="0023367D" w:rsidRDefault="00335619" w:rsidP="00335619">
            <w:pPr>
              <w:jc w:val="right"/>
              <w:rPr>
                <w:color w:val="000000"/>
                <w:sz w:val="20"/>
                <w:szCs w:val="18"/>
              </w:rPr>
            </w:pPr>
            <w:r w:rsidRPr="0023367D">
              <w:rPr>
                <w:color w:val="000000"/>
                <w:sz w:val="20"/>
                <w:szCs w:val="19"/>
              </w:rPr>
              <w:t>109</w:t>
            </w:r>
          </w:p>
        </w:tc>
        <w:tc>
          <w:tcPr>
            <w:tcW w:w="564" w:type="pct"/>
            <w:vAlign w:val="bottom"/>
          </w:tcPr>
          <w:p w14:paraId="2D5774E1" w14:textId="77777777" w:rsidR="00335619" w:rsidRPr="0023367D" w:rsidRDefault="00335619" w:rsidP="00335619">
            <w:pPr>
              <w:jc w:val="right"/>
              <w:rPr>
                <w:color w:val="000000"/>
                <w:sz w:val="20"/>
                <w:szCs w:val="18"/>
              </w:rPr>
            </w:pPr>
            <w:r w:rsidRPr="0023367D">
              <w:rPr>
                <w:color w:val="000000"/>
                <w:sz w:val="20"/>
                <w:szCs w:val="19"/>
              </w:rPr>
              <w:t>58.5%</w:t>
            </w:r>
          </w:p>
        </w:tc>
      </w:tr>
      <w:tr w:rsidR="00335619" w:rsidRPr="0023367D" w14:paraId="083DAEDF" w14:textId="77777777" w:rsidTr="00576741">
        <w:trPr>
          <w:trHeight w:val="216"/>
          <w:jc w:val="center"/>
        </w:trPr>
        <w:tc>
          <w:tcPr>
            <w:tcW w:w="912" w:type="pct"/>
            <w:tcBorders>
              <w:right w:val="single" w:sz="12" w:space="0" w:color="auto"/>
            </w:tcBorders>
            <w:shd w:val="clear" w:color="auto" w:fill="auto"/>
            <w:noWrap/>
            <w:vAlign w:val="center"/>
          </w:tcPr>
          <w:p w14:paraId="17D3E39E"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1998</w:t>
            </w:r>
          </w:p>
        </w:tc>
        <w:tc>
          <w:tcPr>
            <w:tcW w:w="508" w:type="pct"/>
            <w:tcBorders>
              <w:left w:val="single" w:sz="12" w:space="0" w:color="auto"/>
            </w:tcBorders>
            <w:shd w:val="clear" w:color="auto" w:fill="auto"/>
            <w:noWrap/>
            <w:vAlign w:val="bottom"/>
          </w:tcPr>
          <w:p w14:paraId="36CFDFD1" w14:textId="77777777" w:rsidR="00335619" w:rsidRPr="0023367D" w:rsidRDefault="00335619" w:rsidP="00335619">
            <w:pPr>
              <w:jc w:val="right"/>
              <w:rPr>
                <w:color w:val="000000"/>
                <w:sz w:val="20"/>
                <w:szCs w:val="18"/>
              </w:rPr>
            </w:pPr>
            <w:r w:rsidRPr="0023367D">
              <w:rPr>
                <w:color w:val="000000"/>
                <w:sz w:val="20"/>
                <w:szCs w:val="18"/>
              </w:rPr>
              <w:t>685</w:t>
            </w:r>
          </w:p>
        </w:tc>
        <w:tc>
          <w:tcPr>
            <w:tcW w:w="549" w:type="pct"/>
            <w:vAlign w:val="bottom"/>
          </w:tcPr>
          <w:p w14:paraId="5FCA3056" w14:textId="77777777" w:rsidR="00335619" w:rsidRPr="0023367D" w:rsidRDefault="00335619" w:rsidP="00335619">
            <w:pPr>
              <w:jc w:val="right"/>
              <w:rPr>
                <w:color w:val="000000"/>
                <w:sz w:val="20"/>
                <w:szCs w:val="18"/>
              </w:rPr>
            </w:pPr>
            <w:r w:rsidRPr="0023367D">
              <w:rPr>
                <w:color w:val="000000"/>
                <w:sz w:val="20"/>
                <w:szCs w:val="18"/>
              </w:rPr>
              <w:t>47.0%</w:t>
            </w:r>
          </w:p>
        </w:tc>
        <w:tc>
          <w:tcPr>
            <w:tcW w:w="410" w:type="pct"/>
            <w:vAlign w:val="bottom"/>
          </w:tcPr>
          <w:p w14:paraId="6AAD4428" w14:textId="77777777" w:rsidR="00335619" w:rsidRPr="0023367D" w:rsidRDefault="00335619" w:rsidP="00335619">
            <w:pPr>
              <w:jc w:val="right"/>
              <w:rPr>
                <w:color w:val="000000"/>
                <w:sz w:val="20"/>
                <w:szCs w:val="18"/>
              </w:rPr>
            </w:pPr>
            <w:r w:rsidRPr="0023367D">
              <w:rPr>
                <w:color w:val="000000"/>
                <w:sz w:val="20"/>
                <w:szCs w:val="18"/>
              </w:rPr>
              <w:t>178</w:t>
            </w:r>
          </w:p>
        </w:tc>
        <w:tc>
          <w:tcPr>
            <w:tcW w:w="568" w:type="pct"/>
            <w:tcBorders>
              <w:right w:val="single" w:sz="12" w:space="0" w:color="auto"/>
            </w:tcBorders>
            <w:shd w:val="clear" w:color="auto" w:fill="auto"/>
            <w:vAlign w:val="bottom"/>
          </w:tcPr>
          <w:p w14:paraId="141CA879" w14:textId="77777777" w:rsidR="00335619" w:rsidRPr="0023367D" w:rsidRDefault="00335619" w:rsidP="00335619">
            <w:pPr>
              <w:jc w:val="right"/>
              <w:rPr>
                <w:color w:val="000000"/>
                <w:sz w:val="20"/>
                <w:szCs w:val="18"/>
              </w:rPr>
            </w:pPr>
            <w:r w:rsidRPr="0023367D">
              <w:rPr>
                <w:color w:val="000000"/>
                <w:sz w:val="20"/>
                <w:szCs w:val="18"/>
              </w:rPr>
              <w:t>66.0%</w:t>
            </w:r>
          </w:p>
        </w:tc>
        <w:tc>
          <w:tcPr>
            <w:tcW w:w="462" w:type="pct"/>
            <w:tcBorders>
              <w:left w:val="single" w:sz="12" w:space="0" w:color="auto"/>
            </w:tcBorders>
          </w:tcPr>
          <w:p w14:paraId="2A77D9B0" w14:textId="77777777" w:rsidR="00335619" w:rsidRPr="0023367D" w:rsidRDefault="00335619" w:rsidP="00335619">
            <w:pPr>
              <w:jc w:val="right"/>
              <w:rPr>
                <w:color w:val="000000"/>
                <w:sz w:val="20"/>
                <w:szCs w:val="18"/>
              </w:rPr>
            </w:pPr>
            <w:r w:rsidRPr="0023367D">
              <w:rPr>
                <w:color w:val="000000"/>
                <w:sz w:val="20"/>
                <w:szCs w:val="19"/>
              </w:rPr>
              <w:t>668</w:t>
            </w:r>
          </w:p>
        </w:tc>
        <w:tc>
          <w:tcPr>
            <w:tcW w:w="565" w:type="pct"/>
            <w:vAlign w:val="bottom"/>
          </w:tcPr>
          <w:p w14:paraId="52E70376" w14:textId="77777777" w:rsidR="00335619" w:rsidRPr="0023367D" w:rsidRDefault="00335619" w:rsidP="00335619">
            <w:pPr>
              <w:jc w:val="right"/>
              <w:rPr>
                <w:color w:val="000000"/>
                <w:sz w:val="20"/>
                <w:szCs w:val="18"/>
              </w:rPr>
            </w:pPr>
            <w:r w:rsidRPr="0023367D">
              <w:rPr>
                <w:color w:val="000000"/>
                <w:sz w:val="20"/>
                <w:szCs w:val="19"/>
              </w:rPr>
              <w:t>56.2%</w:t>
            </w:r>
          </w:p>
        </w:tc>
        <w:tc>
          <w:tcPr>
            <w:tcW w:w="462" w:type="pct"/>
            <w:vAlign w:val="bottom"/>
          </w:tcPr>
          <w:p w14:paraId="037CAD7F" w14:textId="77777777" w:rsidR="00335619" w:rsidRPr="0023367D" w:rsidRDefault="00335619" w:rsidP="00335619">
            <w:pPr>
              <w:jc w:val="right"/>
              <w:rPr>
                <w:color w:val="000000"/>
                <w:sz w:val="20"/>
                <w:szCs w:val="18"/>
              </w:rPr>
            </w:pPr>
            <w:r w:rsidRPr="0023367D">
              <w:rPr>
                <w:color w:val="000000"/>
                <w:sz w:val="20"/>
                <w:szCs w:val="19"/>
              </w:rPr>
              <w:t>172</w:t>
            </w:r>
          </w:p>
        </w:tc>
        <w:tc>
          <w:tcPr>
            <w:tcW w:w="564" w:type="pct"/>
            <w:vAlign w:val="bottom"/>
          </w:tcPr>
          <w:p w14:paraId="61189CA1" w14:textId="77777777" w:rsidR="00335619" w:rsidRPr="0023367D" w:rsidRDefault="00335619" w:rsidP="00335619">
            <w:pPr>
              <w:jc w:val="right"/>
              <w:rPr>
                <w:color w:val="000000"/>
                <w:sz w:val="20"/>
                <w:szCs w:val="18"/>
              </w:rPr>
            </w:pPr>
            <w:r w:rsidRPr="0023367D">
              <w:rPr>
                <w:color w:val="000000"/>
                <w:sz w:val="20"/>
                <w:szCs w:val="19"/>
              </w:rPr>
              <w:t>49.6%</w:t>
            </w:r>
          </w:p>
        </w:tc>
      </w:tr>
      <w:tr w:rsidR="00335619" w:rsidRPr="0023367D" w14:paraId="058BE1FE" w14:textId="77777777" w:rsidTr="00576741">
        <w:trPr>
          <w:trHeight w:val="216"/>
          <w:jc w:val="center"/>
        </w:trPr>
        <w:tc>
          <w:tcPr>
            <w:tcW w:w="912" w:type="pct"/>
            <w:tcBorders>
              <w:right w:val="single" w:sz="12" w:space="0" w:color="auto"/>
            </w:tcBorders>
            <w:shd w:val="clear" w:color="auto" w:fill="auto"/>
            <w:noWrap/>
            <w:vAlign w:val="center"/>
          </w:tcPr>
          <w:p w14:paraId="416A6772"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1999</w:t>
            </w:r>
          </w:p>
        </w:tc>
        <w:tc>
          <w:tcPr>
            <w:tcW w:w="508" w:type="pct"/>
            <w:tcBorders>
              <w:left w:val="single" w:sz="12" w:space="0" w:color="auto"/>
            </w:tcBorders>
            <w:shd w:val="clear" w:color="auto" w:fill="auto"/>
            <w:noWrap/>
            <w:vAlign w:val="bottom"/>
          </w:tcPr>
          <w:p w14:paraId="2A0F505D" w14:textId="77777777" w:rsidR="00335619" w:rsidRPr="0023367D" w:rsidRDefault="00335619" w:rsidP="00335619">
            <w:pPr>
              <w:jc w:val="right"/>
              <w:rPr>
                <w:color w:val="000000"/>
                <w:sz w:val="20"/>
                <w:szCs w:val="18"/>
              </w:rPr>
            </w:pPr>
            <w:r w:rsidRPr="0023367D">
              <w:rPr>
                <w:color w:val="000000"/>
                <w:sz w:val="20"/>
                <w:szCs w:val="18"/>
              </w:rPr>
              <w:t>744</w:t>
            </w:r>
          </w:p>
        </w:tc>
        <w:tc>
          <w:tcPr>
            <w:tcW w:w="549" w:type="pct"/>
            <w:vAlign w:val="bottom"/>
          </w:tcPr>
          <w:p w14:paraId="288AD25C" w14:textId="77777777" w:rsidR="00335619" w:rsidRPr="0023367D" w:rsidRDefault="00335619" w:rsidP="00335619">
            <w:pPr>
              <w:jc w:val="right"/>
              <w:rPr>
                <w:color w:val="000000"/>
                <w:sz w:val="20"/>
                <w:szCs w:val="18"/>
              </w:rPr>
            </w:pPr>
            <w:r w:rsidRPr="0023367D">
              <w:rPr>
                <w:color w:val="000000"/>
                <w:sz w:val="20"/>
                <w:szCs w:val="18"/>
              </w:rPr>
              <w:t>47.0%</w:t>
            </w:r>
          </w:p>
        </w:tc>
        <w:tc>
          <w:tcPr>
            <w:tcW w:w="410" w:type="pct"/>
            <w:vAlign w:val="bottom"/>
          </w:tcPr>
          <w:p w14:paraId="70B4CD57" w14:textId="77777777" w:rsidR="00335619" w:rsidRPr="0023367D" w:rsidRDefault="00335619" w:rsidP="00335619">
            <w:pPr>
              <w:jc w:val="right"/>
              <w:rPr>
                <w:color w:val="000000"/>
                <w:sz w:val="20"/>
                <w:szCs w:val="18"/>
              </w:rPr>
            </w:pPr>
            <w:r w:rsidRPr="0023367D">
              <w:rPr>
                <w:color w:val="000000"/>
                <w:sz w:val="20"/>
                <w:szCs w:val="18"/>
              </w:rPr>
              <w:t>251</w:t>
            </w:r>
          </w:p>
        </w:tc>
        <w:tc>
          <w:tcPr>
            <w:tcW w:w="568" w:type="pct"/>
            <w:tcBorders>
              <w:right w:val="single" w:sz="12" w:space="0" w:color="auto"/>
            </w:tcBorders>
            <w:shd w:val="clear" w:color="auto" w:fill="auto"/>
            <w:vAlign w:val="bottom"/>
          </w:tcPr>
          <w:p w14:paraId="63366C1A" w14:textId="77777777" w:rsidR="00335619" w:rsidRPr="0023367D" w:rsidRDefault="00335619" w:rsidP="00335619">
            <w:pPr>
              <w:jc w:val="right"/>
              <w:rPr>
                <w:color w:val="000000"/>
                <w:sz w:val="20"/>
                <w:szCs w:val="18"/>
              </w:rPr>
            </w:pPr>
            <w:r w:rsidRPr="0023367D">
              <w:rPr>
                <w:color w:val="000000"/>
                <w:sz w:val="20"/>
                <w:szCs w:val="18"/>
              </w:rPr>
              <w:t>62.3%</w:t>
            </w:r>
          </w:p>
        </w:tc>
        <w:tc>
          <w:tcPr>
            <w:tcW w:w="462" w:type="pct"/>
            <w:tcBorders>
              <w:left w:val="single" w:sz="12" w:space="0" w:color="auto"/>
            </w:tcBorders>
          </w:tcPr>
          <w:p w14:paraId="39DE180F" w14:textId="77777777" w:rsidR="00335619" w:rsidRPr="0023367D" w:rsidRDefault="00335619" w:rsidP="00335619">
            <w:pPr>
              <w:jc w:val="right"/>
              <w:rPr>
                <w:color w:val="000000"/>
                <w:sz w:val="20"/>
                <w:szCs w:val="18"/>
              </w:rPr>
            </w:pPr>
            <w:r w:rsidRPr="0023367D">
              <w:rPr>
                <w:color w:val="000000"/>
                <w:sz w:val="20"/>
                <w:szCs w:val="19"/>
              </w:rPr>
              <w:t>720</w:t>
            </w:r>
          </w:p>
        </w:tc>
        <w:tc>
          <w:tcPr>
            <w:tcW w:w="565" w:type="pct"/>
            <w:vAlign w:val="bottom"/>
          </w:tcPr>
          <w:p w14:paraId="184DBF88" w14:textId="77777777" w:rsidR="00335619" w:rsidRPr="0023367D" w:rsidRDefault="00335619" w:rsidP="00335619">
            <w:pPr>
              <w:jc w:val="right"/>
              <w:rPr>
                <w:color w:val="000000"/>
                <w:sz w:val="20"/>
                <w:szCs w:val="18"/>
              </w:rPr>
            </w:pPr>
            <w:r w:rsidRPr="0023367D">
              <w:rPr>
                <w:color w:val="000000"/>
                <w:sz w:val="20"/>
                <w:szCs w:val="19"/>
              </w:rPr>
              <w:t>48.9%</w:t>
            </w:r>
          </w:p>
        </w:tc>
        <w:tc>
          <w:tcPr>
            <w:tcW w:w="462" w:type="pct"/>
            <w:vAlign w:val="bottom"/>
          </w:tcPr>
          <w:p w14:paraId="79B99434" w14:textId="77777777" w:rsidR="00335619" w:rsidRPr="0023367D" w:rsidRDefault="00335619" w:rsidP="00335619">
            <w:pPr>
              <w:jc w:val="right"/>
              <w:rPr>
                <w:color w:val="000000"/>
                <w:sz w:val="20"/>
                <w:szCs w:val="18"/>
              </w:rPr>
            </w:pPr>
            <w:r w:rsidRPr="0023367D">
              <w:rPr>
                <w:color w:val="000000"/>
                <w:sz w:val="20"/>
                <w:szCs w:val="19"/>
              </w:rPr>
              <w:t>239</w:t>
            </w:r>
          </w:p>
        </w:tc>
        <w:tc>
          <w:tcPr>
            <w:tcW w:w="564" w:type="pct"/>
            <w:vAlign w:val="bottom"/>
          </w:tcPr>
          <w:p w14:paraId="5F7779E3" w14:textId="77777777" w:rsidR="00335619" w:rsidRPr="0023367D" w:rsidRDefault="00335619" w:rsidP="00335619">
            <w:pPr>
              <w:jc w:val="right"/>
              <w:rPr>
                <w:color w:val="000000"/>
                <w:sz w:val="20"/>
                <w:szCs w:val="18"/>
              </w:rPr>
            </w:pPr>
            <w:r w:rsidRPr="0023367D">
              <w:rPr>
                <w:color w:val="000000"/>
                <w:sz w:val="20"/>
                <w:szCs w:val="19"/>
              </w:rPr>
              <w:t>37.9%</w:t>
            </w:r>
          </w:p>
        </w:tc>
      </w:tr>
      <w:tr w:rsidR="00335619" w:rsidRPr="0023367D" w14:paraId="1830252F" w14:textId="77777777" w:rsidTr="00576741">
        <w:trPr>
          <w:trHeight w:val="216"/>
          <w:jc w:val="center"/>
        </w:trPr>
        <w:tc>
          <w:tcPr>
            <w:tcW w:w="912" w:type="pct"/>
            <w:tcBorders>
              <w:right w:val="single" w:sz="12" w:space="0" w:color="auto"/>
            </w:tcBorders>
            <w:shd w:val="clear" w:color="auto" w:fill="auto"/>
            <w:noWrap/>
            <w:vAlign w:val="center"/>
          </w:tcPr>
          <w:p w14:paraId="62698FA8"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2000</w:t>
            </w:r>
          </w:p>
        </w:tc>
        <w:tc>
          <w:tcPr>
            <w:tcW w:w="508" w:type="pct"/>
            <w:tcBorders>
              <w:left w:val="single" w:sz="12" w:space="0" w:color="auto"/>
            </w:tcBorders>
            <w:shd w:val="clear" w:color="auto" w:fill="auto"/>
            <w:noWrap/>
            <w:vAlign w:val="bottom"/>
          </w:tcPr>
          <w:p w14:paraId="06B91DB1" w14:textId="77777777" w:rsidR="00335619" w:rsidRPr="0023367D" w:rsidRDefault="00335619" w:rsidP="00335619">
            <w:pPr>
              <w:jc w:val="right"/>
              <w:rPr>
                <w:color w:val="000000"/>
                <w:sz w:val="20"/>
                <w:szCs w:val="18"/>
              </w:rPr>
            </w:pPr>
            <w:r w:rsidRPr="0023367D">
              <w:rPr>
                <w:color w:val="000000"/>
                <w:sz w:val="20"/>
                <w:szCs w:val="18"/>
              </w:rPr>
              <w:t>759</w:t>
            </w:r>
          </w:p>
        </w:tc>
        <w:tc>
          <w:tcPr>
            <w:tcW w:w="549" w:type="pct"/>
            <w:vAlign w:val="bottom"/>
          </w:tcPr>
          <w:p w14:paraId="06B4B3DF" w14:textId="77777777" w:rsidR="00335619" w:rsidRPr="0023367D" w:rsidRDefault="00335619" w:rsidP="00335619">
            <w:pPr>
              <w:jc w:val="right"/>
              <w:rPr>
                <w:color w:val="000000"/>
                <w:sz w:val="20"/>
                <w:szCs w:val="18"/>
              </w:rPr>
            </w:pPr>
            <w:r w:rsidRPr="0023367D">
              <w:rPr>
                <w:color w:val="000000"/>
                <w:sz w:val="20"/>
                <w:szCs w:val="18"/>
              </w:rPr>
              <w:t>49.3%</w:t>
            </w:r>
          </w:p>
        </w:tc>
        <w:tc>
          <w:tcPr>
            <w:tcW w:w="410" w:type="pct"/>
            <w:vAlign w:val="bottom"/>
          </w:tcPr>
          <w:p w14:paraId="5D6517B3" w14:textId="77777777" w:rsidR="00335619" w:rsidRPr="0023367D" w:rsidRDefault="00335619" w:rsidP="00335619">
            <w:pPr>
              <w:jc w:val="right"/>
              <w:rPr>
                <w:color w:val="000000"/>
                <w:sz w:val="20"/>
                <w:szCs w:val="18"/>
              </w:rPr>
            </w:pPr>
            <w:r w:rsidRPr="0023367D">
              <w:rPr>
                <w:color w:val="000000"/>
                <w:sz w:val="20"/>
                <w:szCs w:val="18"/>
              </w:rPr>
              <w:t>234</w:t>
            </w:r>
          </w:p>
        </w:tc>
        <w:tc>
          <w:tcPr>
            <w:tcW w:w="568" w:type="pct"/>
            <w:tcBorders>
              <w:right w:val="single" w:sz="12" w:space="0" w:color="auto"/>
            </w:tcBorders>
            <w:shd w:val="clear" w:color="auto" w:fill="auto"/>
            <w:vAlign w:val="bottom"/>
          </w:tcPr>
          <w:p w14:paraId="0A4B15E2" w14:textId="77777777" w:rsidR="00335619" w:rsidRPr="0023367D" w:rsidRDefault="00335619" w:rsidP="00335619">
            <w:pPr>
              <w:jc w:val="right"/>
              <w:rPr>
                <w:color w:val="000000"/>
                <w:sz w:val="20"/>
                <w:szCs w:val="18"/>
              </w:rPr>
            </w:pPr>
            <w:r w:rsidRPr="0023367D">
              <w:rPr>
                <w:color w:val="000000"/>
                <w:sz w:val="20"/>
                <w:szCs w:val="18"/>
              </w:rPr>
              <w:t>53.8%</w:t>
            </w:r>
          </w:p>
        </w:tc>
        <w:tc>
          <w:tcPr>
            <w:tcW w:w="462" w:type="pct"/>
            <w:tcBorders>
              <w:left w:val="single" w:sz="12" w:space="0" w:color="auto"/>
            </w:tcBorders>
          </w:tcPr>
          <w:p w14:paraId="7D932922" w14:textId="77777777" w:rsidR="00335619" w:rsidRPr="0023367D" w:rsidRDefault="00335619" w:rsidP="00335619">
            <w:pPr>
              <w:jc w:val="right"/>
              <w:rPr>
                <w:color w:val="000000"/>
                <w:sz w:val="20"/>
                <w:szCs w:val="18"/>
              </w:rPr>
            </w:pPr>
            <w:r w:rsidRPr="0023367D">
              <w:rPr>
                <w:color w:val="000000"/>
                <w:sz w:val="20"/>
                <w:szCs w:val="19"/>
              </w:rPr>
              <w:t>742</w:t>
            </w:r>
          </w:p>
        </w:tc>
        <w:tc>
          <w:tcPr>
            <w:tcW w:w="565" w:type="pct"/>
            <w:vAlign w:val="bottom"/>
          </w:tcPr>
          <w:p w14:paraId="119DF9BC" w14:textId="77777777" w:rsidR="00335619" w:rsidRPr="0023367D" w:rsidRDefault="00335619" w:rsidP="00335619">
            <w:pPr>
              <w:jc w:val="right"/>
              <w:rPr>
                <w:color w:val="000000"/>
                <w:sz w:val="20"/>
                <w:szCs w:val="18"/>
              </w:rPr>
            </w:pPr>
            <w:r w:rsidRPr="0023367D">
              <w:rPr>
                <w:color w:val="000000"/>
                <w:sz w:val="20"/>
                <w:szCs w:val="19"/>
              </w:rPr>
              <w:t>38.5%</w:t>
            </w:r>
          </w:p>
        </w:tc>
        <w:tc>
          <w:tcPr>
            <w:tcW w:w="462" w:type="pct"/>
            <w:vAlign w:val="bottom"/>
          </w:tcPr>
          <w:p w14:paraId="748268DA" w14:textId="77777777" w:rsidR="00335619" w:rsidRPr="0023367D" w:rsidRDefault="00335619" w:rsidP="00335619">
            <w:pPr>
              <w:jc w:val="right"/>
              <w:rPr>
                <w:color w:val="000000"/>
                <w:sz w:val="20"/>
                <w:szCs w:val="18"/>
              </w:rPr>
            </w:pPr>
            <w:r w:rsidRPr="0023367D">
              <w:rPr>
                <w:color w:val="000000"/>
                <w:sz w:val="20"/>
                <w:szCs w:val="19"/>
              </w:rPr>
              <w:t>230</w:t>
            </w:r>
          </w:p>
        </w:tc>
        <w:tc>
          <w:tcPr>
            <w:tcW w:w="564" w:type="pct"/>
            <w:vAlign w:val="bottom"/>
          </w:tcPr>
          <w:p w14:paraId="49FD5EF1" w14:textId="77777777" w:rsidR="00335619" w:rsidRPr="0023367D" w:rsidRDefault="00335619" w:rsidP="00335619">
            <w:pPr>
              <w:jc w:val="right"/>
              <w:rPr>
                <w:color w:val="000000"/>
                <w:sz w:val="20"/>
                <w:szCs w:val="18"/>
              </w:rPr>
            </w:pPr>
            <w:r w:rsidRPr="0023367D">
              <w:rPr>
                <w:color w:val="000000"/>
                <w:sz w:val="20"/>
                <w:szCs w:val="19"/>
              </w:rPr>
              <w:t>32.3%</w:t>
            </w:r>
          </w:p>
        </w:tc>
      </w:tr>
      <w:tr w:rsidR="00335619" w:rsidRPr="0023367D" w14:paraId="50816DA4" w14:textId="77777777" w:rsidTr="00576741">
        <w:trPr>
          <w:trHeight w:val="216"/>
          <w:jc w:val="center"/>
        </w:trPr>
        <w:tc>
          <w:tcPr>
            <w:tcW w:w="912" w:type="pct"/>
            <w:tcBorders>
              <w:right w:val="single" w:sz="12" w:space="0" w:color="auto"/>
            </w:tcBorders>
            <w:shd w:val="clear" w:color="auto" w:fill="auto"/>
            <w:noWrap/>
            <w:vAlign w:val="center"/>
          </w:tcPr>
          <w:p w14:paraId="0A0F498E"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2001</w:t>
            </w:r>
          </w:p>
        </w:tc>
        <w:tc>
          <w:tcPr>
            <w:tcW w:w="508" w:type="pct"/>
            <w:tcBorders>
              <w:left w:val="single" w:sz="12" w:space="0" w:color="auto"/>
            </w:tcBorders>
            <w:shd w:val="clear" w:color="auto" w:fill="auto"/>
            <w:noWrap/>
            <w:vAlign w:val="bottom"/>
          </w:tcPr>
          <w:p w14:paraId="07857906" w14:textId="77777777" w:rsidR="00335619" w:rsidRPr="0023367D" w:rsidRDefault="00335619" w:rsidP="00335619">
            <w:pPr>
              <w:jc w:val="right"/>
              <w:rPr>
                <w:color w:val="000000"/>
                <w:sz w:val="20"/>
                <w:szCs w:val="18"/>
              </w:rPr>
            </w:pPr>
            <w:r w:rsidRPr="0023367D">
              <w:rPr>
                <w:color w:val="000000"/>
                <w:sz w:val="20"/>
                <w:szCs w:val="18"/>
              </w:rPr>
              <w:t>730</w:t>
            </w:r>
          </w:p>
        </w:tc>
        <w:tc>
          <w:tcPr>
            <w:tcW w:w="549" w:type="pct"/>
            <w:vAlign w:val="bottom"/>
          </w:tcPr>
          <w:p w14:paraId="268083A5" w14:textId="77777777" w:rsidR="00335619" w:rsidRPr="0023367D" w:rsidRDefault="00335619" w:rsidP="00335619">
            <w:pPr>
              <w:jc w:val="right"/>
              <w:rPr>
                <w:color w:val="000000"/>
                <w:sz w:val="20"/>
                <w:szCs w:val="18"/>
              </w:rPr>
            </w:pPr>
            <w:r w:rsidRPr="0023367D">
              <w:rPr>
                <w:color w:val="000000"/>
                <w:sz w:val="20"/>
                <w:szCs w:val="18"/>
              </w:rPr>
              <w:t>55.0%</w:t>
            </w:r>
          </w:p>
        </w:tc>
        <w:tc>
          <w:tcPr>
            <w:tcW w:w="410" w:type="pct"/>
            <w:vAlign w:val="bottom"/>
          </w:tcPr>
          <w:p w14:paraId="2B4707B7" w14:textId="77777777" w:rsidR="00335619" w:rsidRPr="0023367D" w:rsidRDefault="00335619" w:rsidP="00335619">
            <w:pPr>
              <w:jc w:val="right"/>
              <w:rPr>
                <w:color w:val="000000"/>
                <w:sz w:val="20"/>
                <w:szCs w:val="18"/>
              </w:rPr>
            </w:pPr>
            <w:r w:rsidRPr="0023367D">
              <w:rPr>
                <w:color w:val="000000"/>
                <w:sz w:val="20"/>
                <w:szCs w:val="18"/>
              </w:rPr>
              <w:t>222</w:t>
            </w:r>
          </w:p>
        </w:tc>
        <w:tc>
          <w:tcPr>
            <w:tcW w:w="568" w:type="pct"/>
            <w:tcBorders>
              <w:right w:val="single" w:sz="12" w:space="0" w:color="auto"/>
            </w:tcBorders>
            <w:shd w:val="clear" w:color="auto" w:fill="auto"/>
            <w:vAlign w:val="bottom"/>
          </w:tcPr>
          <w:p w14:paraId="5EFFC8DA" w14:textId="77777777" w:rsidR="00335619" w:rsidRPr="0023367D" w:rsidRDefault="00335619" w:rsidP="00335619">
            <w:pPr>
              <w:jc w:val="right"/>
              <w:rPr>
                <w:color w:val="000000"/>
                <w:sz w:val="20"/>
                <w:szCs w:val="18"/>
              </w:rPr>
            </w:pPr>
            <w:r w:rsidRPr="0023367D">
              <w:rPr>
                <w:color w:val="000000"/>
                <w:sz w:val="20"/>
                <w:szCs w:val="18"/>
              </w:rPr>
              <w:t>56.5%</w:t>
            </w:r>
          </w:p>
        </w:tc>
        <w:tc>
          <w:tcPr>
            <w:tcW w:w="462" w:type="pct"/>
            <w:tcBorders>
              <w:left w:val="single" w:sz="12" w:space="0" w:color="auto"/>
            </w:tcBorders>
          </w:tcPr>
          <w:p w14:paraId="15C93714" w14:textId="77777777" w:rsidR="00335619" w:rsidRPr="0023367D" w:rsidRDefault="00335619" w:rsidP="00335619">
            <w:pPr>
              <w:jc w:val="right"/>
              <w:rPr>
                <w:color w:val="000000"/>
                <w:sz w:val="20"/>
                <w:szCs w:val="18"/>
              </w:rPr>
            </w:pPr>
            <w:r w:rsidRPr="0023367D">
              <w:rPr>
                <w:color w:val="000000"/>
                <w:sz w:val="20"/>
                <w:szCs w:val="19"/>
              </w:rPr>
              <w:t>718</w:t>
            </w:r>
          </w:p>
        </w:tc>
        <w:tc>
          <w:tcPr>
            <w:tcW w:w="565" w:type="pct"/>
            <w:vAlign w:val="bottom"/>
          </w:tcPr>
          <w:p w14:paraId="6352B29C" w14:textId="77777777" w:rsidR="00335619" w:rsidRPr="0023367D" w:rsidRDefault="00335619" w:rsidP="00335619">
            <w:pPr>
              <w:jc w:val="right"/>
              <w:rPr>
                <w:color w:val="000000"/>
                <w:sz w:val="20"/>
                <w:szCs w:val="18"/>
              </w:rPr>
            </w:pPr>
            <w:r w:rsidRPr="0023367D">
              <w:rPr>
                <w:color w:val="000000"/>
                <w:sz w:val="20"/>
                <w:szCs w:val="19"/>
              </w:rPr>
              <w:t>39.6%</w:t>
            </w:r>
          </w:p>
        </w:tc>
        <w:tc>
          <w:tcPr>
            <w:tcW w:w="462" w:type="pct"/>
            <w:vAlign w:val="bottom"/>
          </w:tcPr>
          <w:p w14:paraId="769AFB49" w14:textId="77777777" w:rsidR="00335619" w:rsidRPr="0023367D" w:rsidRDefault="00335619" w:rsidP="00335619">
            <w:pPr>
              <w:jc w:val="right"/>
              <w:rPr>
                <w:color w:val="000000"/>
                <w:sz w:val="20"/>
                <w:szCs w:val="18"/>
              </w:rPr>
            </w:pPr>
            <w:r w:rsidRPr="0023367D">
              <w:rPr>
                <w:color w:val="000000"/>
                <w:sz w:val="20"/>
                <w:szCs w:val="19"/>
              </w:rPr>
              <w:t>218</w:t>
            </w:r>
          </w:p>
        </w:tc>
        <w:tc>
          <w:tcPr>
            <w:tcW w:w="564" w:type="pct"/>
            <w:vAlign w:val="bottom"/>
          </w:tcPr>
          <w:p w14:paraId="32A71FF3" w14:textId="77777777" w:rsidR="00335619" w:rsidRPr="0023367D" w:rsidRDefault="00335619" w:rsidP="00335619">
            <w:pPr>
              <w:jc w:val="right"/>
              <w:rPr>
                <w:color w:val="000000"/>
                <w:sz w:val="20"/>
                <w:szCs w:val="18"/>
              </w:rPr>
            </w:pPr>
            <w:r w:rsidRPr="0023367D">
              <w:rPr>
                <w:color w:val="000000"/>
                <w:sz w:val="20"/>
                <w:szCs w:val="19"/>
              </w:rPr>
              <w:t>39.2%</w:t>
            </w:r>
          </w:p>
        </w:tc>
      </w:tr>
      <w:tr w:rsidR="00335619" w:rsidRPr="0023367D" w14:paraId="3FAA1454" w14:textId="77777777" w:rsidTr="00576741">
        <w:trPr>
          <w:trHeight w:val="216"/>
          <w:jc w:val="center"/>
        </w:trPr>
        <w:tc>
          <w:tcPr>
            <w:tcW w:w="912" w:type="pct"/>
            <w:tcBorders>
              <w:right w:val="single" w:sz="12" w:space="0" w:color="auto"/>
            </w:tcBorders>
            <w:shd w:val="clear" w:color="auto" w:fill="auto"/>
            <w:noWrap/>
            <w:vAlign w:val="center"/>
          </w:tcPr>
          <w:p w14:paraId="1058078B"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2002</w:t>
            </w:r>
          </w:p>
        </w:tc>
        <w:tc>
          <w:tcPr>
            <w:tcW w:w="508" w:type="pct"/>
            <w:tcBorders>
              <w:left w:val="single" w:sz="12" w:space="0" w:color="auto"/>
            </w:tcBorders>
            <w:shd w:val="clear" w:color="auto" w:fill="auto"/>
            <w:noWrap/>
            <w:vAlign w:val="bottom"/>
          </w:tcPr>
          <w:p w14:paraId="1C26269B" w14:textId="77777777" w:rsidR="00335619" w:rsidRPr="0023367D" w:rsidRDefault="00335619" w:rsidP="00335619">
            <w:pPr>
              <w:jc w:val="right"/>
              <w:rPr>
                <w:color w:val="000000"/>
                <w:sz w:val="20"/>
                <w:szCs w:val="18"/>
              </w:rPr>
            </w:pPr>
            <w:r w:rsidRPr="0023367D">
              <w:rPr>
                <w:color w:val="000000"/>
                <w:sz w:val="20"/>
                <w:szCs w:val="18"/>
              </w:rPr>
              <w:t>773</w:t>
            </w:r>
          </w:p>
        </w:tc>
        <w:tc>
          <w:tcPr>
            <w:tcW w:w="549" w:type="pct"/>
            <w:vAlign w:val="bottom"/>
          </w:tcPr>
          <w:p w14:paraId="7EA3CA3E" w14:textId="77777777" w:rsidR="00335619" w:rsidRPr="0023367D" w:rsidRDefault="00335619" w:rsidP="00335619">
            <w:pPr>
              <w:jc w:val="right"/>
              <w:rPr>
                <w:color w:val="000000"/>
                <w:sz w:val="20"/>
                <w:szCs w:val="18"/>
              </w:rPr>
            </w:pPr>
            <w:r w:rsidRPr="0023367D">
              <w:rPr>
                <w:color w:val="000000"/>
                <w:sz w:val="20"/>
                <w:szCs w:val="18"/>
              </w:rPr>
              <w:t>59.9%</w:t>
            </w:r>
          </w:p>
        </w:tc>
        <w:tc>
          <w:tcPr>
            <w:tcW w:w="410" w:type="pct"/>
            <w:vAlign w:val="bottom"/>
          </w:tcPr>
          <w:p w14:paraId="6C92A6BB" w14:textId="77777777" w:rsidR="00335619" w:rsidRPr="0023367D" w:rsidRDefault="00335619" w:rsidP="00335619">
            <w:pPr>
              <w:jc w:val="right"/>
              <w:rPr>
                <w:color w:val="000000"/>
                <w:sz w:val="20"/>
                <w:szCs w:val="18"/>
              </w:rPr>
            </w:pPr>
            <w:r w:rsidRPr="0023367D">
              <w:rPr>
                <w:color w:val="000000"/>
                <w:sz w:val="20"/>
                <w:szCs w:val="18"/>
              </w:rPr>
              <w:t>226</w:t>
            </w:r>
          </w:p>
        </w:tc>
        <w:tc>
          <w:tcPr>
            <w:tcW w:w="568" w:type="pct"/>
            <w:tcBorders>
              <w:right w:val="single" w:sz="12" w:space="0" w:color="auto"/>
            </w:tcBorders>
            <w:shd w:val="clear" w:color="auto" w:fill="auto"/>
            <w:vAlign w:val="bottom"/>
          </w:tcPr>
          <w:p w14:paraId="511337AA" w14:textId="77777777" w:rsidR="00335619" w:rsidRPr="0023367D" w:rsidRDefault="00335619" w:rsidP="00335619">
            <w:pPr>
              <w:jc w:val="right"/>
              <w:rPr>
                <w:color w:val="000000"/>
                <w:sz w:val="20"/>
                <w:szCs w:val="18"/>
              </w:rPr>
            </w:pPr>
            <w:r w:rsidRPr="0023367D">
              <w:rPr>
                <w:color w:val="000000"/>
                <w:sz w:val="20"/>
                <w:szCs w:val="18"/>
              </w:rPr>
              <w:t>54.6%</w:t>
            </w:r>
          </w:p>
        </w:tc>
        <w:tc>
          <w:tcPr>
            <w:tcW w:w="462" w:type="pct"/>
            <w:tcBorders>
              <w:left w:val="single" w:sz="12" w:space="0" w:color="auto"/>
            </w:tcBorders>
          </w:tcPr>
          <w:p w14:paraId="694B459A" w14:textId="77777777" w:rsidR="00335619" w:rsidRPr="0023367D" w:rsidRDefault="00335619" w:rsidP="00335619">
            <w:pPr>
              <w:jc w:val="right"/>
              <w:rPr>
                <w:color w:val="000000"/>
                <w:sz w:val="20"/>
                <w:szCs w:val="18"/>
              </w:rPr>
            </w:pPr>
            <w:r w:rsidRPr="0023367D">
              <w:rPr>
                <w:color w:val="000000"/>
                <w:sz w:val="20"/>
                <w:szCs w:val="19"/>
              </w:rPr>
              <w:t>762</w:t>
            </w:r>
          </w:p>
        </w:tc>
        <w:tc>
          <w:tcPr>
            <w:tcW w:w="565" w:type="pct"/>
            <w:vAlign w:val="bottom"/>
          </w:tcPr>
          <w:p w14:paraId="07BA24C7" w14:textId="77777777" w:rsidR="00335619" w:rsidRPr="0023367D" w:rsidRDefault="00335619" w:rsidP="00335619">
            <w:pPr>
              <w:jc w:val="right"/>
              <w:rPr>
                <w:color w:val="000000"/>
                <w:sz w:val="20"/>
                <w:szCs w:val="18"/>
              </w:rPr>
            </w:pPr>
            <w:r w:rsidRPr="0023367D">
              <w:rPr>
                <w:color w:val="000000"/>
                <w:sz w:val="20"/>
                <w:szCs w:val="19"/>
              </w:rPr>
              <w:t>40.8%</w:t>
            </w:r>
          </w:p>
        </w:tc>
        <w:tc>
          <w:tcPr>
            <w:tcW w:w="462" w:type="pct"/>
            <w:vAlign w:val="bottom"/>
          </w:tcPr>
          <w:p w14:paraId="0B219520" w14:textId="77777777" w:rsidR="00335619" w:rsidRPr="0023367D" w:rsidRDefault="00335619" w:rsidP="00335619">
            <w:pPr>
              <w:jc w:val="right"/>
              <w:rPr>
                <w:color w:val="000000"/>
                <w:sz w:val="20"/>
                <w:szCs w:val="18"/>
              </w:rPr>
            </w:pPr>
            <w:r w:rsidRPr="0023367D">
              <w:rPr>
                <w:color w:val="000000"/>
                <w:sz w:val="20"/>
                <w:szCs w:val="19"/>
              </w:rPr>
              <w:t>232</w:t>
            </w:r>
          </w:p>
        </w:tc>
        <w:tc>
          <w:tcPr>
            <w:tcW w:w="564" w:type="pct"/>
            <w:vAlign w:val="bottom"/>
          </w:tcPr>
          <w:p w14:paraId="2262B442" w14:textId="77777777" w:rsidR="00335619" w:rsidRPr="0023367D" w:rsidRDefault="00335619" w:rsidP="00335619">
            <w:pPr>
              <w:jc w:val="right"/>
              <w:rPr>
                <w:color w:val="000000"/>
                <w:sz w:val="20"/>
                <w:szCs w:val="18"/>
              </w:rPr>
            </w:pPr>
            <w:r w:rsidRPr="0023367D">
              <w:rPr>
                <w:color w:val="000000"/>
                <w:sz w:val="20"/>
                <w:szCs w:val="19"/>
              </w:rPr>
              <w:t>49.5%</w:t>
            </w:r>
          </w:p>
        </w:tc>
      </w:tr>
      <w:tr w:rsidR="00335619" w:rsidRPr="0023367D" w14:paraId="2D91A461" w14:textId="77777777" w:rsidTr="00576741">
        <w:trPr>
          <w:trHeight w:val="216"/>
          <w:jc w:val="center"/>
        </w:trPr>
        <w:tc>
          <w:tcPr>
            <w:tcW w:w="912" w:type="pct"/>
            <w:tcBorders>
              <w:right w:val="single" w:sz="12" w:space="0" w:color="auto"/>
            </w:tcBorders>
            <w:shd w:val="clear" w:color="auto" w:fill="auto"/>
            <w:noWrap/>
            <w:vAlign w:val="center"/>
          </w:tcPr>
          <w:p w14:paraId="7ADAB7DF"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2003</w:t>
            </w:r>
          </w:p>
        </w:tc>
        <w:tc>
          <w:tcPr>
            <w:tcW w:w="508" w:type="pct"/>
            <w:tcBorders>
              <w:left w:val="single" w:sz="12" w:space="0" w:color="auto"/>
            </w:tcBorders>
            <w:shd w:val="clear" w:color="auto" w:fill="auto"/>
            <w:noWrap/>
            <w:vAlign w:val="bottom"/>
          </w:tcPr>
          <w:p w14:paraId="33CCF2A7" w14:textId="77777777" w:rsidR="00335619" w:rsidRPr="0023367D" w:rsidRDefault="00335619" w:rsidP="00335619">
            <w:pPr>
              <w:jc w:val="right"/>
              <w:rPr>
                <w:color w:val="000000"/>
                <w:sz w:val="20"/>
                <w:szCs w:val="18"/>
              </w:rPr>
            </w:pPr>
            <w:r w:rsidRPr="0023367D">
              <w:rPr>
                <w:color w:val="000000"/>
                <w:sz w:val="20"/>
                <w:szCs w:val="18"/>
              </w:rPr>
              <w:t>765</w:t>
            </w:r>
          </w:p>
        </w:tc>
        <w:tc>
          <w:tcPr>
            <w:tcW w:w="549" w:type="pct"/>
            <w:vAlign w:val="bottom"/>
          </w:tcPr>
          <w:p w14:paraId="5885C842" w14:textId="77777777" w:rsidR="00335619" w:rsidRPr="0023367D" w:rsidRDefault="00335619" w:rsidP="00335619">
            <w:pPr>
              <w:jc w:val="right"/>
              <w:rPr>
                <w:color w:val="000000"/>
                <w:sz w:val="20"/>
                <w:szCs w:val="18"/>
              </w:rPr>
            </w:pPr>
            <w:r w:rsidRPr="0023367D">
              <w:rPr>
                <w:color w:val="000000"/>
                <w:sz w:val="20"/>
                <w:szCs w:val="18"/>
              </w:rPr>
              <w:t>60.8%</w:t>
            </w:r>
          </w:p>
        </w:tc>
        <w:tc>
          <w:tcPr>
            <w:tcW w:w="410" w:type="pct"/>
            <w:vAlign w:val="bottom"/>
          </w:tcPr>
          <w:p w14:paraId="1F6072C8" w14:textId="77777777" w:rsidR="00335619" w:rsidRPr="0023367D" w:rsidRDefault="00335619" w:rsidP="00335619">
            <w:pPr>
              <w:jc w:val="right"/>
              <w:rPr>
                <w:color w:val="000000"/>
                <w:sz w:val="20"/>
                <w:szCs w:val="18"/>
              </w:rPr>
            </w:pPr>
            <w:r w:rsidRPr="0023367D">
              <w:rPr>
                <w:color w:val="000000"/>
                <w:sz w:val="20"/>
                <w:szCs w:val="18"/>
              </w:rPr>
              <w:t>267</w:t>
            </w:r>
          </w:p>
        </w:tc>
        <w:tc>
          <w:tcPr>
            <w:tcW w:w="568" w:type="pct"/>
            <w:tcBorders>
              <w:right w:val="single" w:sz="12" w:space="0" w:color="auto"/>
            </w:tcBorders>
            <w:shd w:val="clear" w:color="auto" w:fill="auto"/>
            <w:vAlign w:val="bottom"/>
          </w:tcPr>
          <w:p w14:paraId="52201E39" w14:textId="77777777" w:rsidR="00335619" w:rsidRPr="0023367D" w:rsidRDefault="00335619" w:rsidP="00335619">
            <w:pPr>
              <w:jc w:val="right"/>
              <w:rPr>
                <w:color w:val="000000"/>
                <w:sz w:val="20"/>
                <w:szCs w:val="18"/>
              </w:rPr>
            </w:pPr>
            <w:r w:rsidRPr="0023367D">
              <w:rPr>
                <w:color w:val="000000"/>
                <w:sz w:val="20"/>
                <w:szCs w:val="18"/>
              </w:rPr>
              <w:t>54.5%</w:t>
            </w:r>
          </w:p>
        </w:tc>
        <w:tc>
          <w:tcPr>
            <w:tcW w:w="462" w:type="pct"/>
            <w:tcBorders>
              <w:left w:val="single" w:sz="12" w:space="0" w:color="auto"/>
            </w:tcBorders>
          </w:tcPr>
          <w:p w14:paraId="35345A0F" w14:textId="77777777" w:rsidR="00335619" w:rsidRPr="0023367D" w:rsidRDefault="00335619" w:rsidP="00335619">
            <w:pPr>
              <w:jc w:val="right"/>
              <w:rPr>
                <w:color w:val="000000"/>
                <w:sz w:val="20"/>
                <w:szCs w:val="18"/>
              </w:rPr>
            </w:pPr>
            <w:r w:rsidRPr="0023367D">
              <w:rPr>
                <w:color w:val="000000"/>
                <w:sz w:val="20"/>
                <w:szCs w:val="19"/>
              </w:rPr>
              <w:t>764</w:t>
            </w:r>
          </w:p>
        </w:tc>
        <w:tc>
          <w:tcPr>
            <w:tcW w:w="565" w:type="pct"/>
            <w:vAlign w:val="bottom"/>
          </w:tcPr>
          <w:p w14:paraId="346FB3C3" w14:textId="77777777" w:rsidR="00335619" w:rsidRPr="0023367D" w:rsidRDefault="00335619" w:rsidP="00335619">
            <w:pPr>
              <w:jc w:val="right"/>
              <w:rPr>
                <w:color w:val="000000"/>
                <w:sz w:val="20"/>
                <w:szCs w:val="18"/>
              </w:rPr>
            </w:pPr>
            <w:r w:rsidRPr="0023367D">
              <w:rPr>
                <w:color w:val="000000"/>
                <w:sz w:val="20"/>
                <w:szCs w:val="19"/>
              </w:rPr>
              <w:t>45.9%</w:t>
            </w:r>
          </w:p>
        </w:tc>
        <w:tc>
          <w:tcPr>
            <w:tcW w:w="462" w:type="pct"/>
            <w:vAlign w:val="bottom"/>
          </w:tcPr>
          <w:p w14:paraId="3C50102A" w14:textId="77777777" w:rsidR="00335619" w:rsidRPr="0023367D" w:rsidRDefault="00335619" w:rsidP="00335619">
            <w:pPr>
              <w:jc w:val="right"/>
              <w:rPr>
                <w:color w:val="000000"/>
                <w:sz w:val="20"/>
                <w:szCs w:val="18"/>
              </w:rPr>
            </w:pPr>
            <w:r w:rsidRPr="0023367D">
              <w:rPr>
                <w:color w:val="000000"/>
                <w:sz w:val="20"/>
                <w:szCs w:val="19"/>
              </w:rPr>
              <w:t>265</w:t>
            </w:r>
          </w:p>
        </w:tc>
        <w:tc>
          <w:tcPr>
            <w:tcW w:w="564" w:type="pct"/>
            <w:vAlign w:val="bottom"/>
          </w:tcPr>
          <w:p w14:paraId="6688EA4E" w14:textId="77777777" w:rsidR="00335619" w:rsidRPr="0023367D" w:rsidRDefault="00335619" w:rsidP="00335619">
            <w:pPr>
              <w:jc w:val="right"/>
              <w:rPr>
                <w:color w:val="000000"/>
                <w:sz w:val="20"/>
                <w:szCs w:val="18"/>
              </w:rPr>
            </w:pPr>
            <w:r w:rsidRPr="0023367D">
              <w:rPr>
                <w:color w:val="000000"/>
                <w:sz w:val="20"/>
                <w:szCs w:val="19"/>
              </w:rPr>
              <w:t>54.6%</w:t>
            </w:r>
          </w:p>
        </w:tc>
      </w:tr>
      <w:tr w:rsidR="00335619" w:rsidRPr="0023367D" w14:paraId="10E5D8BF" w14:textId="77777777" w:rsidTr="00576741">
        <w:trPr>
          <w:trHeight w:val="216"/>
          <w:jc w:val="center"/>
        </w:trPr>
        <w:tc>
          <w:tcPr>
            <w:tcW w:w="912" w:type="pct"/>
            <w:tcBorders>
              <w:right w:val="single" w:sz="12" w:space="0" w:color="auto"/>
            </w:tcBorders>
            <w:shd w:val="clear" w:color="auto" w:fill="auto"/>
            <w:noWrap/>
            <w:vAlign w:val="center"/>
          </w:tcPr>
          <w:p w14:paraId="475BE23F"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2004</w:t>
            </w:r>
          </w:p>
        </w:tc>
        <w:tc>
          <w:tcPr>
            <w:tcW w:w="508" w:type="pct"/>
            <w:tcBorders>
              <w:left w:val="single" w:sz="12" w:space="0" w:color="auto"/>
            </w:tcBorders>
            <w:shd w:val="clear" w:color="auto" w:fill="auto"/>
            <w:noWrap/>
            <w:vAlign w:val="bottom"/>
          </w:tcPr>
          <w:p w14:paraId="2B036FE4" w14:textId="77777777" w:rsidR="00335619" w:rsidRPr="0023367D" w:rsidRDefault="00335619" w:rsidP="00335619">
            <w:pPr>
              <w:jc w:val="right"/>
              <w:rPr>
                <w:color w:val="000000"/>
                <w:sz w:val="20"/>
                <w:szCs w:val="18"/>
              </w:rPr>
            </w:pPr>
            <w:r w:rsidRPr="0023367D">
              <w:rPr>
                <w:color w:val="000000"/>
                <w:sz w:val="20"/>
                <w:szCs w:val="18"/>
              </w:rPr>
              <w:t>802</w:t>
            </w:r>
          </w:p>
        </w:tc>
        <w:tc>
          <w:tcPr>
            <w:tcW w:w="549" w:type="pct"/>
            <w:vAlign w:val="bottom"/>
          </w:tcPr>
          <w:p w14:paraId="3DE851F9" w14:textId="77777777" w:rsidR="00335619" w:rsidRPr="0023367D" w:rsidRDefault="00335619" w:rsidP="00335619">
            <w:pPr>
              <w:jc w:val="right"/>
              <w:rPr>
                <w:color w:val="000000"/>
                <w:sz w:val="20"/>
                <w:szCs w:val="18"/>
              </w:rPr>
            </w:pPr>
            <w:r w:rsidRPr="0023367D">
              <w:rPr>
                <w:color w:val="000000"/>
                <w:sz w:val="20"/>
                <w:szCs w:val="18"/>
              </w:rPr>
              <w:t>65.5%</w:t>
            </w:r>
          </w:p>
        </w:tc>
        <w:tc>
          <w:tcPr>
            <w:tcW w:w="410" w:type="pct"/>
            <w:vAlign w:val="bottom"/>
          </w:tcPr>
          <w:p w14:paraId="149D96A0" w14:textId="77777777" w:rsidR="00335619" w:rsidRPr="0023367D" w:rsidRDefault="00335619" w:rsidP="00335619">
            <w:pPr>
              <w:jc w:val="right"/>
              <w:rPr>
                <w:color w:val="000000"/>
                <w:sz w:val="20"/>
                <w:szCs w:val="18"/>
              </w:rPr>
            </w:pPr>
            <w:r w:rsidRPr="0023367D">
              <w:rPr>
                <w:color w:val="000000"/>
                <w:sz w:val="20"/>
                <w:szCs w:val="18"/>
              </w:rPr>
              <w:t>271</w:t>
            </w:r>
          </w:p>
        </w:tc>
        <w:tc>
          <w:tcPr>
            <w:tcW w:w="568" w:type="pct"/>
            <w:tcBorders>
              <w:right w:val="single" w:sz="12" w:space="0" w:color="auto"/>
            </w:tcBorders>
            <w:shd w:val="clear" w:color="auto" w:fill="auto"/>
            <w:vAlign w:val="bottom"/>
          </w:tcPr>
          <w:p w14:paraId="7CA83171" w14:textId="77777777" w:rsidR="00335619" w:rsidRPr="0023367D" w:rsidRDefault="00335619" w:rsidP="00335619">
            <w:pPr>
              <w:jc w:val="right"/>
              <w:rPr>
                <w:color w:val="000000"/>
                <w:sz w:val="20"/>
                <w:szCs w:val="18"/>
              </w:rPr>
            </w:pPr>
            <w:r w:rsidRPr="0023367D">
              <w:rPr>
                <w:color w:val="000000"/>
                <w:sz w:val="20"/>
                <w:szCs w:val="18"/>
              </w:rPr>
              <w:t>53.8%</w:t>
            </w:r>
          </w:p>
        </w:tc>
        <w:tc>
          <w:tcPr>
            <w:tcW w:w="462" w:type="pct"/>
            <w:tcBorders>
              <w:left w:val="single" w:sz="12" w:space="0" w:color="auto"/>
            </w:tcBorders>
          </w:tcPr>
          <w:p w14:paraId="5B7DBA87" w14:textId="77777777" w:rsidR="00335619" w:rsidRPr="0023367D" w:rsidRDefault="00335619" w:rsidP="00335619">
            <w:pPr>
              <w:jc w:val="right"/>
              <w:rPr>
                <w:color w:val="000000"/>
                <w:sz w:val="20"/>
                <w:szCs w:val="18"/>
              </w:rPr>
            </w:pPr>
            <w:r w:rsidRPr="0023367D">
              <w:rPr>
                <w:color w:val="000000"/>
                <w:sz w:val="20"/>
                <w:szCs w:val="19"/>
              </w:rPr>
              <w:t>807</w:t>
            </w:r>
          </w:p>
        </w:tc>
        <w:tc>
          <w:tcPr>
            <w:tcW w:w="565" w:type="pct"/>
            <w:vAlign w:val="bottom"/>
          </w:tcPr>
          <w:p w14:paraId="0169BE44" w14:textId="77777777" w:rsidR="00335619" w:rsidRPr="0023367D" w:rsidRDefault="00335619" w:rsidP="00335619">
            <w:pPr>
              <w:jc w:val="right"/>
              <w:rPr>
                <w:color w:val="000000"/>
                <w:sz w:val="20"/>
                <w:szCs w:val="18"/>
              </w:rPr>
            </w:pPr>
            <w:r w:rsidRPr="0023367D">
              <w:rPr>
                <w:color w:val="000000"/>
                <w:sz w:val="20"/>
                <w:szCs w:val="19"/>
              </w:rPr>
              <w:t>50.7%</w:t>
            </w:r>
          </w:p>
        </w:tc>
        <w:tc>
          <w:tcPr>
            <w:tcW w:w="462" w:type="pct"/>
            <w:vAlign w:val="bottom"/>
          </w:tcPr>
          <w:p w14:paraId="50B4D56C" w14:textId="77777777" w:rsidR="00335619" w:rsidRPr="0023367D" w:rsidRDefault="00335619" w:rsidP="00335619">
            <w:pPr>
              <w:jc w:val="right"/>
              <w:rPr>
                <w:color w:val="000000"/>
                <w:sz w:val="20"/>
                <w:szCs w:val="18"/>
              </w:rPr>
            </w:pPr>
            <w:r w:rsidRPr="0023367D">
              <w:rPr>
                <w:color w:val="000000"/>
                <w:sz w:val="20"/>
                <w:szCs w:val="19"/>
              </w:rPr>
              <w:t>267</w:t>
            </w:r>
          </w:p>
        </w:tc>
        <w:tc>
          <w:tcPr>
            <w:tcW w:w="564" w:type="pct"/>
            <w:vAlign w:val="bottom"/>
          </w:tcPr>
          <w:p w14:paraId="446C7C35" w14:textId="77777777" w:rsidR="00335619" w:rsidRPr="0023367D" w:rsidRDefault="00335619" w:rsidP="00335619">
            <w:pPr>
              <w:jc w:val="right"/>
              <w:rPr>
                <w:color w:val="000000"/>
                <w:sz w:val="20"/>
                <w:szCs w:val="18"/>
              </w:rPr>
            </w:pPr>
            <w:r w:rsidRPr="0023367D">
              <w:rPr>
                <w:color w:val="000000"/>
                <w:sz w:val="20"/>
                <w:szCs w:val="19"/>
              </w:rPr>
              <w:t>70.8%</w:t>
            </w:r>
          </w:p>
        </w:tc>
      </w:tr>
      <w:tr w:rsidR="00335619" w:rsidRPr="0023367D" w14:paraId="7B29F476" w14:textId="77777777" w:rsidTr="00576741">
        <w:trPr>
          <w:trHeight w:val="216"/>
          <w:jc w:val="center"/>
        </w:trPr>
        <w:tc>
          <w:tcPr>
            <w:tcW w:w="912" w:type="pct"/>
            <w:tcBorders>
              <w:right w:val="single" w:sz="12" w:space="0" w:color="auto"/>
            </w:tcBorders>
            <w:shd w:val="clear" w:color="auto" w:fill="auto"/>
            <w:noWrap/>
            <w:vAlign w:val="center"/>
          </w:tcPr>
          <w:p w14:paraId="5CB8C28B"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2005</w:t>
            </w:r>
          </w:p>
        </w:tc>
        <w:tc>
          <w:tcPr>
            <w:tcW w:w="508" w:type="pct"/>
            <w:tcBorders>
              <w:left w:val="single" w:sz="12" w:space="0" w:color="auto"/>
            </w:tcBorders>
            <w:shd w:val="clear" w:color="auto" w:fill="auto"/>
            <w:noWrap/>
            <w:vAlign w:val="bottom"/>
          </w:tcPr>
          <w:p w14:paraId="370C4050" w14:textId="77777777" w:rsidR="00335619" w:rsidRPr="0023367D" w:rsidRDefault="00335619" w:rsidP="00335619">
            <w:pPr>
              <w:jc w:val="right"/>
              <w:rPr>
                <w:color w:val="000000"/>
                <w:sz w:val="20"/>
                <w:szCs w:val="18"/>
              </w:rPr>
            </w:pPr>
            <w:r w:rsidRPr="0023367D">
              <w:rPr>
                <w:color w:val="000000"/>
                <w:sz w:val="20"/>
                <w:szCs w:val="18"/>
              </w:rPr>
              <w:t>813</w:t>
            </w:r>
          </w:p>
        </w:tc>
        <w:tc>
          <w:tcPr>
            <w:tcW w:w="549" w:type="pct"/>
            <w:vAlign w:val="bottom"/>
          </w:tcPr>
          <w:p w14:paraId="6C0C1387" w14:textId="77777777" w:rsidR="00335619" w:rsidRPr="0023367D" w:rsidRDefault="00335619" w:rsidP="00335619">
            <w:pPr>
              <w:jc w:val="right"/>
              <w:rPr>
                <w:color w:val="000000"/>
                <w:sz w:val="20"/>
                <w:szCs w:val="18"/>
              </w:rPr>
            </w:pPr>
            <w:r w:rsidRPr="0023367D">
              <w:rPr>
                <w:color w:val="000000"/>
                <w:sz w:val="20"/>
                <w:szCs w:val="18"/>
              </w:rPr>
              <w:t>65.7%</w:t>
            </w:r>
          </w:p>
        </w:tc>
        <w:tc>
          <w:tcPr>
            <w:tcW w:w="410" w:type="pct"/>
            <w:vAlign w:val="bottom"/>
          </w:tcPr>
          <w:p w14:paraId="26561369" w14:textId="77777777" w:rsidR="00335619" w:rsidRPr="0023367D" w:rsidRDefault="00335619" w:rsidP="00335619">
            <w:pPr>
              <w:jc w:val="right"/>
              <w:rPr>
                <w:color w:val="000000"/>
                <w:sz w:val="20"/>
                <w:szCs w:val="18"/>
              </w:rPr>
            </w:pPr>
            <w:r w:rsidRPr="0023367D">
              <w:rPr>
                <w:color w:val="000000"/>
                <w:sz w:val="20"/>
                <w:szCs w:val="18"/>
              </w:rPr>
              <w:t>271</w:t>
            </w:r>
          </w:p>
        </w:tc>
        <w:tc>
          <w:tcPr>
            <w:tcW w:w="568" w:type="pct"/>
            <w:tcBorders>
              <w:right w:val="single" w:sz="12" w:space="0" w:color="auto"/>
            </w:tcBorders>
            <w:shd w:val="clear" w:color="auto" w:fill="auto"/>
            <w:vAlign w:val="bottom"/>
          </w:tcPr>
          <w:p w14:paraId="4F33763D" w14:textId="77777777" w:rsidR="00335619" w:rsidRPr="0023367D" w:rsidRDefault="00335619" w:rsidP="00335619">
            <w:pPr>
              <w:jc w:val="right"/>
              <w:rPr>
                <w:color w:val="000000"/>
                <w:sz w:val="20"/>
                <w:szCs w:val="18"/>
              </w:rPr>
            </w:pPr>
            <w:r w:rsidRPr="0023367D">
              <w:rPr>
                <w:color w:val="000000"/>
                <w:sz w:val="20"/>
                <w:szCs w:val="18"/>
              </w:rPr>
              <w:t>58.2%</w:t>
            </w:r>
          </w:p>
        </w:tc>
        <w:tc>
          <w:tcPr>
            <w:tcW w:w="462" w:type="pct"/>
            <w:tcBorders>
              <w:left w:val="single" w:sz="12" w:space="0" w:color="auto"/>
            </w:tcBorders>
          </w:tcPr>
          <w:p w14:paraId="044BECDD" w14:textId="77777777" w:rsidR="00335619" w:rsidRPr="0023367D" w:rsidRDefault="00335619" w:rsidP="00335619">
            <w:pPr>
              <w:jc w:val="right"/>
              <w:rPr>
                <w:color w:val="000000"/>
                <w:sz w:val="20"/>
                <w:szCs w:val="18"/>
              </w:rPr>
            </w:pPr>
            <w:r w:rsidRPr="0023367D">
              <w:rPr>
                <w:color w:val="000000"/>
                <w:sz w:val="20"/>
                <w:szCs w:val="19"/>
              </w:rPr>
              <w:t>833</w:t>
            </w:r>
          </w:p>
        </w:tc>
        <w:tc>
          <w:tcPr>
            <w:tcW w:w="565" w:type="pct"/>
            <w:vAlign w:val="bottom"/>
          </w:tcPr>
          <w:p w14:paraId="6FCA8092" w14:textId="77777777" w:rsidR="00335619" w:rsidRPr="0023367D" w:rsidRDefault="00335619" w:rsidP="00335619">
            <w:pPr>
              <w:jc w:val="right"/>
              <w:rPr>
                <w:color w:val="000000"/>
                <w:sz w:val="20"/>
                <w:szCs w:val="18"/>
              </w:rPr>
            </w:pPr>
            <w:r w:rsidRPr="0023367D">
              <w:rPr>
                <w:color w:val="000000"/>
                <w:sz w:val="20"/>
                <w:szCs w:val="19"/>
              </w:rPr>
              <w:t>57.6%</w:t>
            </w:r>
          </w:p>
        </w:tc>
        <w:tc>
          <w:tcPr>
            <w:tcW w:w="462" w:type="pct"/>
            <w:vAlign w:val="bottom"/>
          </w:tcPr>
          <w:p w14:paraId="46B35A46" w14:textId="77777777" w:rsidR="00335619" w:rsidRPr="0023367D" w:rsidRDefault="00335619" w:rsidP="00335619">
            <w:pPr>
              <w:jc w:val="right"/>
              <w:rPr>
                <w:color w:val="000000"/>
                <w:sz w:val="20"/>
                <w:szCs w:val="18"/>
              </w:rPr>
            </w:pPr>
            <w:r w:rsidRPr="0023367D">
              <w:rPr>
                <w:color w:val="000000"/>
                <w:sz w:val="20"/>
                <w:szCs w:val="19"/>
              </w:rPr>
              <w:t>266</w:t>
            </w:r>
          </w:p>
        </w:tc>
        <w:tc>
          <w:tcPr>
            <w:tcW w:w="564" w:type="pct"/>
            <w:vAlign w:val="bottom"/>
          </w:tcPr>
          <w:p w14:paraId="699B055F" w14:textId="77777777" w:rsidR="00335619" w:rsidRPr="0023367D" w:rsidRDefault="00335619" w:rsidP="00335619">
            <w:pPr>
              <w:jc w:val="right"/>
              <w:rPr>
                <w:color w:val="000000"/>
                <w:sz w:val="20"/>
                <w:szCs w:val="18"/>
              </w:rPr>
            </w:pPr>
            <w:r w:rsidRPr="0023367D">
              <w:rPr>
                <w:color w:val="000000"/>
                <w:sz w:val="20"/>
                <w:szCs w:val="19"/>
              </w:rPr>
              <w:t>76.8%</w:t>
            </w:r>
          </w:p>
        </w:tc>
      </w:tr>
      <w:tr w:rsidR="00335619" w:rsidRPr="0023367D" w14:paraId="3F545AA0" w14:textId="77777777" w:rsidTr="00576741">
        <w:trPr>
          <w:trHeight w:val="216"/>
          <w:jc w:val="center"/>
        </w:trPr>
        <w:tc>
          <w:tcPr>
            <w:tcW w:w="912" w:type="pct"/>
            <w:tcBorders>
              <w:right w:val="single" w:sz="12" w:space="0" w:color="auto"/>
            </w:tcBorders>
            <w:shd w:val="clear" w:color="auto" w:fill="auto"/>
            <w:noWrap/>
            <w:vAlign w:val="center"/>
          </w:tcPr>
          <w:p w14:paraId="139442BD"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2006</w:t>
            </w:r>
          </w:p>
        </w:tc>
        <w:tc>
          <w:tcPr>
            <w:tcW w:w="508" w:type="pct"/>
            <w:tcBorders>
              <w:left w:val="single" w:sz="12" w:space="0" w:color="auto"/>
            </w:tcBorders>
            <w:shd w:val="clear" w:color="auto" w:fill="auto"/>
            <w:noWrap/>
            <w:vAlign w:val="bottom"/>
          </w:tcPr>
          <w:p w14:paraId="39D1077B" w14:textId="77777777" w:rsidR="00335619" w:rsidRPr="0023367D" w:rsidRDefault="00335619" w:rsidP="00335619">
            <w:pPr>
              <w:jc w:val="right"/>
              <w:rPr>
                <w:color w:val="000000"/>
                <w:sz w:val="20"/>
                <w:szCs w:val="18"/>
              </w:rPr>
            </w:pPr>
            <w:r w:rsidRPr="0023367D">
              <w:rPr>
                <w:color w:val="000000"/>
                <w:sz w:val="20"/>
                <w:szCs w:val="18"/>
              </w:rPr>
              <w:t>751</w:t>
            </w:r>
          </w:p>
        </w:tc>
        <w:tc>
          <w:tcPr>
            <w:tcW w:w="549" w:type="pct"/>
            <w:vAlign w:val="bottom"/>
          </w:tcPr>
          <w:p w14:paraId="2318C3B7" w14:textId="77777777" w:rsidR="00335619" w:rsidRPr="0023367D" w:rsidRDefault="00335619" w:rsidP="00335619">
            <w:pPr>
              <w:jc w:val="right"/>
              <w:rPr>
                <w:color w:val="000000"/>
                <w:sz w:val="20"/>
                <w:szCs w:val="18"/>
              </w:rPr>
            </w:pPr>
            <w:r w:rsidRPr="0023367D">
              <w:rPr>
                <w:color w:val="000000"/>
                <w:sz w:val="20"/>
                <w:szCs w:val="18"/>
              </w:rPr>
              <w:t>60.6%</w:t>
            </w:r>
          </w:p>
        </w:tc>
        <w:tc>
          <w:tcPr>
            <w:tcW w:w="410" w:type="pct"/>
            <w:vAlign w:val="bottom"/>
          </w:tcPr>
          <w:p w14:paraId="081908A5" w14:textId="77777777" w:rsidR="00335619" w:rsidRPr="0023367D" w:rsidRDefault="00335619" w:rsidP="00335619">
            <w:pPr>
              <w:jc w:val="right"/>
              <w:rPr>
                <w:color w:val="000000"/>
                <w:sz w:val="20"/>
                <w:szCs w:val="18"/>
              </w:rPr>
            </w:pPr>
            <w:r w:rsidRPr="0023367D">
              <w:rPr>
                <w:color w:val="000000"/>
                <w:sz w:val="20"/>
                <w:szCs w:val="18"/>
              </w:rPr>
              <w:t>259</w:t>
            </w:r>
          </w:p>
        </w:tc>
        <w:tc>
          <w:tcPr>
            <w:tcW w:w="568" w:type="pct"/>
            <w:tcBorders>
              <w:right w:val="single" w:sz="12" w:space="0" w:color="auto"/>
            </w:tcBorders>
            <w:shd w:val="clear" w:color="auto" w:fill="auto"/>
            <w:vAlign w:val="bottom"/>
          </w:tcPr>
          <w:p w14:paraId="436D4828" w14:textId="77777777" w:rsidR="00335619" w:rsidRPr="0023367D" w:rsidRDefault="00335619" w:rsidP="00335619">
            <w:pPr>
              <w:jc w:val="right"/>
              <w:rPr>
                <w:color w:val="000000"/>
                <w:sz w:val="20"/>
                <w:szCs w:val="18"/>
              </w:rPr>
            </w:pPr>
            <w:r w:rsidRPr="0023367D">
              <w:rPr>
                <w:color w:val="000000"/>
                <w:sz w:val="20"/>
                <w:szCs w:val="18"/>
              </w:rPr>
              <w:t>48.9%</w:t>
            </w:r>
          </w:p>
        </w:tc>
        <w:tc>
          <w:tcPr>
            <w:tcW w:w="462" w:type="pct"/>
            <w:tcBorders>
              <w:left w:val="single" w:sz="12" w:space="0" w:color="auto"/>
            </w:tcBorders>
          </w:tcPr>
          <w:p w14:paraId="5275F26F" w14:textId="77777777" w:rsidR="00335619" w:rsidRPr="0023367D" w:rsidRDefault="00335619" w:rsidP="00335619">
            <w:pPr>
              <w:jc w:val="right"/>
              <w:rPr>
                <w:color w:val="000000"/>
                <w:sz w:val="20"/>
                <w:szCs w:val="18"/>
              </w:rPr>
            </w:pPr>
            <w:r w:rsidRPr="0023367D">
              <w:rPr>
                <w:color w:val="000000"/>
                <w:sz w:val="20"/>
                <w:szCs w:val="19"/>
              </w:rPr>
              <w:t>791</w:t>
            </w:r>
          </w:p>
        </w:tc>
        <w:tc>
          <w:tcPr>
            <w:tcW w:w="565" w:type="pct"/>
            <w:vAlign w:val="bottom"/>
          </w:tcPr>
          <w:p w14:paraId="11E2663E" w14:textId="77777777" w:rsidR="00335619" w:rsidRPr="0023367D" w:rsidRDefault="00335619" w:rsidP="00335619">
            <w:pPr>
              <w:jc w:val="right"/>
              <w:rPr>
                <w:color w:val="000000"/>
                <w:sz w:val="20"/>
                <w:szCs w:val="18"/>
              </w:rPr>
            </w:pPr>
            <w:r w:rsidRPr="0023367D">
              <w:rPr>
                <w:color w:val="000000"/>
                <w:sz w:val="20"/>
                <w:szCs w:val="19"/>
              </w:rPr>
              <w:t>52.0%</w:t>
            </w:r>
          </w:p>
        </w:tc>
        <w:tc>
          <w:tcPr>
            <w:tcW w:w="462" w:type="pct"/>
            <w:vAlign w:val="bottom"/>
          </w:tcPr>
          <w:p w14:paraId="35790ACD" w14:textId="77777777" w:rsidR="00335619" w:rsidRPr="0023367D" w:rsidRDefault="00335619" w:rsidP="00335619">
            <w:pPr>
              <w:jc w:val="right"/>
              <w:rPr>
                <w:color w:val="000000"/>
                <w:sz w:val="20"/>
                <w:szCs w:val="18"/>
              </w:rPr>
            </w:pPr>
            <w:r w:rsidRPr="0023367D">
              <w:rPr>
                <w:color w:val="000000"/>
                <w:sz w:val="20"/>
                <w:szCs w:val="19"/>
              </w:rPr>
              <w:t>257</w:t>
            </w:r>
          </w:p>
        </w:tc>
        <w:tc>
          <w:tcPr>
            <w:tcW w:w="564" w:type="pct"/>
            <w:vAlign w:val="bottom"/>
          </w:tcPr>
          <w:p w14:paraId="7FA02FBD" w14:textId="77777777" w:rsidR="00335619" w:rsidRPr="0023367D" w:rsidRDefault="00335619" w:rsidP="00335619">
            <w:pPr>
              <w:jc w:val="right"/>
              <w:rPr>
                <w:color w:val="000000"/>
                <w:sz w:val="20"/>
                <w:szCs w:val="18"/>
              </w:rPr>
            </w:pPr>
            <w:r w:rsidRPr="0023367D">
              <w:rPr>
                <w:color w:val="000000"/>
                <w:sz w:val="20"/>
                <w:szCs w:val="19"/>
              </w:rPr>
              <w:t>68.4%</w:t>
            </w:r>
          </w:p>
        </w:tc>
      </w:tr>
      <w:tr w:rsidR="00335619" w:rsidRPr="0023367D" w14:paraId="14EF7F0A" w14:textId="77777777" w:rsidTr="00576741">
        <w:trPr>
          <w:trHeight w:val="216"/>
          <w:jc w:val="center"/>
        </w:trPr>
        <w:tc>
          <w:tcPr>
            <w:tcW w:w="912" w:type="pct"/>
            <w:tcBorders>
              <w:right w:val="single" w:sz="12" w:space="0" w:color="auto"/>
            </w:tcBorders>
            <w:shd w:val="clear" w:color="auto" w:fill="auto"/>
            <w:noWrap/>
            <w:vAlign w:val="center"/>
          </w:tcPr>
          <w:p w14:paraId="2225746F"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2007</w:t>
            </w:r>
          </w:p>
        </w:tc>
        <w:tc>
          <w:tcPr>
            <w:tcW w:w="508" w:type="pct"/>
            <w:tcBorders>
              <w:left w:val="single" w:sz="12" w:space="0" w:color="auto"/>
            </w:tcBorders>
            <w:shd w:val="clear" w:color="auto" w:fill="auto"/>
            <w:noWrap/>
            <w:vAlign w:val="bottom"/>
          </w:tcPr>
          <w:p w14:paraId="11F084AB" w14:textId="77777777" w:rsidR="00335619" w:rsidRPr="0023367D" w:rsidRDefault="00335619" w:rsidP="00335619">
            <w:pPr>
              <w:jc w:val="right"/>
              <w:rPr>
                <w:color w:val="000000"/>
                <w:sz w:val="20"/>
                <w:szCs w:val="18"/>
              </w:rPr>
            </w:pPr>
            <w:r w:rsidRPr="0023367D">
              <w:rPr>
                <w:color w:val="000000"/>
                <w:sz w:val="20"/>
                <w:szCs w:val="18"/>
              </w:rPr>
              <w:t>759</w:t>
            </w:r>
          </w:p>
        </w:tc>
        <w:tc>
          <w:tcPr>
            <w:tcW w:w="549" w:type="pct"/>
            <w:vAlign w:val="bottom"/>
          </w:tcPr>
          <w:p w14:paraId="531E4C64" w14:textId="77777777" w:rsidR="00335619" w:rsidRPr="0023367D" w:rsidRDefault="00335619" w:rsidP="00335619">
            <w:pPr>
              <w:jc w:val="right"/>
              <w:rPr>
                <w:color w:val="000000"/>
                <w:sz w:val="20"/>
                <w:szCs w:val="18"/>
              </w:rPr>
            </w:pPr>
            <w:r w:rsidRPr="0023367D">
              <w:rPr>
                <w:color w:val="000000"/>
                <w:sz w:val="20"/>
                <w:szCs w:val="18"/>
              </w:rPr>
              <w:t>65.1%</w:t>
            </w:r>
          </w:p>
        </w:tc>
        <w:tc>
          <w:tcPr>
            <w:tcW w:w="410" w:type="pct"/>
            <w:vAlign w:val="bottom"/>
          </w:tcPr>
          <w:p w14:paraId="4C6581FA" w14:textId="77777777" w:rsidR="00335619" w:rsidRPr="0023367D" w:rsidRDefault="00335619" w:rsidP="00335619">
            <w:pPr>
              <w:jc w:val="right"/>
              <w:rPr>
                <w:color w:val="000000"/>
                <w:sz w:val="20"/>
                <w:szCs w:val="18"/>
              </w:rPr>
            </w:pPr>
            <w:r w:rsidRPr="0023367D">
              <w:rPr>
                <w:color w:val="000000"/>
                <w:sz w:val="20"/>
                <w:szCs w:val="18"/>
              </w:rPr>
              <w:t>270</w:t>
            </w:r>
          </w:p>
        </w:tc>
        <w:tc>
          <w:tcPr>
            <w:tcW w:w="568" w:type="pct"/>
            <w:tcBorders>
              <w:right w:val="single" w:sz="12" w:space="0" w:color="auto"/>
            </w:tcBorders>
            <w:shd w:val="clear" w:color="auto" w:fill="auto"/>
            <w:vAlign w:val="bottom"/>
          </w:tcPr>
          <w:p w14:paraId="6D383201" w14:textId="77777777" w:rsidR="00335619" w:rsidRPr="0023367D" w:rsidRDefault="00335619" w:rsidP="00335619">
            <w:pPr>
              <w:jc w:val="right"/>
              <w:rPr>
                <w:color w:val="000000"/>
                <w:sz w:val="20"/>
                <w:szCs w:val="18"/>
              </w:rPr>
            </w:pPr>
            <w:r w:rsidRPr="0023367D">
              <w:rPr>
                <w:color w:val="000000"/>
                <w:sz w:val="20"/>
                <w:szCs w:val="18"/>
              </w:rPr>
              <w:t>55.9%</w:t>
            </w:r>
          </w:p>
        </w:tc>
        <w:tc>
          <w:tcPr>
            <w:tcW w:w="462" w:type="pct"/>
            <w:tcBorders>
              <w:left w:val="single" w:sz="12" w:space="0" w:color="auto"/>
            </w:tcBorders>
          </w:tcPr>
          <w:p w14:paraId="1FE33691" w14:textId="77777777" w:rsidR="00335619" w:rsidRPr="0023367D" w:rsidRDefault="00335619" w:rsidP="00335619">
            <w:pPr>
              <w:jc w:val="right"/>
              <w:rPr>
                <w:color w:val="000000"/>
                <w:sz w:val="20"/>
                <w:szCs w:val="18"/>
              </w:rPr>
            </w:pPr>
            <w:r w:rsidRPr="0023367D">
              <w:rPr>
                <w:color w:val="000000"/>
                <w:sz w:val="20"/>
                <w:szCs w:val="19"/>
              </w:rPr>
              <w:t>771</w:t>
            </w:r>
          </w:p>
        </w:tc>
        <w:tc>
          <w:tcPr>
            <w:tcW w:w="565" w:type="pct"/>
            <w:vAlign w:val="bottom"/>
          </w:tcPr>
          <w:p w14:paraId="6AB12939" w14:textId="77777777" w:rsidR="00335619" w:rsidRPr="0023367D" w:rsidRDefault="00335619" w:rsidP="00335619">
            <w:pPr>
              <w:jc w:val="right"/>
              <w:rPr>
                <w:color w:val="000000"/>
                <w:sz w:val="20"/>
                <w:szCs w:val="18"/>
              </w:rPr>
            </w:pPr>
            <w:r w:rsidRPr="0023367D">
              <w:rPr>
                <w:color w:val="000000"/>
                <w:sz w:val="20"/>
                <w:szCs w:val="19"/>
              </w:rPr>
              <w:t>43.5%</w:t>
            </w:r>
          </w:p>
        </w:tc>
        <w:tc>
          <w:tcPr>
            <w:tcW w:w="462" w:type="pct"/>
            <w:vAlign w:val="bottom"/>
          </w:tcPr>
          <w:p w14:paraId="298753AA" w14:textId="77777777" w:rsidR="00335619" w:rsidRPr="0023367D" w:rsidRDefault="00335619" w:rsidP="00335619">
            <w:pPr>
              <w:jc w:val="right"/>
              <w:rPr>
                <w:color w:val="000000"/>
                <w:sz w:val="20"/>
                <w:szCs w:val="18"/>
              </w:rPr>
            </w:pPr>
            <w:r w:rsidRPr="0023367D">
              <w:rPr>
                <w:color w:val="000000"/>
                <w:sz w:val="20"/>
                <w:szCs w:val="19"/>
              </w:rPr>
              <w:t>268</w:t>
            </w:r>
          </w:p>
        </w:tc>
        <w:tc>
          <w:tcPr>
            <w:tcW w:w="564" w:type="pct"/>
            <w:vAlign w:val="bottom"/>
          </w:tcPr>
          <w:p w14:paraId="47A16012" w14:textId="77777777" w:rsidR="00335619" w:rsidRPr="0023367D" w:rsidRDefault="00335619" w:rsidP="00335619">
            <w:pPr>
              <w:jc w:val="right"/>
              <w:rPr>
                <w:color w:val="000000"/>
                <w:sz w:val="20"/>
                <w:szCs w:val="18"/>
              </w:rPr>
            </w:pPr>
            <w:r w:rsidRPr="0023367D">
              <w:rPr>
                <w:color w:val="000000"/>
                <w:sz w:val="20"/>
                <w:szCs w:val="19"/>
              </w:rPr>
              <w:t>56.1%</w:t>
            </w:r>
          </w:p>
        </w:tc>
      </w:tr>
      <w:tr w:rsidR="00335619" w:rsidRPr="0023367D" w14:paraId="08406428" w14:textId="77777777" w:rsidTr="00576741">
        <w:trPr>
          <w:trHeight w:val="216"/>
          <w:jc w:val="center"/>
        </w:trPr>
        <w:tc>
          <w:tcPr>
            <w:tcW w:w="912" w:type="pct"/>
            <w:tcBorders>
              <w:right w:val="single" w:sz="12" w:space="0" w:color="auto"/>
            </w:tcBorders>
            <w:shd w:val="clear" w:color="auto" w:fill="auto"/>
            <w:noWrap/>
            <w:vAlign w:val="center"/>
          </w:tcPr>
          <w:p w14:paraId="42E956B5"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2008</w:t>
            </w:r>
          </w:p>
        </w:tc>
        <w:tc>
          <w:tcPr>
            <w:tcW w:w="508" w:type="pct"/>
            <w:tcBorders>
              <w:left w:val="single" w:sz="12" w:space="0" w:color="auto"/>
            </w:tcBorders>
            <w:shd w:val="clear" w:color="auto" w:fill="auto"/>
            <w:noWrap/>
            <w:vAlign w:val="bottom"/>
          </w:tcPr>
          <w:p w14:paraId="0CB040D0" w14:textId="77777777" w:rsidR="00335619" w:rsidRPr="0023367D" w:rsidRDefault="00335619" w:rsidP="00335619">
            <w:pPr>
              <w:jc w:val="right"/>
              <w:rPr>
                <w:color w:val="000000"/>
                <w:sz w:val="20"/>
                <w:szCs w:val="18"/>
              </w:rPr>
            </w:pPr>
            <w:r w:rsidRPr="0023367D">
              <w:rPr>
                <w:color w:val="000000"/>
                <w:sz w:val="20"/>
                <w:szCs w:val="18"/>
              </w:rPr>
              <w:t>379</w:t>
            </w:r>
          </w:p>
        </w:tc>
        <w:tc>
          <w:tcPr>
            <w:tcW w:w="549" w:type="pct"/>
            <w:vAlign w:val="bottom"/>
          </w:tcPr>
          <w:p w14:paraId="60B323FB" w14:textId="77777777" w:rsidR="00335619" w:rsidRPr="0023367D" w:rsidRDefault="00335619" w:rsidP="00335619">
            <w:pPr>
              <w:jc w:val="right"/>
              <w:rPr>
                <w:color w:val="000000"/>
                <w:sz w:val="20"/>
                <w:szCs w:val="18"/>
              </w:rPr>
            </w:pPr>
            <w:r w:rsidRPr="0023367D">
              <w:rPr>
                <w:color w:val="000000"/>
                <w:sz w:val="20"/>
                <w:szCs w:val="18"/>
              </w:rPr>
              <w:t>74.5%</w:t>
            </w:r>
          </w:p>
        </w:tc>
        <w:tc>
          <w:tcPr>
            <w:tcW w:w="410" w:type="pct"/>
            <w:vAlign w:val="bottom"/>
          </w:tcPr>
          <w:p w14:paraId="53784BC5" w14:textId="77777777" w:rsidR="00335619" w:rsidRPr="0023367D" w:rsidRDefault="00335619" w:rsidP="00335619">
            <w:pPr>
              <w:jc w:val="right"/>
              <w:rPr>
                <w:color w:val="000000"/>
                <w:sz w:val="20"/>
                <w:szCs w:val="18"/>
              </w:rPr>
            </w:pPr>
            <w:r w:rsidRPr="0023367D">
              <w:rPr>
                <w:color w:val="000000"/>
                <w:sz w:val="20"/>
                <w:szCs w:val="18"/>
              </w:rPr>
              <w:t>142</w:t>
            </w:r>
          </w:p>
        </w:tc>
        <w:tc>
          <w:tcPr>
            <w:tcW w:w="568" w:type="pct"/>
            <w:tcBorders>
              <w:right w:val="single" w:sz="12" w:space="0" w:color="auto"/>
            </w:tcBorders>
            <w:shd w:val="clear" w:color="auto" w:fill="auto"/>
            <w:vAlign w:val="bottom"/>
          </w:tcPr>
          <w:p w14:paraId="48FF9A82" w14:textId="77777777" w:rsidR="00335619" w:rsidRPr="0023367D" w:rsidRDefault="00335619" w:rsidP="00335619">
            <w:pPr>
              <w:jc w:val="right"/>
              <w:rPr>
                <w:color w:val="000000"/>
                <w:sz w:val="20"/>
                <w:szCs w:val="18"/>
              </w:rPr>
            </w:pPr>
            <w:r w:rsidRPr="0023367D">
              <w:rPr>
                <w:color w:val="000000"/>
                <w:sz w:val="20"/>
                <w:szCs w:val="18"/>
              </w:rPr>
              <w:t>64.0%</w:t>
            </w:r>
          </w:p>
        </w:tc>
        <w:tc>
          <w:tcPr>
            <w:tcW w:w="462" w:type="pct"/>
            <w:tcBorders>
              <w:left w:val="single" w:sz="12" w:space="0" w:color="auto"/>
            </w:tcBorders>
          </w:tcPr>
          <w:p w14:paraId="10D7542E" w14:textId="77777777" w:rsidR="00335619" w:rsidRPr="0023367D" w:rsidRDefault="00335619" w:rsidP="00335619">
            <w:pPr>
              <w:jc w:val="right"/>
              <w:rPr>
                <w:color w:val="000000"/>
                <w:sz w:val="20"/>
                <w:szCs w:val="18"/>
              </w:rPr>
            </w:pPr>
            <w:r w:rsidRPr="0023367D">
              <w:rPr>
                <w:color w:val="000000"/>
                <w:sz w:val="20"/>
                <w:szCs w:val="19"/>
              </w:rPr>
              <w:t>369</w:t>
            </w:r>
          </w:p>
        </w:tc>
        <w:tc>
          <w:tcPr>
            <w:tcW w:w="565" w:type="pct"/>
            <w:vAlign w:val="bottom"/>
          </w:tcPr>
          <w:p w14:paraId="2FC53238" w14:textId="77777777" w:rsidR="00335619" w:rsidRPr="0023367D" w:rsidRDefault="00335619" w:rsidP="00335619">
            <w:pPr>
              <w:jc w:val="right"/>
              <w:rPr>
                <w:color w:val="000000"/>
                <w:sz w:val="20"/>
                <w:szCs w:val="18"/>
              </w:rPr>
            </w:pPr>
            <w:r w:rsidRPr="0023367D">
              <w:rPr>
                <w:color w:val="000000"/>
                <w:sz w:val="20"/>
                <w:szCs w:val="19"/>
              </w:rPr>
              <w:t>47.9%</w:t>
            </w:r>
          </w:p>
        </w:tc>
        <w:tc>
          <w:tcPr>
            <w:tcW w:w="462" w:type="pct"/>
            <w:vAlign w:val="bottom"/>
          </w:tcPr>
          <w:p w14:paraId="3B244917" w14:textId="77777777" w:rsidR="00335619" w:rsidRPr="0023367D" w:rsidRDefault="00335619" w:rsidP="00335619">
            <w:pPr>
              <w:jc w:val="right"/>
              <w:rPr>
                <w:color w:val="000000"/>
                <w:sz w:val="20"/>
                <w:szCs w:val="18"/>
              </w:rPr>
            </w:pPr>
            <w:r w:rsidRPr="0023367D">
              <w:rPr>
                <w:color w:val="000000"/>
                <w:sz w:val="20"/>
                <w:szCs w:val="19"/>
              </w:rPr>
              <w:t>140</w:t>
            </w:r>
          </w:p>
        </w:tc>
        <w:tc>
          <w:tcPr>
            <w:tcW w:w="564" w:type="pct"/>
            <w:vAlign w:val="bottom"/>
          </w:tcPr>
          <w:p w14:paraId="7A14BA6A" w14:textId="77777777" w:rsidR="00335619" w:rsidRPr="0023367D" w:rsidRDefault="00335619" w:rsidP="00335619">
            <w:pPr>
              <w:jc w:val="right"/>
              <w:rPr>
                <w:color w:val="000000"/>
                <w:sz w:val="20"/>
                <w:szCs w:val="18"/>
              </w:rPr>
            </w:pPr>
            <w:r w:rsidRPr="0023367D">
              <w:rPr>
                <w:color w:val="000000"/>
                <w:sz w:val="20"/>
                <w:szCs w:val="19"/>
              </w:rPr>
              <w:t>58.3%</w:t>
            </w:r>
          </w:p>
        </w:tc>
      </w:tr>
      <w:tr w:rsidR="00335619" w:rsidRPr="0023367D" w14:paraId="4AE84E7C" w14:textId="77777777" w:rsidTr="00576741">
        <w:trPr>
          <w:trHeight w:val="216"/>
          <w:jc w:val="center"/>
        </w:trPr>
        <w:tc>
          <w:tcPr>
            <w:tcW w:w="912" w:type="pct"/>
            <w:tcBorders>
              <w:right w:val="single" w:sz="12" w:space="0" w:color="auto"/>
            </w:tcBorders>
            <w:shd w:val="clear" w:color="auto" w:fill="auto"/>
            <w:noWrap/>
            <w:vAlign w:val="center"/>
          </w:tcPr>
          <w:p w14:paraId="294EF886"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2009</w:t>
            </w:r>
          </w:p>
        </w:tc>
        <w:tc>
          <w:tcPr>
            <w:tcW w:w="508" w:type="pct"/>
            <w:tcBorders>
              <w:left w:val="single" w:sz="12" w:space="0" w:color="auto"/>
            </w:tcBorders>
            <w:shd w:val="clear" w:color="auto" w:fill="auto"/>
            <w:noWrap/>
            <w:vAlign w:val="bottom"/>
          </w:tcPr>
          <w:p w14:paraId="55A0E3AD" w14:textId="77777777" w:rsidR="00335619" w:rsidRPr="0023367D" w:rsidRDefault="00335619" w:rsidP="00335619">
            <w:pPr>
              <w:jc w:val="right"/>
              <w:rPr>
                <w:color w:val="000000"/>
                <w:sz w:val="20"/>
                <w:szCs w:val="18"/>
              </w:rPr>
            </w:pPr>
            <w:r w:rsidRPr="0023367D">
              <w:rPr>
                <w:color w:val="000000"/>
                <w:sz w:val="20"/>
                <w:szCs w:val="18"/>
              </w:rPr>
              <w:t>368</w:t>
            </w:r>
          </w:p>
        </w:tc>
        <w:tc>
          <w:tcPr>
            <w:tcW w:w="549" w:type="pct"/>
            <w:vAlign w:val="bottom"/>
          </w:tcPr>
          <w:p w14:paraId="184B4A21" w14:textId="77777777" w:rsidR="00335619" w:rsidRPr="0023367D" w:rsidRDefault="00335619" w:rsidP="00335619">
            <w:pPr>
              <w:jc w:val="right"/>
              <w:rPr>
                <w:color w:val="000000"/>
                <w:sz w:val="20"/>
                <w:szCs w:val="18"/>
              </w:rPr>
            </w:pPr>
            <w:r w:rsidRPr="0023367D">
              <w:rPr>
                <w:color w:val="000000"/>
                <w:sz w:val="20"/>
                <w:szCs w:val="18"/>
              </w:rPr>
              <w:t>75.2%</w:t>
            </w:r>
          </w:p>
        </w:tc>
        <w:tc>
          <w:tcPr>
            <w:tcW w:w="410" w:type="pct"/>
            <w:vAlign w:val="bottom"/>
          </w:tcPr>
          <w:p w14:paraId="1B678525" w14:textId="77777777" w:rsidR="00335619" w:rsidRPr="0023367D" w:rsidRDefault="00335619" w:rsidP="00335619">
            <w:pPr>
              <w:jc w:val="right"/>
              <w:rPr>
                <w:color w:val="000000"/>
                <w:sz w:val="20"/>
                <w:szCs w:val="18"/>
              </w:rPr>
            </w:pPr>
            <w:r w:rsidRPr="0023367D">
              <w:rPr>
                <w:color w:val="000000"/>
                <w:sz w:val="20"/>
                <w:szCs w:val="18"/>
              </w:rPr>
              <w:t>133</w:t>
            </w:r>
          </w:p>
        </w:tc>
        <w:tc>
          <w:tcPr>
            <w:tcW w:w="568" w:type="pct"/>
            <w:tcBorders>
              <w:right w:val="single" w:sz="12" w:space="0" w:color="auto"/>
            </w:tcBorders>
            <w:shd w:val="clear" w:color="auto" w:fill="auto"/>
            <w:vAlign w:val="bottom"/>
          </w:tcPr>
          <w:p w14:paraId="6D6B95E9" w14:textId="77777777" w:rsidR="00335619" w:rsidRPr="0023367D" w:rsidRDefault="00335619" w:rsidP="00335619">
            <w:pPr>
              <w:jc w:val="right"/>
              <w:rPr>
                <w:color w:val="000000"/>
                <w:sz w:val="20"/>
                <w:szCs w:val="18"/>
              </w:rPr>
            </w:pPr>
            <w:r w:rsidRPr="0023367D">
              <w:rPr>
                <w:color w:val="000000"/>
                <w:sz w:val="20"/>
                <w:szCs w:val="18"/>
              </w:rPr>
              <w:t>61.3%</w:t>
            </w:r>
          </w:p>
        </w:tc>
        <w:tc>
          <w:tcPr>
            <w:tcW w:w="462" w:type="pct"/>
            <w:tcBorders>
              <w:left w:val="single" w:sz="12" w:space="0" w:color="auto"/>
            </w:tcBorders>
          </w:tcPr>
          <w:p w14:paraId="5362F1B2" w14:textId="77777777" w:rsidR="00335619" w:rsidRPr="0023367D" w:rsidRDefault="00335619" w:rsidP="00335619">
            <w:pPr>
              <w:jc w:val="right"/>
              <w:rPr>
                <w:color w:val="000000"/>
                <w:sz w:val="20"/>
                <w:szCs w:val="18"/>
              </w:rPr>
            </w:pPr>
            <w:r w:rsidRPr="0023367D">
              <w:rPr>
                <w:color w:val="000000"/>
                <w:sz w:val="20"/>
                <w:szCs w:val="19"/>
              </w:rPr>
              <w:t>373</w:t>
            </w:r>
          </w:p>
        </w:tc>
        <w:tc>
          <w:tcPr>
            <w:tcW w:w="565" w:type="pct"/>
            <w:vAlign w:val="bottom"/>
          </w:tcPr>
          <w:p w14:paraId="15DF22CB" w14:textId="77777777" w:rsidR="00335619" w:rsidRPr="0023367D" w:rsidRDefault="00335619" w:rsidP="00335619">
            <w:pPr>
              <w:jc w:val="right"/>
              <w:rPr>
                <w:color w:val="000000"/>
                <w:sz w:val="20"/>
                <w:szCs w:val="18"/>
              </w:rPr>
            </w:pPr>
            <w:r w:rsidRPr="0023367D">
              <w:rPr>
                <w:color w:val="000000"/>
                <w:sz w:val="20"/>
                <w:szCs w:val="19"/>
              </w:rPr>
              <w:t>50.5%</w:t>
            </w:r>
          </w:p>
        </w:tc>
        <w:tc>
          <w:tcPr>
            <w:tcW w:w="462" w:type="pct"/>
            <w:vAlign w:val="bottom"/>
          </w:tcPr>
          <w:p w14:paraId="2C467327" w14:textId="77777777" w:rsidR="00335619" w:rsidRPr="0023367D" w:rsidRDefault="00335619" w:rsidP="00335619">
            <w:pPr>
              <w:jc w:val="right"/>
              <w:rPr>
                <w:color w:val="000000"/>
                <w:sz w:val="20"/>
                <w:szCs w:val="18"/>
              </w:rPr>
            </w:pPr>
            <w:r w:rsidRPr="0023367D">
              <w:rPr>
                <w:color w:val="000000"/>
                <w:sz w:val="20"/>
                <w:szCs w:val="19"/>
              </w:rPr>
              <w:t>134</w:t>
            </w:r>
          </w:p>
        </w:tc>
        <w:tc>
          <w:tcPr>
            <w:tcW w:w="564" w:type="pct"/>
            <w:vAlign w:val="bottom"/>
          </w:tcPr>
          <w:p w14:paraId="25BC7BDB" w14:textId="77777777" w:rsidR="00335619" w:rsidRPr="0023367D" w:rsidRDefault="00335619" w:rsidP="00335619">
            <w:pPr>
              <w:jc w:val="right"/>
              <w:rPr>
                <w:color w:val="000000"/>
                <w:sz w:val="20"/>
                <w:szCs w:val="18"/>
              </w:rPr>
            </w:pPr>
            <w:r w:rsidRPr="0023367D">
              <w:rPr>
                <w:color w:val="000000"/>
                <w:sz w:val="20"/>
                <w:szCs w:val="19"/>
              </w:rPr>
              <w:t>47.9%</w:t>
            </w:r>
          </w:p>
        </w:tc>
      </w:tr>
      <w:tr w:rsidR="00335619" w:rsidRPr="0023367D" w14:paraId="616AE8B2" w14:textId="77777777" w:rsidTr="00576741">
        <w:trPr>
          <w:trHeight w:val="216"/>
          <w:jc w:val="center"/>
        </w:trPr>
        <w:tc>
          <w:tcPr>
            <w:tcW w:w="912" w:type="pct"/>
            <w:tcBorders>
              <w:right w:val="single" w:sz="12" w:space="0" w:color="auto"/>
            </w:tcBorders>
            <w:shd w:val="clear" w:color="auto" w:fill="auto"/>
            <w:noWrap/>
            <w:vAlign w:val="center"/>
          </w:tcPr>
          <w:p w14:paraId="4D17C14A"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2010</w:t>
            </w:r>
          </w:p>
        </w:tc>
        <w:tc>
          <w:tcPr>
            <w:tcW w:w="508" w:type="pct"/>
            <w:tcBorders>
              <w:left w:val="single" w:sz="12" w:space="0" w:color="auto"/>
            </w:tcBorders>
            <w:shd w:val="clear" w:color="auto" w:fill="auto"/>
            <w:noWrap/>
            <w:vAlign w:val="bottom"/>
          </w:tcPr>
          <w:p w14:paraId="235F1059" w14:textId="77777777" w:rsidR="00335619" w:rsidRPr="0023367D" w:rsidRDefault="00335619" w:rsidP="00335619">
            <w:pPr>
              <w:jc w:val="right"/>
              <w:rPr>
                <w:color w:val="000000"/>
                <w:sz w:val="20"/>
                <w:szCs w:val="18"/>
              </w:rPr>
            </w:pPr>
            <w:r w:rsidRPr="0023367D">
              <w:rPr>
                <w:color w:val="000000"/>
                <w:sz w:val="20"/>
                <w:szCs w:val="18"/>
              </w:rPr>
              <w:t>390</w:t>
            </w:r>
          </w:p>
        </w:tc>
        <w:tc>
          <w:tcPr>
            <w:tcW w:w="549" w:type="pct"/>
            <w:vAlign w:val="bottom"/>
          </w:tcPr>
          <w:p w14:paraId="1102DF5B" w14:textId="77777777" w:rsidR="00335619" w:rsidRPr="0023367D" w:rsidRDefault="00335619" w:rsidP="00335619">
            <w:pPr>
              <w:jc w:val="right"/>
              <w:rPr>
                <w:color w:val="000000"/>
                <w:sz w:val="20"/>
                <w:szCs w:val="18"/>
              </w:rPr>
            </w:pPr>
            <w:r w:rsidRPr="0023367D">
              <w:rPr>
                <w:color w:val="000000"/>
                <w:sz w:val="20"/>
                <w:szCs w:val="18"/>
              </w:rPr>
              <w:t>77.9%</w:t>
            </w:r>
          </w:p>
        </w:tc>
        <w:tc>
          <w:tcPr>
            <w:tcW w:w="410" w:type="pct"/>
            <w:vAlign w:val="bottom"/>
          </w:tcPr>
          <w:p w14:paraId="363F624D" w14:textId="77777777" w:rsidR="00335619" w:rsidRPr="0023367D" w:rsidRDefault="00335619" w:rsidP="00335619">
            <w:pPr>
              <w:jc w:val="right"/>
              <w:rPr>
                <w:color w:val="000000"/>
                <w:sz w:val="20"/>
                <w:szCs w:val="18"/>
              </w:rPr>
            </w:pPr>
            <w:r w:rsidRPr="0023367D">
              <w:rPr>
                <w:color w:val="000000"/>
                <w:sz w:val="20"/>
                <w:szCs w:val="18"/>
              </w:rPr>
              <w:t>154</w:t>
            </w:r>
          </w:p>
        </w:tc>
        <w:tc>
          <w:tcPr>
            <w:tcW w:w="568" w:type="pct"/>
            <w:tcBorders>
              <w:right w:val="single" w:sz="12" w:space="0" w:color="auto"/>
            </w:tcBorders>
            <w:shd w:val="clear" w:color="auto" w:fill="auto"/>
            <w:vAlign w:val="bottom"/>
          </w:tcPr>
          <w:p w14:paraId="38AAFF50" w14:textId="77777777" w:rsidR="00335619" w:rsidRPr="0023367D" w:rsidRDefault="00335619" w:rsidP="00335619">
            <w:pPr>
              <w:jc w:val="right"/>
              <w:rPr>
                <w:color w:val="000000"/>
                <w:sz w:val="20"/>
                <w:szCs w:val="18"/>
              </w:rPr>
            </w:pPr>
            <w:r w:rsidRPr="0023367D">
              <w:rPr>
                <w:color w:val="000000"/>
                <w:sz w:val="20"/>
                <w:szCs w:val="18"/>
              </w:rPr>
              <w:t>56.8%</w:t>
            </w:r>
          </w:p>
        </w:tc>
        <w:tc>
          <w:tcPr>
            <w:tcW w:w="462" w:type="pct"/>
            <w:tcBorders>
              <w:left w:val="single" w:sz="12" w:space="0" w:color="auto"/>
            </w:tcBorders>
          </w:tcPr>
          <w:p w14:paraId="131163A7" w14:textId="77777777" w:rsidR="00335619" w:rsidRPr="0023367D" w:rsidRDefault="00335619" w:rsidP="00335619">
            <w:pPr>
              <w:jc w:val="right"/>
              <w:rPr>
                <w:color w:val="000000"/>
                <w:sz w:val="20"/>
                <w:szCs w:val="18"/>
              </w:rPr>
            </w:pPr>
            <w:r w:rsidRPr="0023367D">
              <w:rPr>
                <w:color w:val="000000"/>
                <w:sz w:val="20"/>
                <w:szCs w:val="19"/>
              </w:rPr>
              <w:t>393</w:t>
            </w:r>
          </w:p>
        </w:tc>
        <w:tc>
          <w:tcPr>
            <w:tcW w:w="565" w:type="pct"/>
            <w:vAlign w:val="bottom"/>
          </w:tcPr>
          <w:p w14:paraId="1D28AB01" w14:textId="77777777" w:rsidR="00335619" w:rsidRPr="0023367D" w:rsidRDefault="00335619" w:rsidP="00335619">
            <w:pPr>
              <w:jc w:val="right"/>
              <w:rPr>
                <w:color w:val="000000"/>
                <w:sz w:val="20"/>
                <w:szCs w:val="18"/>
              </w:rPr>
            </w:pPr>
            <w:r w:rsidRPr="0023367D">
              <w:rPr>
                <w:color w:val="000000"/>
                <w:sz w:val="20"/>
                <w:szCs w:val="19"/>
              </w:rPr>
              <w:t>49.9%</w:t>
            </w:r>
          </w:p>
        </w:tc>
        <w:tc>
          <w:tcPr>
            <w:tcW w:w="462" w:type="pct"/>
            <w:vAlign w:val="bottom"/>
          </w:tcPr>
          <w:p w14:paraId="3C34F4B8" w14:textId="77777777" w:rsidR="00335619" w:rsidRPr="0023367D" w:rsidRDefault="00335619" w:rsidP="00335619">
            <w:pPr>
              <w:jc w:val="right"/>
              <w:rPr>
                <w:color w:val="000000"/>
                <w:sz w:val="20"/>
                <w:szCs w:val="18"/>
              </w:rPr>
            </w:pPr>
            <w:r w:rsidRPr="0023367D">
              <w:rPr>
                <w:color w:val="000000"/>
                <w:sz w:val="20"/>
                <w:szCs w:val="19"/>
              </w:rPr>
              <w:t>154</w:t>
            </w:r>
          </w:p>
        </w:tc>
        <w:tc>
          <w:tcPr>
            <w:tcW w:w="564" w:type="pct"/>
            <w:vAlign w:val="bottom"/>
          </w:tcPr>
          <w:p w14:paraId="569D08E4" w14:textId="77777777" w:rsidR="00335619" w:rsidRPr="0023367D" w:rsidRDefault="00335619" w:rsidP="00335619">
            <w:pPr>
              <w:jc w:val="right"/>
              <w:rPr>
                <w:color w:val="000000"/>
                <w:sz w:val="20"/>
                <w:szCs w:val="18"/>
              </w:rPr>
            </w:pPr>
            <w:r w:rsidRPr="0023367D">
              <w:rPr>
                <w:color w:val="000000"/>
                <w:sz w:val="20"/>
                <w:szCs w:val="19"/>
              </w:rPr>
              <w:t>46.6%</w:t>
            </w:r>
          </w:p>
        </w:tc>
      </w:tr>
      <w:tr w:rsidR="00335619" w:rsidRPr="0023367D" w14:paraId="750B40A5" w14:textId="77777777" w:rsidTr="00576741">
        <w:trPr>
          <w:trHeight w:val="216"/>
          <w:jc w:val="center"/>
        </w:trPr>
        <w:tc>
          <w:tcPr>
            <w:tcW w:w="912" w:type="pct"/>
            <w:tcBorders>
              <w:right w:val="single" w:sz="12" w:space="0" w:color="auto"/>
            </w:tcBorders>
            <w:shd w:val="clear" w:color="auto" w:fill="auto"/>
            <w:noWrap/>
            <w:vAlign w:val="center"/>
          </w:tcPr>
          <w:p w14:paraId="5D6DD4A5"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2011</w:t>
            </w:r>
          </w:p>
        </w:tc>
        <w:tc>
          <w:tcPr>
            <w:tcW w:w="508" w:type="pct"/>
            <w:tcBorders>
              <w:left w:val="single" w:sz="12" w:space="0" w:color="auto"/>
            </w:tcBorders>
            <w:shd w:val="clear" w:color="auto" w:fill="auto"/>
            <w:noWrap/>
            <w:vAlign w:val="bottom"/>
          </w:tcPr>
          <w:p w14:paraId="5983B1EE" w14:textId="77777777" w:rsidR="00335619" w:rsidRPr="0023367D" w:rsidRDefault="00335619" w:rsidP="00335619">
            <w:pPr>
              <w:jc w:val="right"/>
              <w:rPr>
                <w:color w:val="000000"/>
                <w:sz w:val="20"/>
                <w:szCs w:val="18"/>
              </w:rPr>
            </w:pPr>
            <w:r w:rsidRPr="0023367D">
              <w:rPr>
                <w:color w:val="000000"/>
                <w:sz w:val="20"/>
                <w:szCs w:val="18"/>
              </w:rPr>
              <w:t>433</w:t>
            </w:r>
          </w:p>
        </w:tc>
        <w:tc>
          <w:tcPr>
            <w:tcW w:w="549" w:type="pct"/>
            <w:vAlign w:val="bottom"/>
          </w:tcPr>
          <w:p w14:paraId="2C4DD832" w14:textId="77777777" w:rsidR="00335619" w:rsidRPr="0023367D" w:rsidRDefault="00335619" w:rsidP="00335619">
            <w:pPr>
              <w:jc w:val="right"/>
              <w:rPr>
                <w:color w:val="000000"/>
                <w:sz w:val="20"/>
                <w:szCs w:val="18"/>
              </w:rPr>
            </w:pPr>
            <w:r w:rsidRPr="0023367D">
              <w:rPr>
                <w:color w:val="000000"/>
                <w:sz w:val="20"/>
                <w:szCs w:val="18"/>
              </w:rPr>
              <w:t>84.8%</w:t>
            </w:r>
          </w:p>
        </w:tc>
        <w:tc>
          <w:tcPr>
            <w:tcW w:w="410" w:type="pct"/>
            <w:vAlign w:val="bottom"/>
          </w:tcPr>
          <w:p w14:paraId="416BBCBF" w14:textId="77777777" w:rsidR="00335619" w:rsidRPr="0023367D" w:rsidRDefault="00335619" w:rsidP="00335619">
            <w:pPr>
              <w:jc w:val="right"/>
              <w:rPr>
                <w:color w:val="000000"/>
                <w:sz w:val="20"/>
                <w:szCs w:val="18"/>
              </w:rPr>
            </w:pPr>
            <w:r w:rsidRPr="0023367D">
              <w:rPr>
                <w:color w:val="000000"/>
                <w:sz w:val="20"/>
                <w:szCs w:val="18"/>
              </w:rPr>
              <w:t>177</w:t>
            </w:r>
          </w:p>
        </w:tc>
        <w:tc>
          <w:tcPr>
            <w:tcW w:w="568" w:type="pct"/>
            <w:tcBorders>
              <w:right w:val="single" w:sz="12" w:space="0" w:color="auto"/>
            </w:tcBorders>
            <w:shd w:val="clear" w:color="auto" w:fill="auto"/>
            <w:vAlign w:val="bottom"/>
          </w:tcPr>
          <w:p w14:paraId="5D34C945" w14:textId="77777777" w:rsidR="00335619" w:rsidRPr="0023367D" w:rsidRDefault="00335619" w:rsidP="00335619">
            <w:pPr>
              <w:jc w:val="right"/>
              <w:rPr>
                <w:color w:val="000000"/>
                <w:sz w:val="20"/>
                <w:szCs w:val="18"/>
              </w:rPr>
            </w:pPr>
            <w:r w:rsidRPr="0023367D">
              <w:rPr>
                <w:color w:val="000000"/>
                <w:sz w:val="20"/>
                <w:szCs w:val="18"/>
              </w:rPr>
              <w:t>63.2%</w:t>
            </w:r>
          </w:p>
        </w:tc>
        <w:tc>
          <w:tcPr>
            <w:tcW w:w="462" w:type="pct"/>
            <w:tcBorders>
              <w:left w:val="single" w:sz="12" w:space="0" w:color="auto"/>
            </w:tcBorders>
          </w:tcPr>
          <w:p w14:paraId="4D1A4CC2" w14:textId="77777777" w:rsidR="00335619" w:rsidRPr="0023367D" w:rsidRDefault="00335619" w:rsidP="00335619">
            <w:pPr>
              <w:jc w:val="right"/>
              <w:rPr>
                <w:color w:val="000000"/>
                <w:sz w:val="20"/>
                <w:szCs w:val="18"/>
              </w:rPr>
            </w:pPr>
            <w:r w:rsidRPr="0023367D">
              <w:rPr>
                <w:color w:val="000000"/>
                <w:sz w:val="20"/>
                <w:szCs w:val="19"/>
              </w:rPr>
              <w:t>438</w:t>
            </w:r>
          </w:p>
        </w:tc>
        <w:tc>
          <w:tcPr>
            <w:tcW w:w="565" w:type="pct"/>
            <w:vAlign w:val="bottom"/>
          </w:tcPr>
          <w:p w14:paraId="04FF8F83" w14:textId="77777777" w:rsidR="00335619" w:rsidRPr="0023367D" w:rsidRDefault="00335619" w:rsidP="00335619">
            <w:pPr>
              <w:jc w:val="right"/>
              <w:rPr>
                <w:color w:val="000000"/>
                <w:sz w:val="20"/>
                <w:szCs w:val="18"/>
              </w:rPr>
            </w:pPr>
            <w:r w:rsidRPr="0023367D">
              <w:rPr>
                <w:color w:val="000000"/>
                <w:sz w:val="20"/>
                <w:szCs w:val="19"/>
              </w:rPr>
              <w:t>62.1%</w:t>
            </w:r>
          </w:p>
        </w:tc>
        <w:tc>
          <w:tcPr>
            <w:tcW w:w="462" w:type="pct"/>
            <w:vAlign w:val="bottom"/>
          </w:tcPr>
          <w:p w14:paraId="5B3150AE" w14:textId="77777777" w:rsidR="00335619" w:rsidRPr="0023367D" w:rsidRDefault="00335619" w:rsidP="00335619">
            <w:pPr>
              <w:jc w:val="right"/>
              <w:rPr>
                <w:color w:val="000000"/>
                <w:sz w:val="20"/>
                <w:szCs w:val="18"/>
              </w:rPr>
            </w:pPr>
            <w:r w:rsidRPr="0023367D">
              <w:rPr>
                <w:color w:val="000000"/>
                <w:sz w:val="20"/>
                <w:szCs w:val="19"/>
              </w:rPr>
              <w:t>177</w:t>
            </w:r>
          </w:p>
        </w:tc>
        <w:tc>
          <w:tcPr>
            <w:tcW w:w="564" w:type="pct"/>
            <w:vAlign w:val="bottom"/>
          </w:tcPr>
          <w:p w14:paraId="0DF116FB" w14:textId="77777777" w:rsidR="00335619" w:rsidRPr="0023367D" w:rsidRDefault="00335619" w:rsidP="00335619">
            <w:pPr>
              <w:jc w:val="right"/>
              <w:rPr>
                <w:color w:val="000000"/>
                <w:sz w:val="20"/>
                <w:szCs w:val="18"/>
              </w:rPr>
            </w:pPr>
            <w:r w:rsidRPr="0023367D">
              <w:rPr>
                <w:color w:val="000000"/>
                <w:sz w:val="20"/>
                <w:szCs w:val="19"/>
              </w:rPr>
              <w:t>60.4%</w:t>
            </w:r>
          </w:p>
        </w:tc>
      </w:tr>
      <w:tr w:rsidR="00335619" w:rsidRPr="0023367D" w14:paraId="6FB0AE95" w14:textId="77777777" w:rsidTr="00576741">
        <w:trPr>
          <w:trHeight w:val="216"/>
          <w:jc w:val="center"/>
        </w:trPr>
        <w:tc>
          <w:tcPr>
            <w:tcW w:w="912" w:type="pct"/>
            <w:tcBorders>
              <w:right w:val="single" w:sz="12" w:space="0" w:color="auto"/>
            </w:tcBorders>
            <w:shd w:val="clear" w:color="auto" w:fill="auto"/>
            <w:noWrap/>
            <w:vAlign w:val="center"/>
          </w:tcPr>
          <w:p w14:paraId="4BBBF340"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2012</w:t>
            </w:r>
          </w:p>
        </w:tc>
        <w:tc>
          <w:tcPr>
            <w:tcW w:w="508" w:type="pct"/>
            <w:tcBorders>
              <w:left w:val="single" w:sz="12" w:space="0" w:color="auto"/>
            </w:tcBorders>
            <w:shd w:val="clear" w:color="auto" w:fill="auto"/>
            <w:noWrap/>
            <w:vAlign w:val="bottom"/>
          </w:tcPr>
          <w:p w14:paraId="046FBB17" w14:textId="77777777" w:rsidR="00335619" w:rsidRPr="0023367D" w:rsidRDefault="00335619" w:rsidP="00335619">
            <w:pPr>
              <w:jc w:val="right"/>
              <w:rPr>
                <w:color w:val="000000"/>
                <w:sz w:val="20"/>
                <w:szCs w:val="18"/>
              </w:rPr>
            </w:pPr>
            <w:r w:rsidRPr="0023367D">
              <w:rPr>
                <w:color w:val="000000"/>
                <w:sz w:val="20"/>
                <w:szCs w:val="18"/>
              </w:rPr>
              <w:t>471</w:t>
            </w:r>
          </w:p>
        </w:tc>
        <w:tc>
          <w:tcPr>
            <w:tcW w:w="549" w:type="pct"/>
            <w:vAlign w:val="bottom"/>
          </w:tcPr>
          <w:p w14:paraId="4D6916DB" w14:textId="77777777" w:rsidR="00335619" w:rsidRPr="0023367D" w:rsidRDefault="00335619" w:rsidP="00335619">
            <w:pPr>
              <w:jc w:val="right"/>
              <w:rPr>
                <w:color w:val="000000"/>
                <w:sz w:val="20"/>
                <w:szCs w:val="18"/>
              </w:rPr>
            </w:pPr>
            <w:r w:rsidRPr="0023367D">
              <w:rPr>
                <w:color w:val="000000"/>
                <w:sz w:val="20"/>
                <w:szCs w:val="18"/>
              </w:rPr>
              <w:t>84.8%</w:t>
            </w:r>
          </w:p>
        </w:tc>
        <w:tc>
          <w:tcPr>
            <w:tcW w:w="410" w:type="pct"/>
            <w:vAlign w:val="bottom"/>
          </w:tcPr>
          <w:p w14:paraId="539E9D8F" w14:textId="77777777" w:rsidR="00335619" w:rsidRPr="0023367D" w:rsidRDefault="00335619" w:rsidP="00335619">
            <w:pPr>
              <w:jc w:val="right"/>
              <w:rPr>
                <w:color w:val="000000"/>
                <w:sz w:val="20"/>
                <w:szCs w:val="18"/>
              </w:rPr>
            </w:pPr>
            <w:r w:rsidRPr="0023367D">
              <w:rPr>
                <w:color w:val="000000"/>
                <w:sz w:val="20"/>
                <w:szCs w:val="18"/>
              </w:rPr>
              <w:t>204</w:t>
            </w:r>
          </w:p>
        </w:tc>
        <w:tc>
          <w:tcPr>
            <w:tcW w:w="568" w:type="pct"/>
            <w:tcBorders>
              <w:right w:val="single" w:sz="12" w:space="0" w:color="auto"/>
            </w:tcBorders>
            <w:shd w:val="clear" w:color="auto" w:fill="auto"/>
            <w:vAlign w:val="bottom"/>
          </w:tcPr>
          <w:p w14:paraId="070F542A" w14:textId="77777777" w:rsidR="00335619" w:rsidRPr="0023367D" w:rsidRDefault="00335619" w:rsidP="00335619">
            <w:pPr>
              <w:jc w:val="right"/>
              <w:rPr>
                <w:color w:val="000000"/>
                <w:sz w:val="20"/>
                <w:szCs w:val="18"/>
              </w:rPr>
            </w:pPr>
            <w:r w:rsidRPr="0023367D">
              <w:rPr>
                <w:color w:val="000000"/>
                <w:sz w:val="20"/>
                <w:szCs w:val="18"/>
              </w:rPr>
              <w:t>59.3%</w:t>
            </w:r>
          </w:p>
        </w:tc>
        <w:tc>
          <w:tcPr>
            <w:tcW w:w="462" w:type="pct"/>
            <w:tcBorders>
              <w:left w:val="single" w:sz="12" w:space="0" w:color="auto"/>
            </w:tcBorders>
          </w:tcPr>
          <w:p w14:paraId="721C813B" w14:textId="77777777" w:rsidR="00335619" w:rsidRPr="0023367D" w:rsidRDefault="00335619" w:rsidP="00335619">
            <w:pPr>
              <w:jc w:val="right"/>
              <w:rPr>
                <w:color w:val="000000"/>
                <w:sz w:val="20"/>
                <w:szCs w:val="18"/>
              </w:rPr>
            </w:pPr>
            <w:r w:rsidRPr="0023367D">
              <w:rPr>
                <w:color w:val="000000"/>
                <w:sz w:val="20"/>
                <w:szCs w:val="19"/>
              </w:rPr>
              <w:t>465</w:t>
            </w:r>
          </w:p>
        </w:tc>
        <w:tc>
          <w:tcPr>
            <w:tcW w:w="565" w:type="pct"/>
            <w:vAlign w:val="bottom"/>
          </w:tcPr>
          <w:p w14:paraId="4A96BA8E" w14:textId="77777777" w:rsidR="00335619" w:rsidRPr="0023367D" w:rsidRDefault="00335619" w:rsidP="00335619">
            <w:pPr>
              <w:jc w:val="right"/>
              <w:rPr>
                <w:color w:val="000000"/>
                <w:sz w:val="20"/>
                <w:szCs w:val="18"/>
              </w:rPr>
            </w:pPr>
            <w:r w:rsidRPr="0023367D">
              <w:rPr>
                <w:color w:val="000000"/>
                <w:sz w:val="20"/>
                <w:szCs w:val="19"/>
              </w:rPr>
              <w:t>72.0%</w:t>
            </w:r>
          </w:p>
        </w:tc>
        <w:tc>
          <w:tcPr>
            <w:tcW w:w="462" w:type="pct"/>
            <w:vAlign w:val="bottom"/>
          </w:tcPr>
          <w:p w14:paraId="137FB8D3" w14:textId="77777777" w:rsidR="00335619" w:rsidRPr="0023367D" w:rsidRDefault="00335619" w:rsidP="00335619">
            <w:pPr>
              <w:jc w:val="right"/>
              <w:rPr>
                <w:color w:val="000000"/>
                <w:sz w:val="20"/>
                <w:szCs w:val="18"/>
              </w:rPr>
            </w:pPr>
            <w:r w:rsidRPr="0023367D">
              <w:rPr>
                <w:color w:val="000000"/>
                <w:sz w:val="20"/>
                <w:szCs w:val="19"/>
              </w:rPr>
              <w:t>198</w:t>
            </w:r>
          </w:p>
        </w:tc>
        <w:tc>
          <w:tcPr>
            <w:tcW w:w="564" w:type="pct"/>
            <w:vAlign w:val="bottom"/>
          </w:tcPr>
          <w:p w14:paraId="25E224F6" w14:textId="77777777" w:rsidR="00335619" w:rsidRPr="0023367D" w:rsidRDefault="00335619" w:rsidP="00335619">
            <w:pPr>
              <w:jc w:val="right"/>
              <w:rPr>
                <w:color w:val="000000"/>
                <w:sz w:val="20"/>
                <w:szCs w:val="18"/>
              </w:rPr>
            </w:pPr>
            <w:r w:rsidRPr="0023367D">
              <w:rPr>
                <w:color w:val="000000"/>
                <w:sz w:val="20"/>
                <w:szCs w:val="19"/>
              </w:rPr>
              <w:t>69.3%</w:t>
            </w:r>
          </w:p>
        </w:tc>
      </w:tr>
      <w:tr w:rsidR="00335619" w:rsidRPr="0023367D" w14:paraId="08E3223B" w14:textId="77777777" w:rsidTr="00576741">
        <w:trPr>
          <w:trHeight w:val="216"/>
          <w:jc w:val="center"/>
        </w:trPr>
        <w:tc>
          <w:tcPr>
            <w:tcW w:w="912" w:type="pct"/>
            <w:tcBorders>
              <w:right w:val="single" w:sz="12" w:space="0" w:color="auto"/>
            </w:tcBorders>
            <w:shd w:val="clear" w:color="auto" w:fill="auto"/>
            <w:noWrap/>
            <w:vAlign w:val="center"/>
          </w:tcPr>
          <w:p w14:paraId="68267353" w14:textId="77777777" w:rsidR="00335619" w:rsidRPr="0023367D" w:rsidRDefault="00335619" w:rsidP="00335619">
            <w:pPr>
              <w:jc w:val="center"/>
              <w:rPr>
                <w:bCs/>
                <w:color w:val="000000"/>
                <w:sz w:val="20"/>
                <w:szCs w:val="18"/>
                <w:lang w:bidi="he-IL"/>
              </w:rPr>
            </w:pPr>
            <w:r w:rsidRPr="0023367D">
              <w:rPr>
                <w:bCs/>
                <w:color w:val="000000"/>
                <w:sz w:val="20"/>
                <w:szCs w:val="18"/>
                <w:lang w:bidi="he-IL"/>
              </w:rPr>
              <w:t>2013</w:t>
            </w:r>
          </w:p>
        </w:tc>
        <w:tc>
          <w:tcPr>
            <w:tcW w:w="508" w:type="pct"/>
            <w:tcBorders>
              <w:left w:val="single" w:sz="12" w:space="0" w:color="auto"/>
            </w:tcBorders>
            <w:shd w:val="clear" w:color="auto" w:fill="auto"/>
            <w:noWrap/>
            <w:vAlign w:val="bottom"/>
          </w:tcPr>
          <w:p w14:paraId="26233841" w14:textId="77777777" w:rsidR="00335619" w:rsidRPr="0023367D" w:rsidRDefault="00335619" w:rsidP="00335619">
            <w:pPr>
              <w:jc w:val="right"/>
              <w:rPr>
                <w:color w:val="000000"/>
                <w:sz w:val="20"/>
                <w:szCs w:val="18"/>
              </w:rPr>
            </w:pPr>
            <w:r w:rsidRPr="0023367D">
              <w:rPr>
                <w:color w:val="000000"/>
                <w:sz w:val="20"/>
                <w:szCs w:val="18"/>
              </w:rPr>
              <w:t>475</w:t>
            </w:r>
          </w:p>
        </w:tc>
        <w:tc>
          <w:tcPr>
            <w:tcW w:w="549" w:type="pct"/>
            <w:vAlign w:val="bottom"/>
          </w:tcPr>
          <w:p w14:paraId="3031EE2E" w14:textId="77777777" w:rsidR="00335619" w:rsidRPr="0023367D" w:rsidRDefault="00335619" w:rsidP="00335619">
            <w:pPr>
              <w:jc w:val="right"/>
              <w:rPr>
                <w:color w:val="000000"/>
                <w:sz w:val="20"/>
                <w:szCs w:val="18"/>
              </w:rPr>
            </w:pPr>
            <w:r w:rsidRPr="0023367D">
              <w:rPr>
                <w:color w:val="000000"/>
                <w:sz w:val="20"/>
                <w:szCs w:val="18"/>
              </w:rPr>
              <w:t>80.1%</w:t>
            </w:r>
          </w:p>
        </w:tc>
        <w:tc>
          <w:tcPr>
            <w:tcW w:w="410" w:type="pct"/>
            <w:vAlign w:val="bottom"/>
          </w:tcPr>
          <w:p w14:paraId="068B2904" w14:textId="77777777" w:rsidR="00335619" w:rsidRPr="0023367D" w:rsidRDefault="00335619" w:rsidP="00335619">
            <w:pPr>
              <w:jc w:val="right"/>
              <w:rPr>
                <w:color w:val="000000"/>
                <w:sz w:val="20"/>
                <w:szCs w:val="18"/>
              </w:rPr>
            </w:pPr>
            <w:r w:rsidRPr="0023367D">
              <w:rPr>
                <w:color w:val="000000"/>
                <w:sz w:val="20"/>
                <w:szCs w:val="18"/>
              </w:rPr>
              <w:t>211</w:t>
            </w:r>
          </w:p>
        </w:tc>
        <w:tc>
          <w:tcPr>
            <w:tcW w:w="568" w:type="pct"/>
            <w:tcBorders>
              <w:right w:val="single" w:sz="12" w:space="0" w:color="auto"/>
            </w:tcBorders>
            <w:shd w:val="clear" w:color="auto" w:fill="auto"/>
            <w:vAlign w:val="bottom"/>
          </w:tcPr>
          <w:p w14:paraId="23B12AD0" w14:textId="77777777" w:rsidR="00335619" w:rsidRPr="0023367D" w:rsidRDefault="00335619" w:rsidP="00335619">
            <w:pPr>
              <w:jc w:val="right"/>
              <w:rPr>
                <w:color w:val="000000"/>
                <w:sz w:val="20"/>
                <w:szCs w:val="18"/>
              </w:rPr>
            </w:pPr>
            <w:r w:rsidRPr="0023367D">
              <w:rPr>
                <w:color w:val="000000"/>
                <w:sz w:val="20"/>
                <w:szCs w:val="18"/>
              </w:rPr>
              <w:t>53.0%</w:t>
            </w:r>
          </w:p>
        </w:tc>
        <w:tc>
          <w:tcPr>
            <w:tcW w:w="462" w:type="pct"/>
            <w:tcBorders>
              <w:left w:val="single" w:sz="12" w:space="0" w:color="auto"/>
            </w:tcBorders>
          </w:tcPr>
          <w:p w14:paraId="5EC4356B" w14:textId="77777777" w:rsidR="00335619" w:rsidRPr="0023367D" w:rsidRDefault="00335619" w:rsidP="00335619">
            <w:pPr>
              <w:jc w:val="right"/>
              <w:rPr>
                <w:color w:val="000000"/>
                <w:sz w:val="20"/>
                <w:szCs w:val="18"/>
              </w:rPr>
            </w:pPr>
            <w:r w:rsidRPr="0023367D">
              <w:rPr>
                <w:color w:val="000000"/>
                <w:sz w:val="20"/>
                <w:szCs w:val="19"/>
              </w:rPr>
              <w:t>476</w:t>
            </w:r>
          </w:p>
        </w:tc>
        <w:tc>
          <w:tcPr>
            <w:tcW w:w="565" w:type="pct"/>
            <w:vAlign w:val="bottom"/>
          </w:tcPr>
          <w:p w14:paraId="28422B21" w14:textId="77777777" w:rsidR="00335619" w:rsidRPr="0023367D" w:rsidRDefault="00335619" w:rsidP="00335619">
            <w:pPr>
              <w:jc w:val="right"/>
              <w:rPr>
                <w:color w:val="000000"/>
                <w:sz w:val="20"/>
                <w:szCs w:val="18"/>
              </w:rPr>
            </w:pPr>
            <w:r w:rsidRPr="0023367D">
              <w:rPr>
                <w:color w:val="000000"/>
                <w:sz w:val="20"/>
                <w:szCs w:val="19"/>
              </w:rPr>
              <w:t>65.5%</w:t>
            </w:r>
          </w:p>
        </w:tc>
        <w:tc>
          <w:tcPr>
            <w:tcW w:w="462" w:type="pct"/>
            <w:vAlign w:val="bottom"/>
          </w:tcPr>
          <w:p w14:paraId="0D7D61FD" w14:textId="77777777" w:rsidR="00335619" w:rsidRPr="0023367D" w:rsidRDefault="00335619" w:rsidP="00335619">
            <w:pPr>
              <w:jc w:val="right"/>
              <w:rPr>
                <w:color w:val="000000"/>
                <w:sz w:val="20"/>
                <w:szCs w:val="18"/>
              </w:rPr>
            </w:pPr>
            <w:r w:rsidRPr="0023367D">
              <w:rPr>
                <w:color w:val="000000"/>
                <w:sz w:val="20"/>
                <w:szCs w:val="19"/>
              </w:rPr>
              <w:t>212</w:t>
            </w:r>
          </w:p>
        </w:tc>
        <w:tc>
          <w:tcPr>
            <w:tcW w:w="564" w:type="pct"/>
            <w:vAlign w:val="bottom"/>
          </w:tcPr>
          <w:p w14:paraId="1E24E7F3" w14:textId="77777777" w:rsidR="00335619" w:rsidRPr="0023367D" w:rsidRDefault="00335619" w:rsidP="00335619">
            <w:pPr>
              <w:jc w:val="right"/>
              <w:rPr>
                <w:color w:val="000000"/>
                <w:sz w:val="20"/>
                <w:szCs w:val="18"/>
              </w:rPr>
            </w:pPr>
            <w:r w:rsidRPr="0023367D">
              <w:rPr>
                <w:color w:val="000000"/>
                <w:sz w:val="20"/>
                <w:szCs w:val="19"/>
              </w:rPr>
              <w:t>64.7%</w:t>
            </w:r>
          </w:p>
        </w:tc>
      </w:tr>
      <w:tr w:rsidR="00335619" w:rsidRPr="0023367D" w14:paraId="633F7BB0" w14:textId="77777777" w:rsidTr="00576741">
        <w:trPr>
          <w:trHeight w:val="584"/>
          <w:jc w:val="center"/>
        </w:trPr>
        <w:tc>
          <w:tcPr>
            <w:tcW w:w="1420" w:type="pct"/>
            <w:gridSpan w:val="2"/>
            <w:tcBorders>
              <w:left w:val="single" w:sz="12" w:space="0" w:color="auto"/>
            </w:tcBorders>
            <w:shd w:val="clear" w:color="auto" w:fill="auto"/>
            <w:noWrap/>
            <w:vAlign w:val="center"/>
          </w:tcPr>
          <w:p w14:paraId="0CA4F9D1" w14:textId="77777777" w:rsidR="00335619" w:rsidRPr="0023367D" w:rsidRDefault="00335619" w:rsidP="00335619">
            <w:pPr>
              <w:jc w:val="center"/>
              <w:rPr>
                <w:bCs/>
                <w:color w:val="000000"/>
                <w:sz w:val="18"/>
                <w:szCs w:val="18"/>
                <w:lang w:bidi="he-IL"/>
              </w:rPr>
            </w:pPr>
            <w:r w:rsidRPr="0023367D">
              <w:rPr>
                <w:bCs/>
                <w:color w:val="000000"/>
                <w:sz w:val="18"/>
                <w:szCs w:val="18"/>
                <w:lang w:bidi="he-IL"/>
              </w:rPr>
              <w:t xml:space="preserve">Trend Coefficient (t-stat) from a Trend-line Regression of </w:t>
            </w:r>
          </w:p>
          <w:p w14:paraId="30108C3C" w14:textId="77777777" w:rsidR="00335619" w:rsidRPr="0023367D" w:rsidRDefault="00335619" w:rsidP="008C73CE">
            <w:pPr>
              <w:jc w:val="center"/>
              <w:rPr>
                <w:color w:val="000000"/>
                <w:sz w:val="20"/>
                <w:szCs w:val="18"/>
              </w:rPr>
            </w:pPr>
            <w:r w:rsidRPr="0023367D">
              <w:rPr>
                <w:bCs/>
                <w:color w:val="000000"/>
                <w:sz w:val="18"/>
                <w:szCs w:val="19"/>
                <w:lang w:bidi="he-IL"/>
              </w:rPr>
              <w:t>Relative R</w:t>
            </w:r>
            <w:r w:rsidRPr="0023367D">
              <w:rPr>
                <w:bCs/>
                <w:color w:val="000000"/>
                <w:sz w:val="18"/>
                <w:szCs w:val="19"/>
                <w:vertAlign w:val="superscript"/>
                <w:lang w:bidi="he-IL"/>
              </w:rPr>
              <w:t xml:space="preserve">2 </w:t>
            </w:r>
            <w:r w:rsidRPr="0023367D">
              <w:rPr>
                <w:bCs/>
                <w:color w:val="000000"/>
                <w:sz w:val="18"/>
                <w:szCs w:val="19"/>
                <w:vertAlign w:val="subscript"/>
                <w:lang w:bidi="he-IL"/>
              </w:rPr>
              <w:t>ACCT</w:t>
            </w:r>
            <w:r w:rsidRPr="0023367D">
              <w:rPr>
                <w:bCs/>
                <w:color w:val="000000"/>
                <w:sz w:val="18"/>
                <w:szCs w:val="18"/>
                <w:vertAlign w:val="superscript"/>
                <w:lang w:bidi="he-IL"/>
              </w:rPr>
              <w:t xml:space="preserve"> </w:t>
            </w:r>
            <w:r w:rsidRPr="0023367D">
              <w:rPr>
                <w:bCs/>
                <w:color w:val="000000"/>
                <w:sz w:val="18"/>
                <w:szCs w:val="18"/>
                <w:lang w:bidi="he-IL"/>
              </w:rPr>
              <w:t xml:space="preserve">over time </w:t>
            </w:r>
            <w:r w:rsidRPr="0023367D">
              <w:rPr>
                <w:bCs/>
                <w:color w:val="000000"/>
                <w:sz w:val="20"/>
                <w:szCs w:val="18"/>
                <w:vertAlign w:val="superscript"/>
                <w:lang w:bidi="he-IL"/>
              </w:rPr>
              <w:t>(</w:t>
            </w:r>
            <w:r w:rsidR="008C73CE" w:rsidRPr="0023367D">
              <w:rPr>
                <w:bCs/>
                <w:color w:val="000000"/>
                <w:sz w:val="20"/>
                <w:szCs w:val="18"/>
                <w:vertAlign w:val="superscript"/>
                <w:lang w:bidi="he-IL"/>
              </w:rPr>
              <w:t>e</w:t>
            </w:r>
            <w:r w:rsidRPr="0023367D">
              <w:rPr>
                <w:bCs/>
                <w:color w:val="000000"/>
                <w:sz w:val="20"/>
                <w:szCs w:val="18"/>
                <w:vertAlign w:val="superscript"/>
                <w:lang w:bidi="he-IL"/>
              </w:rPr>
              <w:t>)</w:t>
            </w:r>
          </w:p>
        </w:tc>
        <w:tc>
          <w:tcPr>
            <w:tcW w:w="549" w:type="pct"/>
            <w:vAlign w:val="center"/>
          </w:tcPr>
          <w:p w14:paraId="05E0B450" w14:textId="77777777" w:rsidR="00335619" w:rsidRPr="0023367D" w:rsidRDefault="00335619" w:rsidP="00335619">
            <w:pPr>
              <w:spacing w:before="120"/>
              <w:jc w:val="center"/>
              <w:rPr>
                <w:rFonts w:eastAsia="Calibri"/>
                <w:sz w:val="19"/>
                <w:szCs w:val="19"/>
              </w:rPr>
            </w:pPr>
            <w:r w:rsidRPr="0023367D">
              <w:rPr>
                <w:rFonts w:eastAsia="Calibri"/>
                <w:sz w:val="19"/>
                <w:szCs w:val="19"/>
              </w:rPr>
              <w:t>-0.044%</w:t>
            </w:r>
          </w:p>
          <w:p w14:paraId="187224BA" w14:textId="77777777" w:rsidR="00335619" w:rsidRPr="0023367D" w:rsidRDefault="00335619" w:rsidP="00335619">
            <w:pPr>
              <w:jc w:val="center"/>
              <w:rPr>
                <w:color w:val="000000"/>
                <w:sz w:val="20"/>
                <w:szCs w:val="18"/>
              </w:rPr>
            </w:pPr>
            <w:r w:rsidRPr="0023367D">
              <w:rPr>
                <w:rFonts w:eastAsia="Calibri"/>
                <w:sz w:val="19"/>
                <w:szCs w:val="19"/>
              </w:rPr>
              <w:t>(-0.18)</w:t>
            </w:r>
          </w:p>
        </w:tc>
        <w:tc>
          <w:tcPr>
            <w:tcW w:w="410" w:type="pct"/>
            <w:vAlign w:val="center"/>
          </w:tcPr>
          <w:p w14:paraId="6DF7A7DE" w14:textId="77777777" w:rsidR="00335619" w:rsidRPr="0023367D" w:rsidRDefault="00335619" w:rsidP="00335619">
            <w:pPr>
              <w:jc w:val="center"/>
              <w:rPr>
                <w:color w:val="000000"/>
                <w:sz w:val="20"/>
                <w:szCs w:val="18"/>
              </w:rPr>
            </w:pPr>
          </w:p>
        </w:tc>
        <w:tc>
          <w:tcPr>
            <w:tcW w:w="568" w:type="pct"/>
            <w:tcBorders>
              <w:right w:val="single" w:sz="12" w:space="0" w:color="auto"/>
            </w:tcBorders>
            <w:shd w:val="clear" w:color="auto" w:fill="auto"/>
            <w:vAlign w:val="center"/>
          </w:tcPr>
          <w:p w14:paraId="50EFE79C" w14:textId="77777777" w:rsidR="00335619" w:rsidRPr="0023367D" w:rsidRDefault="003361D5" w:rsidP="00335619">
            <w:pPr>
              <w:spacing w:before="120"/>
              <w:jc w:val="center"/>
              <w:rPr>
                <w:rFonts w:eastAsia="Calibri"/>
                <w:sz w:val="19"/>
                <w:szCs w:val="19"/>
              </w:rPr>
            </w:pPr>
            <w:r>
              <w:rPr>
                <w:rFonts w:eastAsia="Calibri"/>
                <w:sz w:val="19"/>
                <w:szCs w:val="19"/>
              </w:rPr>
              <w:t>-</w:t>
            </w:r>
            <w:r w:rsidR="00335619" w:rsidRPr="0023367D">
              <w:rPr>
                <w:rFonts w:eastAsia="Calibri"/>
                <w:sz w:val="19"/>
                <w:szCs w:val="19"/>
              </w:rPr>
              <w:t>0.497%</w:t>
            </w:r>
          </w:p>
          <w:p w14:paraId="1E951E2C" w14:textId="77777777" w:rsidR="00335619" w:rsidRPr="0023367D" w:rsidRDefault="00335619" w:rsidP="00335619">
            <w:pPr>
              <w:jc w:val="center"/>
              <w:rPr>
                <w:color w:val="000000"/>
                <w:sz w:val="20"/>
                <w:szCs w:val="18"/>
              </w:rPr>
            </w:pPr>
            <w:r w:rsidRPr="0023367D">
              <w:rPr>
                <w:rFonts w:eastAsia="Calibri"/>
                <w:sz w:val="19"/>
                <w:szCs w:val="19"/>
              </w:rPr>
              <w:t>(-2.16)</w:t>
            </w:r>
            <w:r w:rsidRPr="0023367D">
              <w:rPr>
                <w:rFonts w:eastAsia="Calibri"/>
                <w:color w:val="000000"/>
                <w:sz w:val="19"/>
                <w:szCs w:val="19"/>
                <w:vertAlign w:val="superscript"/>
              </w:rPr>
              <w:t>**</w:t>
            </w:r>
          </w:p>
        </w:tc>
        <w:tc>
          <w:tcPr>
            <w:tcW w:w="462" w:type="pct"/>
            <w:tcBorders>
              <w:left w:val="single" w:sz="12" w:space="0" w:color="auto"/>
            </w:tcBorders>
            <w:vAlign w:val="center"/>
          </w:tcPr>
          <w:p w14:paraId="59B330EF" w14:textId="77777777" w:rsidR="00335619" w:rsidRPr="0023367D" w:rsidRDefault="00335619" w:rsidP="00335619">
            <w:pPr>
              <w:spacing w:before="120"/>
              <w:jc w:val="center"/>
              <w:rPr>
                <w:rFonts w:eastAsia="Calibri"/>
                <w:sz w:val="19"/>
                <w:szCs w:val="19"/>
              </w:rPr>
            </w:pPr>
          </w:p>
        </w:tc>
        <w:tc>
          <w:tcPr>
            <w:tcW w:w="565" w:type="pct"/>
            <w:vAlign w:val="center"/>
          </w:tcPr>
          <w:p w14:paraId="4A692E72" w14:textId="77777777" w:rsidR="00335619" w:rsidRPr="0023367D" w:rsidRDefault="00335619" w:rsidP="00335619">
            <w:pPr>
              <w:jc w:val="center"/>
              <w:rPr>
                <w:rFonts w:eastAsia="Calibri"/>
                <w:sz w:val="19"/>
                <w:szCs w:val="19"/>
              </w:rPr>
            </w:pPr>
            <w:r w:rsidRPr="0023367D">
              <w:rPr>
                <w:rFonts w:eastAsia="Calibri"/>
                <w:sz w:val="19"/>
                <w:szCs w:val="19"/>
              </w:rPr>
              <w:t>-0.821%</w:t>
            </w:r>
          </w:p>
          <w:p w14:paraId="40279B4A" w14:textId="77777777" w:rsidR="00335619" w:rsidRPr="0023367D" w:rsidRDefault="00335619" w:rsidP="00335619">
            <w:pPr>
              <w:jc w:val="center"/>
              <w:rPr>
                <w:rFonts w:eastAsia="Calibri"/>
                <w:sz w:val="19"/>
                <w:szCs w:val="19"/>
              </w:rPr>
            </w:pPr>
            <w:r w:rsidRPr="0023367D">
              <w:rPr>
                <w:rFonts w:eastAsia="Calibri"/>
                <w:sz w:val="19"/>
                <w:szCs w:val="19"/>
              </w:rPr>
              <w:t>(-2.33)</w:t>
            </w:r>
            <w:r w:rsidRPr="0023367D">
              <w:rPr>
                <w:rFonts w:eastAsia="Calibri"/>
                <w:color w:val="000000"/>
                <w:sz w:val="19"/>
                <w:szCs w:val="19"/>
                <w:vertAlign w:val="superscript"/>
              </w:rPr>
              <w:t>**</w:t>
            </w:r>
          </w:p>
        </w:tc>
        <w:tc>
          <w:tcPr>
            <w:tcW w:w="462" w:type="pct"/>
            <w:vAlign w:val="center"/>
          </w:tcPr>
          <w:p w14:paraId="4A7D317C" w14:textId="77777777" w:rsidR="00335619" w:rsidRPr="0023367D" w:rsidRDefault="00335619" w:rsidP="00335619">
            <w:pPr>
              <w:spacing w:before="120"/>
              <w:jc w:val="center"/>
              <w:rPr>
                <w:rFonts w:eastAsia="Calibri"/>
                <w:sz w:val="19"/>
                <w:szCs w:val="19"/>
              </w:rPr>
            </w:pPr>
          </w:p>
        </w:tc>
        <w:tc>
          <w:tcPr>
            <w:tcW w:w="564" w:type="pct"/>
            <w:vAlign w:val="center"/>
          </w:tcPr>
          <w:p w14:paraId="3FE04673" w14:textId="77777777" w:rsidR="00335619" w:rsidRPr="0023367D" w:rsidRDefault="00335619" w:rsidP="00335619">
            <w:pPr>
              <w:jc w:val="center"/>
              <w:rPr>
                <w:rFonts w:eastAsia="Calibri"/>
                <w:sz w:val="19"/>
                <w:szCs w:val="19"/>
              </w:rPr>
            </w:pPr>
            <w:r w:rsidRPr="0023367D">
              <w:rPr>
                <w:rFonts w:eastAsia="Calibri"/>
                <w:sz w:val="19"/>
                <w:szCs w:val="19"/>
              </w:rPr>
              <w:t>-0.618%</w:t>
            </w:r>
          </w:p>
          <w:p w14:paraId="19FB92E8" w14:textId="77777777" w:rsidR="00335619" w:rsidRPr="0023367D" w:rsidRDefault="00335619" w:rsidP="00335619">
            <w:pPr>
              <w:jc w:val="center"/>
              <w:rPr>
                <w:rFonts w:eastAsia="Calibri"/>
                <w:sz w:val="19"/>
                <w:szCs w:val="19"/>
              </w:rPr>
            </w:pPr>
            <w:r w:rsidRPr="0023367D">
              <w:rPr>
                <w:rFonts w:eastAsia="Calibri"/>
                <w:sz w:val="19"/>
                <w:szCs w:val="19"/>
              </w:rPr>
              <w:t>(-1.62)</w:t>
            </w:r>
          </w:p>
        </w:tc>
      </w:tr>
    </w:tbl>
    <w:p w14:paraId="1578EBA0" w14:textId="77777777" w:rsidR="002363B2" w:rsidRPr="0023367D" w:rsidRDefault="002363B2" w:rsidP="002363B2">
      <w:pPr>
        <w:rPr>
          <w:sz w:val="20"/>
          <w:szCs w:val="20"/>
          <w:vertAlign w:val="superscript"/>
        </w:rPr>
      </w:pPr>
    </w:p>
    <w:p w14:paraId="5AF4270D" w14:textId="77777777" w:rsidR="008C73CE" w:rsidRPr="0023367D" w:rsidRDefault="00BB1234" w:rsidP="002363B2">
      <w:pPr>
        <w:rPr>
          <w:sz w:val="18"/>
          <w:szCs w:val="20"/>
        </w:rPr>
      </w:pPr>
      <w:r w:rsidRPr="0023367D">
        <w:rPr>
          <w:rFonts w:eastAsia="Calibri"/>
          <w:sz w:val="18"/>
          <w:szCs w:val="20"/>
          <w:vertAlign w:val="superscript"/>
        </w:rPr>
        <w:t>(</w:t>
      </w:r>
      <w:r w:rsidR="008C73CE" w:rsidRPr="0023367D">
        <w:rPr>
          <w:rFonts w:eastAsia="Calibri"/>
          <w:sz w:val="18"/>
          <w:szCs w:val="20"/>
          <w:vertAlign w:val="superscript"/>
        </w:rPr>
        <w:t>a</w:t>
      </w:r>
      <w:r w:rsidRPr="0023367D">
        <w:rPr>
          <w:rFonts w:eastAsia="Calibri"/>
          <w:sz w:val="18"/>
          <w:szCs w:val="20"/>
          <w:vertAlign w:val="superscript"/>
        </w:rPr>
        <w:t xml:space="preserve">) </w:t>
      </w:r>
      <w:r w:rsidRPr="0023367D">
        <w:rPr>
          <w:rFonts w:eastAsia="Calibri"/>
          <w:sz w:val="18"/>
          <w:szCs w:val="20"/>
        </w:rPr>
        <w:t xml:space="preserve">Estimated using bond </w:t>
      </w:r>
      <w:r w:rsidR="008C73CE" w:rsidRPr="0023367D">
        <w:rPr>
          <w:rFonts w:eastAsia="Calibri"/>
          <w:sz w:val="18"/>
          <w:szCs w:val="20"/>
        </w:rPr>
        <w:t>valuation</w:t>
      </w:r>
      <w:r w:rsidRPr="0023367D">
        <w:rPr>
          <w:rFonts w:eastAsia="Calibri"/>
          <w:sz w:val="18"/>
          <w:szCs w:val="20"/>
        </w:rPr>
        <w:t xml:space="preserve"> model (</w:t>
      </w:r>
      <w:r w:rsidR="008C73CE" w:rsidRPr="0023367D">
        <w:rPr>
          <w:rFonts w:eastAsia="Calibri"/>
          <w:sz w:val="18"/>
          <w:szCs w:val="20"/>
        </w:rPr>
        <w:t>3</w:t>
      </w:r>
      <w:r w:rsidRPr="0023367D">
        <w:rPr>
          <w:rFonts w:eastAsia="Calibri"/>
          <w:sz w:val="18"/>
          <w:szCs w:val="20"/>
        </w:rPr>
        <w:t xml:space="preserve">). </w:t>
      </w:r>
      <w:r w:rsidRPr="0023367D">
        <w:rPr>
          <w:rFonts w:eastAsia="Calibri"/>
          <w:sz w:val="18"/>
          <w:szCs w:val="20"/>
          <w:vertAlign w:val="superscript"/>
        </w:rPr>
        <w:t>(</w:t>
      </w:r>
      <w:r w:rsidR="008C73CE" w:rsidRPr="0023367D">
        <w:rPr>
          <w:rFonts w:eastAsia="Calibri"/>
          <w:sz w:val="18"/>
          <w:szCs w:val="20"/>
          <w:vertAlign w:val="superscript"/>
        </w:rPr>
        <w:t>b</w:t>
      </w:r>
      <w:r w:rsidRPr="0023367D">
        <w:rPr>
          <w:rFonts w:eastAsia="Calibri"/>
          <w:sz w:val="18"/>
          <w:szCs w:val="20"/>
          <w:vertAlign w:val="superscript"/>
        </w:rPr>
        <w:t xml:space="preserve">) </w:t>
      </w:r>
      <w:r w:rsidRPr="0023367D">
        <w:rPr>
          <w:rFonts w:eastAsia="Calibri"/>
          <w:sz w:val="18"/>
          <w:szCs w:val="20"/>
        </w:rPr>
        <w:t xml:space="preserve">Estimated using </w:t>
      </w:r>
      <w:r w:rsidR="008C73CE" w:rsidRPr="0023367D">
        <w:rPr>
          <w:rFonts w:eastAsia="Calibri"/>
          <w:sz w:val="18"/>
          <w:szCs w:val="20"/>
        </w:rPr>
        <w:t>bond</w:t>
      </w:r>
      <w:r w:rsidRPr="0023367D">
        <w:rPr>
          <w:rFonts w:eastAsia="Calibri"/>
          <w:sz w:val="18"/>
          <w:szCs w:val="20"/>
        </w:rPr>
        <w:t xml:space="preserve"> returns model (</w:t>
      </w:r>
      <w:r w:rsidR="008C73CE" w:rsidRPr="0023367D">
        <w:rPr>
          <w:rFonts w:eastAsia="Calibri"/>
          <w:sz w:val="18"/>
          <w:szCs w:val="20"/>
        </w:rPr>
        <w:t>5</w:t>
      </w:r>
      <w:r w:rsidRPr="0023367D">
        <w:rPr>
          <w:rFonts w:eastAsia="Calibri"/>
          <w:sz w:val="18"/>
          <w:szCs w:val="20"/>
        </w:rPr>
        <w:t>).</w:t>
      </w:r>
      <w:r w:rsidRPr="0023367D">
        <w:rPr>
          <w:sz w:val="20"/>
          <w:szCs w:val="20"/>
          <w:vertAlign w:val="superscript"/>
        </w:rPr>
        <w:t xml:space="preserve"> </w:t>
      </w:r>
      <w:r w:rsidR="00335619" w:rsidRPr="0023367D">
        <w:rPr>
          <w:sz w:val="20"/>
          <w:szCs w:val="20"/>
          <w:vertAlign w:val="superscript"/>
        </w:rPr>
        <w:t>(</w:t>
      </w:r>
      <w:r w:rsidR="008C73CE" w:rsidRPr="0023367D">
        <w:rPr>
          <w:sz w:val="20"/>
          <w:szCs w:val="20"/>
          <w:vertAlign w:val="superscript"/>
        </w:rPr>
        <w:t>c</w:t>
      </w:r>
      <w:r w:rsidR="00335619" w:rsidRPr="0023367D">
        <w:rPr>
          <w:sz w:val="18"/>
          <w:szCs w:val="20"/>
          <w:vertAlign w:val="superscript"/>
        </w:rPr>
        <w:t xml:space="preserve">)  </w:t>
      </w:r>
      <w:r w:rsidR="00335619" w:rsidRPr="0023367D">
        <w:rPr>
          <w:sz w:val="18"/>
          <w:szCs w:val="20"/>
        </w:rPr>
        <w:t xml:space="preserve">Homogenous-liquid bonds as defined in section </w:t>
      </w:r>
      <w:r w:rsidR="00106609" w:rsidRPr="0023367D">
        <w:rPr>
          <w:sz w:val="18"/>
          <w:szCs w:val="20"/>
        </w:rPr>
        <w:t>5</w:t>
      </w:r>
      <w:r w:rsidR="00335619" w:rsidRPr="0023367D">
        <w:rPr>
          <w:sz w:val="18"/>
          <w:szCs w:val="20"/>
        </w:rPr>
        <w:t xml:space="preserve">. </w:t>
      </w:r>
    </w:p>
    <w:p w14:paraId="638AF3F7" w14:textId="77777777" w:rsidR="002363B2" w:rsidRPr="0023367D" w:rsidRDefault="00335619" w:rsidP="002363B2">
      <w:pPr>
        <w:rPr>
          <w:sz w:val="18"/>
          <w:szCs w:val="18"/>
        </w:rPr>
      </w:pPr>
      <w:r w:rsidRPr="0023367D">
        <w:rPr>
          <w:sz w:val="18"/>
          <w:szCs w:val="20"/>
          <w:vertAlign w:val="superscript"/>
        </w:rPr>
        <w:t>(</w:t>
      </w:r>
      <w:r w:rsidR="008C73CE" w:rsidRPr="0023367D">
        <w:rPr>
          <w:sz w:val="18"/>
          <w:szCs w:val="20"/>
          <w:vertAlign w:val="superscript"/>
        </w:rPr>
        <w:t>d</w:t>
      </w:r>
      <w:r w:rsidRPr="0023367D">
        <w:rPr>
          <w:sz w:val="18"/>
          <w:szCs w:val="20"/>
          <w:vertAlign w:val="superscript"/>
        </w:rPr>
        <w:t xml:space="preserve">) </w:t>
      </w:r>
      <w:r w:rsidRPr="0023367D">
        <w:rPr>
          <w:sz w:val="18"/>
          <w:szCs w:val="20"/>
        </w:rPr>
        <w:t>Computed as the ratio of the Shapley value of the set of accounting-based variables in the model relative to the R</w:t>
      </w:r>
      <w:r w:rsidRPr="0023367D">
        <w:rPr>
          <w:sz w:val="18"/>
          <w:szCs w:val="20"/>
          <w:vertAlign w:val="superscript"/>
        </w:rPr>
        <w:t>2</w:t>
      </w:r>
      <w:r w:rsidRPr="0023367D">
        <w:rPr>
          <w:sz w:val="18"/>
          <w:szCs w:val="20"/>
        </w:rPr>
        <w:t xml:space="preserve"> of the full model</w:t>
      </w:r>
      <w:r w:rsidR="0084558B">
        <w:rPr>
          <w:bCs/>
          <w:iCs/>
          <w:sz w:val="18"/>
          <w:szCs w:val="20"/>
        </w:rPr>
        <w:t xml:space="preserve">. </w:t>
      </w:r>
      <w:r w:rsidRPr="0023367D">
        <w:rPr>
          <w:sz w:val="18"/>
          <w:szCs w:val="20"/>
        </w:rPr>
        <w:t>The ratio value reported for each year is the moving average of the annual ratio over five years centered on that year (except for the two years at the each edge of the time-series).</w:t>
      </w:r>
      <w:r w:rsidRPr="0023367D">
        <w:rPr>
          <w:rFonts w:eastAsia="Calibri"/>
          <w:sz w:val="18"/>
          <w:szCs w:val="20"/>
        </w:rPr>
        <w:t xml:space="preserve"> </w:t>
      </w:r>
      <w:r w:rsidRPr="0023367D">
        <w:rPr>
          <w:rFonts w:eastAsia="Calibri"/>
          <w:sz w:val="18"/>
          <w:szCs w:val="20"/>
          <w:vertAlign w:val="superscript"/>
        </w:rPr>
        <w:t>(</w:t>
      </w:r>
      <w:r w:rsidR="008C73CE" w:rsidRPr="0023367D">
        <w:rPr>
          <w:rFonts w:eastAsia="Calibri"/>
          <w:sz w:val="18"/>
          <w:szCs w:val="20"/>
          <w:vertAlign w:val="superscript"/>
        </w:rPr>
        <w:t>e</w:t>
      </w:r>
      <w:r w:rsidRPr="0023367D">
        <w:rPr>
          <w:rFonts w:eastAsia="Calibri"/>
          <w:sz w:val="18"/>
          <w:szCs w:val="20"/>
          <w:vertAlign w:val="superscript"/>
        </w:rPr>
        <w:t xml:space="preserve">) </w:t>
      </w:r>
      <w:r w:rsidRPr="0023367D">
        <w:rPr>
          <w:rFonts w:eastAsia="Calibri"/>
          <w:sz w:val="18"/>
          <w:szCs w:val="20"/>
        </w:rPr>
        <w:t xml:space="preserve">The results are from the estimation of a trend line regression of the form </w:t>
      </w:r>
      <w:r w:rsidRPr="0023367D">
        <w:rPr>
          <w:bCs/>
          <w:color w:val="000000"/>
          <w:sz w:val="18"/>
          <w:szCs w:val="19"/>
          <w:lang w:bidi="he-IL"/>
        </w:rPr>
        <w:t>Relative R</w:t>
      </w:r>
      <w:r w:rsidRPr="0023367D">
        <w:rPr>
          <w:bCs/>
          <w:color w:val="000000"/>
          <w:sz w:val="18"/>
          <w:szCs w:val="19"/>
          <w:vertAlign w:val="superscript"/>
          <w:lang w:bidi="he-IL"/>
        </w:rPr>
        <w:t xml:space="preserve">2 </w:t>
      </w:r>
      <w:r w:rsidRPr="0023367D">
        <w:rPr>
          <w:bCs/>
          <w:color w:val="000000"/>
          <w:sz w:val="18"/>
          <w:szCs w:val="19"/>
          <w:vertAlign w:val="subscript"/>
          <w:lang w:bidi="he-IL"/>
        </w:rPr>
        <w:t>ACCT</w:t>
      </w:r>
      <w:r w:rsidRPr="0023367D">
        <w:rPr>
          <w:rFonts w:eastAsia="Calibri"/>
          <w:sz w:val="18"/>
          <w:szCs w:val="20"/>
        </w:rPr>
        <w:t xml:space="preserve"> (%) = a + </w:t>
      </w:r>
      <w:proofErr w:type="spellStart"/>
      <w:r w:rsidRPr="0023367D">
        <w:rPr>
          <w:rFonts w:eastAsia="Calibri"/>
          <w:sz w:val="18"/>
          <w:szCs w:val="20"/>
        </w:rPr>
        <w:t>bT</w:t>
      </w:r>
      <w:proofErr w:type="spellEnd"/>
      <w:r w:rsidRPr="0023367D">
        <w:rPr>
          <w:rFonts w:eastAsia="Calibri"/>
          <w:sz w:val="18"/>
          <w:szCs w:val="20"/>
        </w:rPr>
        <w:t>, estimated from the 39 annual observations where T is a year index, T=1</w:t>
      </w:r>
      <w:proofErr w:type="gramStart"/>
      <w:r w:rsidRPr="0023367D">
        <w:rPr>
          <w:rFonts w:eastAsia="Calibri"/>
          <w:sz w:val="18"/>
          <w:szCs w:val="20"/>
        </w:rPr>
        <w:t>, …,</w:t>
      </w:r>
      <w:proofErr w:type="gramEnd"/>
      <w:r w:rsidRPr="0023367D">
        <w:rPr>
          <w:rFonts w:eastAsia="Calibri"/>
          <w:sz w:val="18"/>
          <w:szCs w:val="20"/>
        </w:rPr>
        <w:t xml:space="preserve"> 39.</w:t>
      </w:r>
      <w:r w:rsidR="002363B2" w:rsidRPr="0023367D">
        <w:rPr>
          <w:rFonts w:eastAsia="Calibri"/>
          <w:sz w:val="18"/>
          <w:szCs w:val="20"/>
        </w:rPr>
        <w:t xml:space="preserve"> </w:t>
      </w:r>
      <w:r w:rsidR="002363B2" w:rsidRPr="0023367D">
        <w:rPr>
          <w:sz w:val="18"/>
          <w:szCs w:val="18"/>
        </w:rPr>
        <w:t>Asterisks next to t-statistics indicate significance at the 10% (</w:t>
      </w:r>
      <w:r w:rsidR="002363B2" w:rsidRPr="0023367D">
        <w:rPr>
          <w:sz w:val="14"/>
          <w:szCs w:val="18"/>
        </w:rPr>
        <w:t>*</w:t>
      </w:r>
      <w:r w:rsidR="002363B2" w:rsidRPr="0023367D">
        <w:rPr>
          <w:sz w:val="18"/>
          <w:szCs w:val="18"/>
        </w:rPr>
        <w:t>), 5% (</w:t>
      </w:r>
      <w:r w:rsidR="002363B2" w:rsidRPr="0023367D">
        <w:rPr>
          <w:sz w:val="14"/>
          <w:szCs w:val="18"/>
        </w:rPr>
        <w:t>**</w:t>
      </w:r>
      <w:r w:rsidR="002363B2" w:rsidRPr="0023367D">
        <w:rPr>
          <w:sz w:val="18"/>
          <w:szCs w:val="18"/>
        </w:rPr>
        <w:t>) and 1% (</w:t>
      </w:r>
      <w:r w:rsidR="002363B2" w:rsidRPr="0023367D">
        <w:rPr>
          <w:sz w:val="14"/>
          <w:szCs w:val="18"/>
        </w:rPr>
        <w:t>***</w:t>
      </w:r>
      <w:r w:rsidR="002363B2" w:rsidRPr="0023367D">
        <w:rPr>
          <w:sz w:val="18"/>
          <w:szCs w:val="18"/>
        </w:rPr>
        <w:t>) levels, respectively, using a two-tailed test.</w:t>
      </w:r>
    </w:p>
    <w:p w14:paraId="64BE2731" w14:textId="77777777" w:rsidR="00335619" w:rsidRPr="0023367D" w:rsidRDefault="00335619" w:rsidP="00335619">
      <w:pPr>
        <w:spacing w:before="120"/>
        <w:sectPr w:rsidR="00335619" w:rsidRPr="0023367D" w:rsidSect="00335619">
          <w:headerReference w:type="even" r:id="rId22"/>
          <w:footerReference w:type="default" r:id="rId23"/>
          <w:pgSz w:w="12240" w:h="15840"/>
          <w:pgMar w:top="432" w:right="720" w:bottom="144" w:left="720" w:header="720" w:footer="720" w:gutter="0"/>
          <w:cols w:space="720"/>
          <w:titlePg/>
          <w:docGrid w:linePitch="360"/>
        </w:sectPr>
      </w:pPr>
    </w:p>
    <w:p w14:paraId="6DF2622F" w14:textId="77777777" w:rsidR="00335619" w:rsidRPr="0023367D" w:rsidRDefault="00335619" w:rsidP="00335619">
      <w:pPr>
        <w:jc w:val="center"/>
        <w:outlineLvl w:val="0"/>
        <w:rPr>
          <w:b/>
          <w:bCs/>
        </w:rPr>
      </w:pPr>
      <w:r w:rsidRPr="0023367D">
        <w:rPr>
          <w:b/>
          <w:bCs/>
        </w:rPr>
        <w:t>Appendix A</w:t>
      </w:r>
    </w:p>
    <w:p w14:paraId="06AD87AF" w14:textId="77777777" w:rsidR="00335619" w:rsidRPr="0023367D" w:rsidRDefault="00335619" w:rsidP="00335619">
      <w:pPr>
        <w:spacing w:after="240"/>
        <w:jc w:val="center"/>
        <w:outlineLvl w:val="0"/>
        <w:rPr>
          <w:b/>
          <w:bCs/>
        </w:rPr>
      </w:pPr>
      <w:r w:rsidRPr="0023367D">
        <w:rPr>
          <w:b/>
          <w:bCs/>
        </w:rPr>
        <w:t>Alternative Bond Valuation and Return Models</w:t>
      </w:r>
    </w:p>
    <w:p w14:paraId="4A3AF98C" w14:textId="77777777" w:rsidR="00335619" w:rsidRPr="0023367D" w:rsidRDefault="00335619" w:rsidP="001161C5">
      <w:pPr>
        <w:spacing w:line="276" w:lineRule="auto"/>
        <w:ind w:firstLine="360"/>
      </w:pPr>
      <w:r w:rsidRPr="0023367D">
        <w:t xml:space="preserve">To test the robustness of the results, we employ an alternative bond valuation model based on that proposed by </w:t>
      </w:r>
      <w:proofErr w:type="spellStart"/>
      <w:r w:rsidRPr="0023367D">
        <w:t>Defond</w:t>
      </w:r>
      <w:proofErr w:type="spellEnd"/>
      <w:r w:rsidRPr="0023367D">
        <w:t xml:space="preserve"> and Zhang (2014)</w:t>
      </w:r>
      <w:r w:rsidR="0084558B">
        <w:t xml:space="preserve">. </w:t>
      </w:r>
      <w:r w:rsidRPr="0023367D">
        <w:t>We augment their model to include a market-based estimate of the probability of default, PROB</w:t>
      </w:r>
      <w:r w:rsidR="008C73CE" w:rsidRPr="0023367D">
        <w:t>, as follows</w:t>
      </w:r>
      <w:r w:rsidRPr="0023367D">
        <w:t xml:space="preserve">: </w:t>
      </w:r>
    </w:p>
    <w:p w14:paraId="538459CF" w14:textId="77777777" w:rsidR="00335619" w:rsidRPr="0023367D" w:rsidRDefault="00335619" w:rsidP="001161C5">
      <w:pPr>
        <w:spacing w:line="276" w:lineRule="auto"/>
        <w:ind w:left="360"/>
        <w:rPr>
          <w:i/>
          <w:iCs/>
        </w:rPr>
      </w:pPr>
      <w:proofErr w:type="spellStart"/>
      <w:r w:rsidRPr="0023367D">
        <w:t>YSpread</w:t>
      </w:r>
      <w:proofErr w:type="spellEnd"/>
      <w:r w:rsidRPr="0023367D">
        <w:t xml:space="preserve"> </w:t>
      </w:r>
      <w:proofErr w:type="spellStart"/>
      <w:r w:rsidRPr="0023367D">
        <w:rPr>
          <w:vertAlign w:val="subscript"/>
        </w:rPr>
        <w:t>j,t</w:t>
      </w:r>
      <w:proofErr w:type="spellEnd"/>
      <w:r w:rsidRPr="0023367D">
        <w:t xml:space="preserve"> = </w:t>
      </w:r>
      <w:r w:rsidRPr="0023367D">
        <w:rPr>
          <w:rFonts w:ascii="Blackadder ITC" w:hAnsi="Blackadder ITC" w:cs="Andalus"/>
          <w:sz w:val="28"/>
          <w:szCs w:val="28"/>
        </w:rPr>
        <w:t>f</w:t>
      </w:r>
      <w:r w:rsidRPr="0023367D">
        <w:t xml:space="preserve"> {</w:t>
      </w:r>
      <w:r w:rsidRPr="0023367D">
        <w:rPr>
          <w:i/>
          <w:iCs/>
        </w:rPr>
        <w:t xml:space="preserve"> </w:t>
      </w:r>
      <w:proofErr w:type="spellStart"/>
      <w:r w:rsidRPr="0023367D">
        <w:rPr>
          <w:iCs/>
        </w:rPr>
        <w:t>NI</w:t>
      </w:r>
      <w:r w:rsidRPr="0023367D">
        <w:rPr>
          <w:iCs/>
          <w:vertAlign w:val="subscript"/>
        </w:rPr>
        <w:t>j</w:t>
      </w:r>
      <w:proofErr w:type="spellEnd"/>
      <w:r w:rsidRPr="0023367D">
        <w:rPr>
          <w:iCs/>
          <w:vertAlign w:val="subscript"/>
        </w:rPr>
        <w:t xml:space="preserve"> ,t</w:t>
      </w:r>
      <w:r w:rsidRPr="0023367D">
        <w:rPr>
          <w:i/>
          <w:iCs/>
          <w:vertAlign w:val="subscript"/>
        </w:rPr>
        <w:t xml:space="preserve"> </w:t>
      </w:r>
      <w:r w:rsidRPr="0023367D">
        <w:rPr>
          <w:i/>
          <w:iCs/>
        </w:rPr>
        <w:t xml:space="preserve">, </w:t>
      </w:r>
      <w:r w:rsidRPr="0023367D">
        <w:rPr>
          <w:iCs/>
        </w:rPr>
        <w:t>(Debt/EBITDA)</w:t>
      </w:r>
      <w:proofErr w:type="spellStart"/>
      <w:r w:rsidRPr="0023367D">
        <w:rPr>
          <w:iCs/>
          <w:vertAlign w:val="subscript"/>
        </w:rPr>
        <w:t>j,t</w:t>
      </w:r>
      <w:proofErr w:type="spellEnd"/>
      <w:r w:rsidRPr="0023367D">
        <w:rPr>
          <w:i/>
          <w:iCs/>
        </w:rPr>
        <w:t xml:space="preserve">  </w:t>
      </w:r>
      <w:r w:rsidRPr="0023367D">
        <w:rPr>
          <w:iCs/>
        </w:rPr>
        <w:t xml:space="preserve">Interest </w:t>
      </w:r>
      <w:proofErr w:type="spellStart"/>
      <w:r w:rsidRPr="0023367D">
        <w:rPr>
          <w:iCs/>
        </w:rPr>
        <w:t>Coverage</w:t>
      </w:r>
      <w:r w:rsidRPr="0023367D">
        <w:rPr>
          <w:iCs/>
          <w:vertAlign w:val="subscript"/>
        </w:rPr>
        <w:t>j,t</w:t>
      </w:r>
      <w:proofErr w:type="spellEnd"/>
      <w:r w:rsidRPr="0023367D">
        <w:rPr>
          <w:i/>
          <w:iCs/>
        </w:rPr>
        <w:t xml:space="preserve"> </w:t>
      </w:r>
      <w:r w:rsidRPr="0023367D">
        <w:rPr>
          <w:iCs/>
        </w:rPr>
        <w:t xml:space="preserve">, </w:t>
      </w:r>
      <w:proofErr w:type="spellStart"/>
      <w:r w:rsidRPr="0023367D">
        <w:rPr>
          <w:iCs/>
        </w:rPr>
        <w:t>Leverage</w:t>
      </w:r>
      <w:r w:rsidRPr="0023367D">
        <w:rPr>
          <w:iCs/>
          <w:vertAlign w:val="subscript"/>
        </w:rPr>
        <w:t>j,t</w:t>
      </w:r>
      <w:proofErr w:type="spellEnd"/>
      <w:r w:rsidRPr="0023367D">
        <w:rPr>
          <w:i/>
          <w:iCs/>
        </w:rPr>
        <w:t xml:space="preserve"> ,</w:t>
      </w:r>
    </w:p>
    <w:p w14:paraId="17762DE6" w14:textId="77777777" w:rsidR="00335619" w:rsidRDefault="00335619" w:rsidP="001161C5">
      <w:pPr>
        <w:spacing w:after="240" w:line="276" w:lineRule="auto"/>
        <w:ind w:left="1987"/>
        <w:rPr>
          <w:iCs/>
        </w:rPr>
      </w:pPr>
      <w:r w:rsidRPr="0023367D">
        <w:rPr>
          <w:i/>
          <w:iCs/>
        </w:rPr>
        <w:t xml:space="preserve"> </w:t>
      </w:r>
      <w:r w:rsidRPr="0023367D">
        <w:rPr>
          <w:iCs/>
        </w:rPr>
        <w:t>(Debt/Tangible Net Worth)</w:t>
      </w:r>
      <w:r w:rsidRPr="0023367D">
        <w:rPr>
          <w:iCs/>
          <w:vertAlign w:val="subscript"/>
        </w:rPr>
        <w:t xml:space="preserve"> </w:t>
      </w:r>
      <w:proofErr w:type="spellStart"/>
      <w:r w:rsidRPr="0023367D">
        <w:rPr>
          <w:iCs/>
          <w:vertAlign w:val="subscript"/>
        </w:rPr>
        <w:t>j</w:t>
      </w:r>
      <w:proofErr w:type="gramStart"/>
      <w:r w:rsidRPr="0023367D">
        <w:rPr>
          <w:iCs/>
          <w:vertAlign w:val="subscript"/>
        </w:rPr>
        <w:t>,t</w:t>
      </w:r>
      <w:proofErr w:type="spellEnd"/>
      <w:proofErr w:type="gramEnd"/>
      <w:r w:rsidRPr="0023367D">
        <w:rPr>
          <w:iCs/>
        </w:rPr>
        <w:t xml:space="preserve">, </w:t>
      </w:r>
      <w:r w:rsidRPr="0023367D">
        <w:rPr>
          <w:color w:val="000000"/>
        </w:rPr>
        <w:t>PROB</w:t>
      </w:r>
      <w:r w:rsidRPr="0023367D">
        <w:rPr>
          <w:iCs/>
          <w:vertAlign w:val="subscript"/>
        </w:rPr>
        <w:t xml:space="preserve"> </w:t>
      </w:r>
      <w:proofErr w:type="spellStart"/>
      <w:r w:rsidRPr="0023367D">
        <w:rPr>
          <w:iCs/>
          <w:vertAlign w:val="subscript"/>
        </w:rPr>
        <w:t>j,t</w:t>
      </w:r>
      <w:proofErr w:type="spellEnd"/>
      <w:r w:rsidRPr="0023367D">
        <w:rPr>
          <w:iCs/>
        </w:rPr>
        <w:t>}</w:t>
      </w:r>
      <w:r w:rsidRPr="0023367D">
        <w:rPr>
          <w:iCs/>
        </w:rPr>
        <w:tab/>
      </w:r>
      <w:r w:rsidRPr="0023367D">
        <w:rPr>
          <w:iCs/>
        </w:rPr>
        <w:tab/>
      </w:r>
      <w:r w:rsidRPr="0023367D">
        <w:rPr>
          <w:iCs/>
        </w:rPr>
        <w:tab/>
        <w:t>(A1)</w:t>
      </w:r>
    </w:p>
    <w:p w14:paraId="2BCB7FE9" w14:textId="05D3A490" w:rsidR="00335619" w:rsidRPr="0023367D" w:rsidRDefault="008C73CE" w:rsidP="001161C5">
      <w:pPr>
        <w:tabs>
          <w:tab w:val="left" w:pos="0"/>
        </w:tabs>
        <w:spacing w:line="276" w:lineRule="auto"/>
        <w:ind w:firstLine="450"/>
      </w:pPr>
      <w:r w:rsidRPr="0023367D">
        <w:rPr>
          <w:iCs/>
        </w:rPr>
        <w:t xml:space="preserve">As defined in more detail in section </w:t>
      </w:r>
      <w:r w:rsidR="00106609" w:rsidRPr="0023367D">
        <w:rPr>
          <w:iCs/>
        </w:rPr>
        <w:t>4</w:t>
      </w:r>
      <w:r w:rsidRPr="0023367D">
        <w:rPr>
          <w:iCs/>
        </w:rPr>
        <w:t>.2</w:t>
      </w:r>
      <w:r w:rsidR="00007E13" w:rsidRPr="0023367D">
        <w:rPr>
          <w:iCs/>
        </w:rPr>
        <w:t>, model (3)</w:t>
      </w:r>
      <w:r w:rsidRPr="0023367D">
        <w:rPr>
          <w:iCs/>
        </w:rPr>
        <w:t xml:space="preserve">, </w:t>
      </w:r>
      <w:proofErr w:type="spellStart"/>
      <w:r w:rsidR="00335619" w:rsidRPr="0023367D">
        <w:rPr>
          <w:iCs/>
        </w:rPr>
        <w:t>YSpread</w:t>
      </w:r>
      <w:proofErr w:type="spellEnd"/>
      <w:r w:rsidRPr="0023367D">
        <w:rPr>
          <w:iCs/>
        </w:rPr>
        <w:t xml:space="preserve"> </w:t>
      </w:r>
      <w:proofErr w:type="spellStart"/>
      <w:r w:rsidRPr="0023367D">
        <w:rPr>
          <w:iCs/>
          <w:vertAlign w:val="subscript"/>
        </w:rPr>
        <w:t>j</w:t>
      </w:r>
      <w:proofErr w:type="gramStart"/>
      <w:r w:rsidRPr="0023367D">
        <w:rPr>
          <w:iCs/>
          <w:vertAlign w:val="subscript"/>
        </w:rPr>
        <w:t>,t</w:t>
      </w:r>
      <w:proofErr w:type="spellEnd"/>
      <w:proofErr w:type="gramEnd"/>
      <w:r w:rsidRPr="0023367D">
        <w:rPr>
          <w:iCs/>
        </w:rPr>
        <w:t xml:space="preserve"> is the yield spread on firm j at the end of the third month following the end of fiscal year t</w:t>
      </w:r>
      <w:r w:rsidR="007D531B">
        <w:rPr>
          <w:iCs/>
        </w:rPr>
        <w:t>.</w:t>
      </w:r>
      <w:r w:rsidR="007D531B" w:rsidRPr="0023367D">
        <w:rPr>
          <w:iCs/>
        </w:rPr>
        <w:t xml:space="preserve"> </w:t>
      </w:r>
      <w:r w:rsidR="007D531B">
        <w:rPr>
          <w:iCs/>
        </w:rPr>
        <w:t>T</w:t>
      </w:r>
      <w:r w:rsidR="007D531B" w:rsidRPr="0023367D">
        <w:rPr>
          <w:iCs/>
        </w:rPr>
        <w:t xml:space="preserve">he </w:t>
      </w:r>
      <w:r w:rsidRPr="0023367D">
        <w:rPr>
          <w:iCs/>
        </w:rPr>
        <w:t>yield spread is measured as the difference between the yield-to-maturity on the bond and yield-to-maturity of the matched Treasury note.</w:t>
      </w:r>
      <w:r w:rsidR="00335619" w:rsidRPr="0023367D">
        <w:t xml:space="preserve"> </w:t>
      </w:r>
      <w:r w:rsidR="00335619" w:rsidRPr="0023367D">
        <w:rPr>
          <w:iCs/>
        </w:rPr>
        <w:t>EBITDA</w:t>
      </w:r>
      <w:r w:rsidR="00335619" w:rsidRPr="0023367D">
        <w:t xml:space="preserve"> </w:t>
      </w:r>
      <w:r w:rsidRPr="0023367D">
        <w:t xml:space="preserve">is net income before interest, taxes, depreciation and amortization. </w:t>
      </w:r>
      <w:r w:rsidR="00007E13" w:rsidRPr="0023367D">
        <w:t>PROB is estimated from the Black-Scholes-Merton option-pricing model</w:t>
      </w:r>
      <w:r w:rsidR="0084558B">
        <w:t xml:space="preserve">. </w:t>
      </w:r>
      <w:r w:rsidR="00007E13" w:rsidRPr="0023367D">
        <w:t xml:space="preserve">The other variables are defined as follows: </w:t>
      </w:r>
      <w:proofErr w:type="spellStart"/>
      <w:r w:rsidR="00335619" w:rsidRPr="0023367D">
        <w:rPr>
          <w:iCs/>
        </w:rPr>
        <w:t>NI</w:t>
      </w:r>
      <w:r w:rsidR="00335619" w:rsidRPr="0023367D">
        <w:rPr>
          <w:vertAlign w:val="subscript"/>
        </w:rPr>
        <w:t>j</w:t>
      </w:r>
      <w:proofErr w:type="gramStart"/>
      <w:r w:rsidR="00335619" w:rsidRPr="0023367D">
        <w:rPr>
          <w:vertAlign w:val="subscript"/>
        </w:rPr>
        <w:t>,t</w:t>
      </w:r>
      <w:proofErr w:type="spellEnd"/>
      <w:proofErr w:type="gramEnd"/>
      <w:r w:rsidR="00335619" w:rsidRPr="0023367D">
        <w:t xml:space="preserve"> is firm j’s income before extraordinary items in fiscal year t deflated by total market of equity at the end </w:t>
      </w:r>
      <w:r w:rsidR="00AE2DE7" w:rsidRPr="0023367D">
        <w:t>of year</w:t>
      </w:r>
      <w:r w:rsidR="00335619" w:rsidRPr="0023367D">
        <w:t xml:space="preserve"> t-1</w:t>
      </w:r>
      <w:r w:rsidR="0084558B">
        <w:t xml:space="preserve">. </w:t>
      </w:r>
      <w:r w:rsidR="00335619" w:rsidRPr="0023367D">
        <w:rPr>
          <w:iCs/>
        </w:rPr>
        <w:t>Debt</w:t>
      </w:r>
      <w:r w:rsidR="00335619" w:rsidRPr="0023367D">
        <w:t xml:space="preserve"> is total debt at year end</w:t>
      </w:r>
      <w:r w:rsidR="0084558B">
        <w:t xml:space="preserve">. </w:t>
      </w:r>
      <w:r w:rsidR="00335619" w:rsidRPr="0023367D">
        <w:t>Interest Coverage</w:t>
      </w:r>
      <w:r w:rsidR="00335619" w:rsidRPr="0023367D">
        <w:rPr>
          <w:iCs/>
        </w:rPr>
        <w:t xml:space="preserve"> is </w:t>
      </w:r>
      <w:r w:rsidR="00335619" w:rsidRPr="0023367D">
        <w:t>the ratio of EBITDA to interest expense</w:t>
      </w:r>
      <w:r w:rsidR="0084558B">
        <w:t xml:space="preserve">. </w:t>
      </w:r>
      <w:r w:rsidR="00335619" w:rsidRPr="0023367D">
        <w:t>Leverage</w:t>
      </w:r>
      <w:r w:rsidR="00335619" w:rsidRPr="0023367D">
        <w:rPr>
          <w:iCs/>
        </w:rPr>
        <w:t xml:space="preserve"> is </w:t>
      </w:r>
      <w:r w:rsidR="00335619" w:rsidRPr="0023367D">
        <w:t>the ratio of total debt to total assets</w:t>
      </w:r>
      <w:r w:rsidR="0084558B">
        <w:t xml:space="preserve">. </w:t>
      </w:r>
      <w:r w:rsidR="00335619" w:rsidRPr="0023367D">
        <w:t>Debt/Tangible Net Worth</w:t>
      </w:r>
      <w:r w:rsidR="00335619" w:rsidRPr="0023367D">
        <w:rPr>
          <w:iCs/>
        </w:rPr>
        <w:t xml:space="preserve"> is the</w:t>
      </w:r>
      <w:r w:rsidR="00335619" w:rsidRPr="0023367D">
        <w:t xml:space="preserve"> ratio of total debt to the value of tangible common equity.</w:t>
      </w:r>
    </w:p>
    <w:p w14:paraId="38F6DFB1" w14:textId="77777777" w:rsidR="00335619" w:rsidRPr="0023367D" w:rsidRDefault="00335619" w:rsidP="001161C5">
      <w:pPr>
        <w:spacing w:line="276" w:lineRule="auto"/>
        <w:ind w:firstLine="360"/>
      </w:pPr>
      <w:r w:rsidRPr="0023367D">
        <w:t xml:space="preserve">The alternative model we use to examine the relation between bond returns and accounting numbers follows </w:t>
      </w:r>
      <w:proofErr w:type="spellStart"/>
      <w:r w:rsidRPr="0023367D">
        <w:t>DeFond</w:t>
      </w:r>
      <w:proofErr w:type="spellEnd"/>
      <w:r w:rsidRPr="0023367D">
        <w:t xml:space="preserve"> and Zhang (2014), augmented by the market-based PROB, as follows:</w:t>
      </w:r>
    </w:p>
    <w:p w14:paraId="71F05F2A" w14:textId="77777777" w:rsidR="00335619" w:rsidRPr="0023367D" w:rsidRDefault="00335619" w:rsidP="001161C5">
      <w:pPr>
        <w:spacing w:line="276" w:lineRule="auto"/>
        <w:ind w:firstLine="360"/>
        <w:rPr>
          <w:iCs/>
        </w:rPr>
      </w:pPr>
      <w:proofErr w:type="spellStart"/>
      <w:r w:rsidRPr="0023367D">
        <w:t>R</w:t>
      </w:r>
      <w:r w:rsidRPr="0023367D">
        <w:rPr>
          <w:vertAlign w:val="superscript"/>
        </w:rPr>
        <w:t>BH</w:t>
      </w:r>
      <w:r w:rsidRPr="0023367D">
        <w:rPr>
          <w:vertAlign w:val="subscript"/>
        </w:rPr>
        <w:t>j,t</w:t>
      </w:r>
      <w:proofErr w:type="spellEnd"/>
      <w:r w:rsidRPr="0023367D">
        <w:t xml:space="preserve"> = </w:t>
      </w:r>
      <w:r w:rsidRPr="0023367D">
        <w:rPr>
          <w:rFonts w:ascii="Blackadder ITC" w:hAnsi="Blackadder ITC" w:cs="Andalus"/>
          <w:sz w:val="28"/>
          <w:szCs w:val="28"/>
        </w:rPr>
        <w:t>f</w:t>
      </w:r>
      <w:r w:rsidRPr="0023367D">
        <w:t xml:space="preserve"> {</w:t>
      </w:r>
      <w:r w:rsidRPr="0023367D">
        <w:rPr>
          <w:iCs/>
        </w:rPr>
        <w:t>(</w:t>
      </w:r>
      <w:proofErr w:type="spellStart"/>
      <w:r w:rsidRPr="0023367D">
        <w:rPr>
          <w:iCs/>
        </w:rPr>
        <w:t>BN</w:t>
      </w:r>
      <w:r w:rsidRPr="0023367D">
        <w:rPr>
          <w:vertAlign w:val="subscript"/>
        </w:rPr>
        <w:t>j,t</w:t>
      </w:r>
      <w:proofErr w:type="spellEnd"/>
      <w:r w:rsidRPr="0023367D">
        <w:rPr>
          <w:iCs/>
        </w:rPr>
        <w:t xml:space="preserve"> x U(NI)</w:t>
      </w:r>
      <w:proofErr w:type="spellStart"/>
      <w:r w:rsidRPr="0023367D">
        <w:rPr>
          <w:vertAlign w:val="subscript"/>
        </w:rPr>
        <w:t>j,t</w:t>
      </w:r>
      <w:proofErr w:type="spellEnd"/>
      <w:r w:rsidRPr="0023367D">
        <w:rPr>
          <w:iCs/>
        </w:rPr>
        <w:t>), (</w:t>
      </w:r>
      <w:proofErr w:type="spellStart"/>
      <w:r w:rsidRPr="0023367D">
        <w:rPr>
          <w:iCs/>
        </w:rPr>
        <w:t>BN</w:t>
      </w:r>
      <w:r w:rsidRPr="0023367D">
        <w:rPr>
          <w:vertAlign w:val="subscript"/>
        </w:rPr>
        <w:t>j,t</w:t>
      </w:r>
      <w:proofErr w:type="spellEnd"/>
      <w:r w:rsidRPr="0023367D">
        <w:rPr>
          <w:iCs/>
        </w:rPr>
        <w:t xml:space="preserve"> x </w:t>
      </w:r>
      <w:proofErr w:type="spellStart"/>
      <w:r w:rsidRPr="0023367D">
        <w:rPr>
          <w:iCs/>
        </w:rPr>
        <w:t>ΔDebt</w:t>
      </w:r>
      <w:r w:rsidRPr="0023367D">
        <w:rPr>
          <w:vertAlign w:val="subscript"/>
        </w:rPr>
        <w:t>j,t</w:t>
      </w:r>
      <w:proofErr w:type="spellEnd"/>
      <w:r w:rsidRPr="0023367D">
        <w:rPr>
          <w:iCs/>
        </w:rPr>
        <w:t>/</w:t>
      </w:r>
      <w:proofErr w:type="spellStart"/>
      <w:r w:rsidRPr="0023367D">
        <w:rPr>
          <w:iCs/>
        </w:rPr>
        <w:t>EBITDA</w:t>
      </w:r>
      <w:r w:rsidRPr="0023367D">
        <w:rPr>
          <w:vertAlign w:val="subscript"/>
        </w:rPr>
        <w:t>j,t</w:t>
      </w:r>
      <w:proofErr w:type="spellEnd"/>
      <w:r w:rsidRPr="0023367D">
        <w:rPr>
          <w:iCs/>
        </w:rPr>
        <w:t xml:space="preserve">), (BN </w:t>
      </w:r>
      <w:proofErr w:type="spellStart"/>
      <w:r w:rsidRPr="0023367D">
        <w:rPr>
          <w:vertAlign w:val="subscript"/>
        </w:rPr>
        <w:t>j,t</w:t>
      </w:r>
      <w:proofErr w:type="spellEnd"/>
      <w:r w:rsidRPr="0023367D">
        <w:rPr>
          <w:vertAlign w:val="subscript"/>
        </w:rPr>
        <w:t xml:space="preserve"> </w:t>
      </w:r>
      <w:r w:rsidRPr="0023367D">
        <w:rPr>
          <w:iCs/>
        </w:rPr>
        <w:t xml:space="preserve">x </w:t>
      </w:r>
      <w:proofErr w:type="spellStart"/>
      <w:r w:rsidRPr="0023367D">
        <w:rPr>
          <w:iCs/>
        </w:rPr>
        <w:t>ΔInterest</w:t>
      </w:r>
      <w:proofErr w:type="spellEnd"/>
      <w:r w:rsidRPr="0023367D">
        <w:rPr>
          <w:iCs/>
        </w:rPr>
        <w:t xml:space="preserve"> </w:t>
      </w:r>
      <w:proofErr w:type="spellStart"/>
      <w:r w:rsidRPr="0023367D">
        <w:rPr>
          <w:iCs/>
        </w:rPr>
        <w:t>Coverage</w:t>
      </w:r>
      <w:r w:rsidRPr="0023367D">
        <w:rPr>
          <w:vertAlign w:val="subscript"/>
        </w:rPr>
        <w:t>j,t</w:t>
      </w:r>
      <w:proofErr w:type="spellEnd"/>
      <w:r w:rsidRPr="0023367D">
        <w:rPr>
          <w:iCs/>
        </w:rPr>
        <w:t>),</w:t>
      </w:r>
    </w:p>
    <w:p w14:paraId="2D7FD49B" w14:textId="77777777" w:rsidR="00335619" w:rsidRPr="0023367D" w:rsidRDefault="00335619" w:rsidP="001161C5">
      <w:pPr>
        <w:spacing w:line="276" w:lineRule="auto"/>
        <w:ind w:left="1440"/>
      </w:pPr>
      <w:r w:rsidRPr="0023367D">
        <w:rPr>
          <w:iCs/>
        </w:rPr>
        <w:t xml:space="preserve">(BN </w:t>
      </w:r>
      <w:proofErr w:type="spellStart"/>
      <w:r w:rsidRPr="0023367D">
        <w:rPr>
          <w:vertAlign w:val="subscript"/>
        </w:rPr>
        <w:t>j</w:t>
      </w:r>
      <w:proofErr w:type="gramStart"/>
      <w:r w:rsidRPr="0023367D">
        <w:rPr>
          <w:vertAlign w:val="subscript"/>
        </w:rPr>
        <w:t>,t</w:t>
      </w:r>
      <w:proofErr w:type="spellEnd"/>
      <w:proofErr w:type="gramEnd"/>
      <w:r w:rsidRPr="0023367D">
        <w:rPr>
          <w:vertAlign w:val="subscript"/>
        </w:rPr>
        <w:t xml:space="preserve"> </w:t>
      </w:r>
      <w:r w:rsidRPr="0023367D">
        <w:rPr>
          <w:iCs/>
        </w:rPr>
        <w:t xml:space="preserve">x </w:t>
      </w:r>
      <w:proofErr w:type="spellStart"/>
      <w:r w:rsidRPr="0023367D">
        <w:rPr>
          <w:iCs/>
        </w:rPr>
        <w:t>ΔLeverage</w:t>
      </w:r>
      <w:r w:rsidRPr="0023367D">
        <w:rPr>
          <w:vertAlign w:val="subscript"/>
        </w:rPr>
        <w:t>j,t</w:t>
      </w:r>
      <w:proofErr w:type="spellEnd"/>
      <w:r w:rsidRPr="0023367D">
        <w:rPr>
          <w:iCs/>
        </w:rPr>
        <w:t>), (</w:t>
      </w:r>
      <w:proofErr w:type="spellStart"/>
      <w:r w:rsidRPr="0023367D">
        <w:rPr>
          <w:iCs/>
        </w:rPr>
        <w:t>BN</w:t>
      </w:r>
      <w:r w:rsidRPr="0023367D">
        <w:rPr>
          <w:vertAlign w:val="subscript"/>
        </w:rPr>
        <w:t>j,t</w:t>
      </w:r>
      <w:proofErr w:type="spellEnd"/>
      <w:r w:rsidRPr="0023367D">
        <w:rPr>
          <w:iCs/>
        </w:rPr>
        <w:t xml:space="preserve"> x </w:t>
      </w:r>
      <w:proofErr w:type="spellStart"/>
      <w:r w:rsidRPr="0023367D">
        <w:rPr>
          <w:iCs/>
        </w:rPr>
        <w:t>ΔDebt</w:t>
      </w:r>
      <w:r w:rsidRPr="0023367D">
        <w:rPr>
          <w:vertAlign w:val="subscript"/>
        </w:rPr>
        <w:t>j,t</w:t>
      </w:r>
      <w:proofErr w:type="spellEnd"/>
      <w:r w:rsidRPr="0023367D">
        <w:rPr>
          <w:iCs/>
        </w:rPr>
        <w:t xml:space="preserve">/Tangible Net </w:t>
      </w:r>
      <w:proofErr w:type="spellStart"/>
      <w:r w:rsidRPr="0023367D">
        <w:rPr>
          <w:iCs/>
        </w:rPr>
        <w:t>Worth</w:t>
      </w:r>
      <w:r w:rsidRPr="0023367D">
        <w:rPr>
          <w:vertAlign w:val="subscript"/>
        </w:rPr>
        <w:t>j,t</w:t>
      </w:r>
      <w:proofErr w:type="spellEnd"/>
      <w:r w:rsidRPr="0023367D">
        <w:rPr>
          <w:iCs/>
        </w:rPr>
        <w:t>),</w:t>
      </w:r>
      <w:r w:rsidRPr="0023367D">
        <w:t xml:space="preserve"> </w:t>
      </w:r>
    </w:p>
    <w:p w14:paraId="1C0C0C03" w14:textId="77777777" w:rsidR="00335619" w:rsidRPr="0023367D" w:rsidRDefault="00335619" w:rsidP="001161C5">
      <w:pPr>
        <w:spacing w:line="276" w:lineRule="auto"/>
        <w:ind w:left="1440"/>
        <w:rPr>
          <w:iCs/>
        </w:rPr>
      </w:pPr>
      <w:r w:rsidRPr="0023367D">
        <w:t>(</w:t>
      </w:r>
      <w:proofErr w:type="spellStart"/>
      <w:r w:rsidRPr="0023367D">
        <w:rPr>
          <w:iCs/>
        </w:rPr>
        <w:t>GN</w:t>
      </w:r>
      <w:r w:rsidRPr="0023367D">
        <w:rPr>
          <w:vertAlign w:val="subscript"/>
        </w:rPr>
        <w:t>j</w:t>
      </w:r>
      <w:proofErr w:type="gramStart"/>
      <w:r w:rsidRPr="0023367D">
        <w:rPr>
          <w:vertAlign w:val="subscript"/>
        </w:rPr>
        <w:t>,t</w:t>
      </w:r>
      <w:proofErr w:type="spellEnd"/>
      <w:proofErr w:type="gramEnd"/>
      <w:r w:rsidRPr="0023367D">
        <w:rPr>
          <w:iCs/>
        </w:rPr>
        <w:t xml:space="preserve"> x U(NI)</w:t>
      </w:r>
      <w:proofErr w:type="spellStart"/>
      <w:r w:rsidRPr="0023367D">
        <w:rPr>
          <w:vertAlign w:val="subscript"/>
        </w:rPr>
        <w:t>j,t</w:t>
      </w:r>
      <w:proofErr w:type="spellEnd"/>
      <w:r w:rsidRPr="0023367D">
        <w:rPr>
          <w:iCs/>
        </w:rPr>
        <w:t>), (</w:t>
      </w:r>
      <w:proofErr w:type="spellStart"/>
      <w:r w:rsidRPr="0023367D">
        <w:rPr>
          <w:iCs/>
        </w:rPr>
        <w:t>GN</w:t>
      </w:r>
      <w:r w:rsidRPr="0023367D">
        <w:rPr>
          <w:vertAlign w:val="subscript"/>
        </w:rPr>
        <w:t>j,t</w:t>
      </w:r>
      <w:proofErr w:type="spellEnd"/>
      <w:r w:rsidRPr="0023367D">
        <w:rPr>
          <w:vertAlign w:val="subscript"/>
        </w:rPr>
        <w:t xml:space="preserve"> </w:t>
      </w:r>
      <w:r w:rsidRPr="0023367D">
        <w:rPr>
          <w:iCs/>
        </w:rPr>
        <w:t xml:space="preserve">x </w:t>
      </w:r>
      <w:proofErr w:type="spellStart"/>
      <w:r w:rsidRPr="0023367D">
        <w:rPr>
          <w:iCs/>
        </w:rPr>
        <w:t>ΔDebt</w:t>
      </w:r>
      <w:r w:rsidRPr="0023367D">
        <w:rPr>
          <w:vertAlign w:val="subscript"/>
        </w:rPr>
        <w:t>j,t</w:t>
      </w:r>
      <w:proofErr w:type="spellEnd"/>
      <w:r w:rsidRPr="0023367D">
        <w:rPr>
          <w:iCs/>
        </w:rPr>
        <w:t>/</w:t>
      </w:r>
      <w:proofErr w:type="spellStart"/>
      <w:r w:rsidRPr="0023367D">
        <w:rPr>
          <w:iCs/>
        </w:rPr>
        <w:t>EBITDA</w:t>
      </w:r>
      <w:r w:rsidRPr="0023367D">
        <w:rPr>
          <w:vertAlign w:val="subscript"/>
        </w:rPr>
        <w:t>j,t</w:t>
      </w:r>
      <w:proofErr w:type="spellEnd"/>
      <w:r w:rsidRPr="0023367D">
        <w:rPr>
          <w:iCs/>
        </w:rPr>
        <w:t>), (</w:t>
      </w:r>
      <w:proofErr w:type="spellStart"/>
      <w:r w:rsidRPr="0023367D">
        <w:rPr>
          <w:iCs/>
        </w:rPr>
        <w:t>GN</w:t>
      </w:r>
      <w:r w:rsidRPr="0023367D">
        <w:rPr>
          <w:vertAlign w:val="subscript"/>
        </w:rPr>
        <w:t>j,t</w:t>
      </w:r>
      <w:proofErr w:type="spellEnd"/>
      <w:r w:rsidRPr="0023367D">
        <w:rPr>
          <w:iCs/>
        </w:rPr>
        <w:t xml:space="preserve"> x Δ Interest </w:t>
      </w:r>
      <w:proofErr w:type="spellStart"/>
      <w:r w:rsidRPr="0023367D">
        <w:rPr>
          <w:iCs/>
        </w:rPr>
        <w:t>Coverage</w:t>
      </w:r>
      <w:r w:rsidRPr="0023367D">
        <w:rPr>
          <w:vertAlign w:val="subscript"/>
        </w:rPr>
        <w:t>j,t</w:t>
      </w:r>
      <w:proofErr w:type="spellEnd"/>
      <w:r w:rsidRPr="0023367D">
        <w:rPr>
          <w:iCs/>
        </w:rPr>
        <w:t xml:space="preserve">), </w:t>
      </w:r>
    </w:p>
    <w:p w14:paraId="1535906E" w14:textId="77777777" w:rsidR="00335619" w:rsidRPr="0023367D" w:rsidRDefault="00335619" w:rsidP="001161C5">
      <w:pPr>
        <w:spacing w:line="276" w:lineRule="auto"/>
        <w:ind w:left="1440" w:right="-270"/>
      </w:pPr>
      <w:r w:rsidRPr="0023367D">
        <w:rPr>
          <w:iCs/>
        </w:rPr>
        <w:t>(GN</w:t>
      </w:r>
      <w:r w:rsidRPr="0023367D">
        <w:rPr>
          <w:vertAlign w:val="subscript"/>
        </w:rPr>
        <w:t xml:space="preserve"> </w:t>
      </w:r>
      <w:proofErr w:type="spellStart"/>
      <w:r w:rsidRPr="0023367D">
        <w:rPr>
          <w:vertAlign w:val="subscript"/>
        </w:rPr>
        <w:t>j</w:t>
      </w:r>
      <w:proofErr w:type="gramStart"/>
      <w:r w:rsidRPr="0023367D">
        <w:rPr>
          <w:vertAlign w:val="subscript"/>
        </w:rPr>
        <w:t>,t</w:t>
      </w:r>
      <w:proofErr w:type="spellEnd"/>
      <w:proofErr w:type="gramEnd"/>
      <w:r w:rsidRPr="0023367D">
        <w:rPr>
          <w:iCs/>
        </w:rPr>
        <w:t xml:space="preserve"> x </w:t>
      </w:r>
      <w:proofErr w:type="spellStart"/>
      <w:r w:rsidRPr="0023367D">
        <w:rPr>
          <w:iCs/>
        </w:rPr>
        <w:t>ΔLeverage</w:t>
      </w:r>
      <w:r w:rsidRPr="0023367D">
        <w:rPr>
          <w:vertAlign w:val="subscript"/>
        </w:rPr>
        <w:t>j,t</w:t>
      </w:r>
      <w:proofErr w:type="spellEnd"/>
      <w:r w:rsidRPr="0023367D">
        <w:rPr>
          <w:iCs/>
        </w:rPr>
        <w:t>), (</w:t>
      </w:r>
      <w:proofErr w:type="spellStart"/>
      <w:r w:rsidRPr="0023367D">
        <w:rPr>
          <w:iCs/>
        </w:rPr>
        <w:t>GN</w:t>
      </w:r>
      <w:r w:rsidRPr="0023367D">
        <w:rPr>
          <w:vertAlign w:val="subscript"/>
        </w:rPr>
        <w:t>j,t</w:t>
      </w:r>
      <w:proofErr w:type="spellEnd"/>
      <w:r w:rsidRPr="0023367D">
        <w:rPr>
          <w:vertAlign w:val="subscript"/>
        </w:rPr>
        <w:t xml:space="preserve"> </w:t>
      </w:r>
      <w:r w:rsidRPr="0023367D">
        <w:rPr>
          <w:iCs/>
        </w:rPr>
        <w:t xml:space="preserve">x </w:t>
      </w:r>
      <w:proofErr w:type="spellStart"/>
      <w:r w:rsidRPr="0023367D">
        <w:rPr>
          <w:iCs/>
        </w:rPr>
        <w:t>ΔDebt</w:t>
      </w:r>
      <w:r w:rsidRPr="0023367D">
        <w:rPr>
          <w:vertAlign w:val="subscript"/>
        </w:rPr>
        <w:t>j,t</w:t>
      </w:r>
      <w:proofErr w:type="spellEnd"/>
      <w:r w:rsidRPr="0023367D">
        <w:rPr>
          <w:iCs/>
        </w:rPr>
        <w:t xml:space="preserve">/Tangible Net </w:t>
      </w:r>
      <w:proofErr w:type="spellStart"/>
      <w:r w:rsidRPr="0023367D">
        <w:rPr>
          <w:iCs/>
        </w:rPr>
        <w:t>Worth</w:t>
      </w:r>
      <w:r w:rsidRPr="0023367D">
        <w:rPr>
          <w:vertAlign w:val="subscript"/>
        </w:rPr>
        <w:t>j,t</w:t>
      </w:r>
      <w:proofErr w:type="spellEnd"/>
      <w:r w:rsidRPr="0023367D">
        <w:rPr>
          <w:iCs/>
        </w:rPr>
        <w:t xml:space="preserve">), </w:t>
      </w:r>
      <w:r w:rsidRPr="0023367D">
        <w:t>∆</w:t>
      </w:r>
      <w:proofErr w:type="spellStart"/>
      <w:r w:rsidRPr="0023367D">
        <w:rPr>
          <w:color w:val="000000"/>
        </w:rPr>
        <w:t>PROB</w:t>
      </w:r>
      <w:r w:rsidRPr="0023367D">
        <w:rPr>
          <w:vertAlign w:val="subscript"/>
        </w:rPr>
        <w:t>j,t</w:t>
      </w:r>
      <w:proofErr w:type="spellEnd"/>
      <w:r w:rsidRPr="0023367D">
        <w:rPr>
          <w:iCs/>
        </w:rPr>
        <w:t xml:space="preserve"> }   </w:t>
      </w:r>
      <w:r w:rsidR="00007E13" w:rsidRPr="0023367D">
        <w:rPr>
          <w:iCs/>
        </w:rPr>
        <w:t xml:space="preserve">    </w:t>
      </w:r>
      <w:r w:rsidRPr="0023367D">
        <w:rPr>
          <w:iCs/>
        </w:rPr>
        <w:t>(A2)</w:t>
      </w:r>
    </w:p>
    <w:p w14:paraId="42F28E6C" w14:textId="77777777" w:rsidR="00335619" w:rsidRPr="0023367D" w:rsidRDefault="00335619" w:rsidP="001161C5">
      <w:pPr>
        <w:tabs>
          <w:tab w:val="left" w:pos="0"/>
        </w:tabs>
        <w:spacing w:before="240" w:line="276" w:lineRule="auto"/>
      </w:pPr>
      <w:proofErr w:type="gramStart"/>
      <w:r w:rsidRPr="0023367D">
        <w:t>where</w:t>
      </w:r>
      <w:proofErr w:type="gramEnd"/>
      <w:r w:rsidRPr="0023367D">
        <w:t xml:space="preserve"> R</w:t>
      </w:r>
      <w:r w:rsidRPr="0023367D">
        <w:rPr>
          <w:vertAlign w:val="superscript"/>
        </w:rPr>
        <w:t>BH</w:t>
      </w:r>
      <w:r w:rsidRPr="0023367D">
        <w:t xml:space="preserve"> is as defined in model (5) in section </w:t>
      </w:r>
      <w:r w:rsidR="00106609" w:rsidRPr="0023367D">
        <w:t>4</w:t>
      </w:r>
      <w:r w:rsidRPr="0023367D">
        <w:t>.2</w:t>
      </w:r>
      <w:r w:rsidR="0084558B">
        <w:t xml:space="preserve">. </w:t>
      </w:r>
      <w:r w:rsidRPr="0023367D">
        <w:t>The independent variables are formed using dummy variables that indicate “bad news” (</w:t>
      </w:r>
      <w:r w:rsidRPr="0023367D">
        <w:rPr>
          <w:iCs/>
        </w:rPr>
        <w:t>BN</w:t>
      </w:r>
      <w:r w:rsidRPr="0023367D">
        <w:t>) or “good news” (</w:t>
      </w:r>
      <w:r w:rsidRPr="0023367D">
        <w:rPr>
          <w:iCs/>
        </w:rPr>
        <w:t>GN</w:t>
      </w:r>
      <w:r w:rsidRPr="0023367D">
        <w:t>) events</w:t>
      </w:r>
      <w:r w:rsidR="0084558B">
        <w:t xml:space="preserve">. </w:t>
      </w:r>
      <w:proofErr w:type="spellStart"/>
      <w:r w:rsidRPr="0023367D">
        <w:rPr>
          <w:iCs/>
        </w:rPr>
        <w:t>BN</w:t>
      </w:r>
      <w:r w:rsidRPr="0023367D">
        <w:rPr>
          <w:vertAlign w:val="subscript"/>
        </w:rPr>
        <w:t>j</w:t>
      </w:r>
      <w:proofErr w:type="gramStart"/>
      <w:r w:rsidRPr="0023367D">
        <w:rPr>
          <w:vertAlign w:val="subscript"/>
        </w:rPr>
        <w:t>,t</w:t>
      </w:r>
      <w:proofErr w:type="spellEnd"/>
      <w:proofErr w:type="gramEnd"/>
      <w:r w:rsidRPr="0023367D">
        <w:rPr>
          <w:iCs/>
        </w:rPr>
        <w:t xml:space="preserve"> </w:t>
      </w:r>
      <w:r w:rsidRPr="0023367D">
        <w:t>equals one for changes in financial measures that indicate an increase in default risk and zero otherwise</w:t>
      </w:r>
      <w:r w:rsidR="0084558B">
        <w:t xml:space="preserve">. </w:t>
      </w:r>
      <w:r w:rsidRPr="0023367D">
        <w:t xml:space="preserve">Specifically, </w:t>
      </w:r>
      <w:proofErr w:type="spellStart"/>
      <w:r w:rsidRPr="0023367D">
        <w:rPr>
          <w:iCs/>
        </w:rPr>
        <w:t>BN</w:t>
      </w:r>
      <w:r w:rsidRPr="0023367D">
        <w:rPr>
          <w:vertAlign w:val="subscript"/>
        </w:rPr>
        <w:t>j</w:t>
      </w:r>
      <w:proofErr w:type="gramStart"/>
      <w:r w:rsidRPr="0023367D">
        <w:rPr>
          <w:vertAlign w:val="subscript"/>
        </w:rPr>
        <w:t>,t</w:t>
      </w:r>
      <w:proofErr w:type="spellEnd"/>
      <w:proofErr w:type="gramEnd"/>
      <w:r w:rsidRPr="0023367D">
        <w:rPr>
          <w:i/>
          <w:iCs/>
        </w:rPr>
        <w:t xml:space="preserve"> </w:t>
      </w:r>
      <w:r w:rsidRPr="0023367D">
        <w:t>equals one for a negative U(NI), an increase in the ratio of Debt/EBITDA, a decrease in interest coverage, an increase in leverage and an increase in Debt/Tangible Net Worth</w:t>
      </w:r>
      <w:r w:rsidR="0084558B">
        <w:t xml:space="preserve">. </w:t>
      </w:r>
      <w:proofErr w:type="spellStart"/>
      <w:r w:rsidRPr="0023367D">
        <w:rPr>
          <w:iCs/>
        </w:rPr>
        <w:t>GN</w:t>
      </w:r>
      <w:r w:rsidRPr="0023367D">
        <w:rPr>
          <w:vertAlign w:val="subscript"/>
        </w:rPr>
        <w:t>j</w:t>
      </w:r>
      <w:proofErr w:type="gramStart"/>
      <w:r w:rsidRPr="0023367D">
        <w:rPr>
          <w:vertAlign w:val="subscript"/>
        </w:rPr>
        <w:t>,t</w:t>
      </w:r>
      <w:proofErr w:type="spellEnd"/>
      <w:proofErr w:type="gramEnd"/>
      <w:r w:rsidRPr="0023367D">
        <w:rPr>
          <w:iCs/>
        </w:rPr>
        <w:t xml:space="preserve"> </w:t>
      </w:r>
      <w:r w:rsidRPr="0023367D">
        <w:t>equals one for changes that indicate a decrease in default risk and zero otherwise</w:t>
      </w:r>
      <w:r w:rsidR="0084558B">
        <w:t xml:space="preserve">. </w:t>
      </w:r>
      <w:r w:rsidRPr="0023367D">
        <w:t xml:space="preserve">Specifically, </w:t>
      </w:r>
      <w:proofErr w:type="spellStart"/>
      <w:r w:rsidRPr="0023367D">
        <w:rPr>
          <w:iCs/>
        </w:rPr>
        <w:t>GN</w:t>
      </w:r>
      <w:r w:rsidRPr="0023367D">
        <w:rPr>
          <w:vertAlign w:val="subscript"/>
        </w:rPr>
        <w:t>j</w:t>
      </w:r>
      <w:proofErr w:type="gramStart"/>
      <w:r w:rsidRPr="0023367D">
        <w:rPr>
          <w:vertAlign w:val="subscript"/>
        </w:rPr>
        <w:t>,t</w:t>
      </w:r>
      <w:proofErr w:type="spellEnd"/>
      <w:proofErr w:type="gramEnd"/>
      <w:r w:rsidRPr="0023367D">
        <w:rPr>
          <w:i/>
          <w:iCs/>
        </w:rPr>
        <w:t xml:space="preserve"> </w:t>
      </w:r>
      <w:r w:rsidRPr="0023367D">
        <w:t>equals one for a positive U(NI), a decrease in Debt/EBITDA, an increase in interest coverage, a decrease in leverage and a decrease in Debt/Tangible Net Worth</w:t>
      </w:r>
      <w:r w:rsidR="0084558B">
        <w:t xml:space="preserve">. </w:t>
      </w:r>
    </w:p>
    <w:p w14:paraId="6E4EA37E" w14:textId="77777777" w:rsidR="00335619" w:rsidRPr="0023367D" w:rsidRDefault="00335619" w:rsidP="001161C5">
      <w:pPr>
        <w:spacing w:line="276" w:lineRule="auto"/>
        <w:jc w:val="center"/>
        <w:outlineLvl w:val="0"/>
        <w:rPr>
          <w:b/>
          <w:bCs/>
        </w:rPr>
      </w:pPr>
      <w:r w:rsidRPr="0023367D">
        <w:br w:type="page"/>
      </w:r>
      <w:r w:rsidRPr="0023367D">
        <w:rPr>
          <w:b/>
          <w:bCs/>
        </w:rPr>
        <w:t>Appendix B</w:t>
      </w:r>
    </w:p>
    <w:p w14:paraId="59E305F1" w14:textId="77777777" w:rsidR="00335619" w:rsidRPr="0023367D" w:rsidRDefault="00335619" w:rsidP="00335619">
      <w:pPr>
        <w:ind w:left="720"/>
        <w:contextualSpacing/>
        <w:jc w:val="center"/>
        <w:rPr>
          <w:b/>
          <w:bCs/>
        </w:rPr>
      </w:pPr>
      <w:r w:rsidRPr="0023367D">
        <w:rPr>
          <w:b/>
          <w:bCs/>
        </w:rPr>
        <w:t>Summary Results from Estimating Regressions (3) and (5)</w:t>
      </w:r>
    </w:p>
    <w:p w14:paraId="7567E16A" w14:textId="77777777" w:rsidR="00335619" w:rsidRPr="0023367D" w:rsidRDefault="00335619" w:rsidP="00335619">
      <w:pPr>
        <w:ind w:left="720"/>
        <w:contextualSpacing/>
        <w:jc w:val="center"/>
        <w:rPr>
          <w:b/>
          <w:bCs/>
        </w:rPr>
      </w:pPr>
    </w:p>
    <w:p w14:paraId="2D3F8ACE" w14:textId="593CD010" w:rsidR="00335619" w:rsidRPr="00F554D2" w:rsidRDefault="00335619" w:rsidP="00F554D2">
      <w:pPr>
        <w:pStyle w:val="ListParagraph"/>
        <w:numPr>
          <w:ilvl w:val="0"/>
          <w:numId w:val="26"/>
        </w:numPr>
        <w:ind w:left="450" w:hanging="450"/>
        <w:rPr>
          <w:b/>
          <w:iCs/>
        </w:rPr>
      </w:pPr>
      <w:r w:rsidRPr="00F554D2">
        <w:rPr>
          <w:b/>
          <w:iCs/>
        </w:rPr>
        <w:t>Summary Results from Estimating Regression (3):</w:t>
      </w:r>
    </w:p>
    <w:p w14:paraId="79BCDEDE" w14:textId="77777777" w:rsidR="00335619" w:rsidRPr="0023367D" w:rsidRDefault="00335619" w:rsidP="00335619">
      <w:pPr>
        <w:ind w:left="1080"/>
        <w:contextualSpacing/>
        <w:rPr>
          <w:b/>
          <w:iCs/>
        </w:rPr>
      </w:pPr>
    </w:p>
    <w:p w14:paraId="5DBEE947" w14:textId="77777777" w:rsidR="00335619" w:rsidRPr="0023367D" w:rsidRDefault="00335619" w:rsidP="00335619">
      <w:pPr>
        <w:ind w:left="-1440"/>
        <w:jc w:val="center"/>
        <w:rPr>
          <w:color w:val="000000"/>
        </w:rPr>
      </w:pPr>
      <w:proofErr w:type="spellStart"/>
      <w:r w:rsidRPr="0023367D">
        <w:t>YSpread</w:t>
      </w:r>
      <w:proofErr w:type="spellEnd"/>
      <w:r w:rsidRPr="0023367D">
        <w:rPr>
          <w:vertAlign w:val="subscript"/>
        </w:rPr>
        <w:t xml:space="preserve"> </w:t>
      </w:r>
      <w:proofErr w:type="spellStart"/>
      <w:r w:rsidRPr="0023367D">
        <w:rPr>
          <w:vertAlign w:val="subscript"/>
        </w:rPr>
        <w:t>j</w:t>
      </w:r>
      <w:proofErr w:type="gramStart"/>
      <w:r w:rsidRPr="0023367D">
        <w:rPr>
          <w:vertAlign w:val="subscript"/>
        </w:rPr>
        <w:t>,t</w:t>
      </w:r>
      <w:proofErr w:type="spellEnd"/>
      <w:proofErr w:type="gramEnd"/>
      <w:r w:rsidRPr="0023367D">
        <w:rPr>
          <w:sz w:val="28"/>
          <w:szCs w:val="28"/>
        </w:rPr>
        <w:t xml:space="preserve"> = </w:t>
      </w:r>
      <w:r w:rsidRPr="0023367D">
        <w:rPr>
          <w:rFonts w:ascii="Blackadder ITC" w:hAnsi="Blackadder ITC" w:cs="Andalus"/>
          <w:sz w:val="28"/>
          <w:szCs w:val="28"/>
        </w:rPr>
        <w:t>f</w:t>
      </w:r>
      <w:r w:rsidRPr="0023367D">
        <w:t xml:space="preserve"> {</w:t>
      </w:r>
      <w:r w:rsidRPr="0023367D">
        <w:rPr>
          <w:color w:val="000000"/>
        </w:rPr>
        <w:t>ROA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(EBITDA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xml:space="preserve">/ </w:t>
      </w:r>
      <w:proofErr w:type="spellStart"/>
      <w:r w:rsidRPr="0023367D">
        <w:rPr>
          <w:color w:val="000000"/>
        </w:rPr>
        <w:t>Liab</w:t>
      </w:r>
      <w:proofErr w:type="spellEnd"/>
      <w:r w:rsidRPr="0023367D">
        <w:rPr>
          <w:color w:val="000000"/>
        </w:rPr>
        <w:t xml:space="preserve"> </w:t>
      </w:r>
      <w:proofErr w:type="spellStart"/>
      <w:r w:rsidRPr="0023367D">
        <w:rPr>
          <w:vertAlign w:val="subscript"/>
        </w:rPr>
        <w:t>j,t</w:t>
      </w:r>
      <w:proofErr w:type="spellEnd"/>
      <w:r w:rsidRPr="0023367D">
        <w:rPr>
          <w:color w:val="000000"/>
          <w:vertAlign w:val="subscript"/>
        </w:rPr>
        <w:t xml:space="preserve"> -1</w:t>
      </w:r>
      <w:r w:rsidRPr="0023367D">
        <w:rPr>
          <w:color w:val="000000"/>
        </w:rPr>
        <w:t>), (</w:t>
      </w:r>
      <w:proofErr w:type="spellStart"/>
      <w:r w:rsidRPr="0023367D">
        <w:rPr>
          <w:color w:val="000000"/>
        </w:rPr>
        <w:t>Liab</w:t>
      </w:r>
      <w:proofErr w:type="spellEnd"/>
      <w:r w:rsidRPr="0023367D">
        <w:rPr>
          <w:vertAlign w:val="subscript"/>
        </w:rPr>
        <w:t xml:space="preserve"> </w:t>
      </w:r>
      <w:proofErr w:type="spellStart"/>
      <w:r w:rsidRPr="0023367D">
        <w:rPr>
          <w:vertAlign w:val="subscript"/>
        </w:rPr>
        <w:t>j,t</w:t>
      </w:r>
      <w:proofErr w:type="spellEnd"/>
      <w:r w:rsidRPr="0023367D">
        <w:rPr>
          <w:color w:val="000000"/>
        </w:rPr>
        <w:t xml:space="preserve"> /Assets</w:t>
      </w:r>
      <w:r w:rsidRPr="0023367D">
        <w:rPr>
          <w:vertAlign w:val="subscript"/>
        </w:rPr>
        <w:t xml:space="preserve"> </w:t>
      </w:r>
      <w:proofErr w:type="spellStart"/>
      <w:r w:rsidRPr="0023367D">
        <w:rPr>
          <w:vertAlign w:val="subscript"/>
        </w:rPr>
        <w:t>j,t</w:t>
      </w:r>
      <w:proofErr w:type="spellEnd"/>
      <w:r w:rsidRPr="0023367D">
        <w:rPr>
          <w:color w:val="000000"/>
        </w:rPr>
        <w:t>), LOSS</w:t>
      </w:r>
      <w:r w:rsidRPr="0023367D">
        <w:rPr>
          <w:vertAlign w:val="subscript"/>
        </w:rPr>
        <w:t xml:space="preserve"> </w:t>
      </w:r>
      <w:proofErr w:type="spellStart"/>
      <w:r w:rsidRPr="0023367D">
        <w:rPr>
          <w:vertAlign w:val="subscript"/>
        </w:rPr>
        <w:t>j,t</w:t>
      </w:r>
      <w:proofErr w:type="spellEnd"/>
      <w:r w:rsidRPr="0023367D">
        <w:rPr>
          <w:color w:val="000000"/>
        </w:rPr>
        <w:t>,</w:t>
      </w:r>
    </w:p>
    <w:p w14:paraId="000821BD" w14:textId="77777777" w:rsidR="00335619" w:rsidRPr="0023367D" w:rsidRDefault="00335619" w:rsidP="00335619">
      <w:pPr>
        <w:ind w:left="360"/>
        <w:jc w:val="center"/>
        <w:rPr>
          <w:color w:val="000000"/>
        </w:rPr>
      </w:pPr>
      <w:r w:rsidRPr="0023367D">
        <w:rPr>
          <w:color w:val="000000"/>
        </w:rPr>
        <w:t>LOSS</w:t>
      </w:r>
      <w:r w:rsidRPr="0023367D">
        <w:rPr>
          <w:vertAlign w:val="subscript"/>
        </w:rPr>
        <w:t xml:space="preserve"> </w:t>
      </w:r>
      <w:proofErr w:type="spellStart"/>
      <w:r w:rsidRPr="0023367D">
        <w:rPr>
          <w:vertAlign w:val="subscript"/>
        </w:rPr>
        <w:t>j,t</w:t>
      </w:r>
      <w:proofErr w:type="spellEnd"/>
      <w:r w:rsidRPr="0023367D">
        <w:rPr>
          <w:color w:val="000000"/>
        </w:rPr>
        <w:t xml:space="preserve"> *ROA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LOSS</w:t>
      </w:r>
      <w:r w:rsidRPr="0023367D">
        <w:rPr>
          <w:vertAlign w:val="subscript"/>
        </w:rPr>
        <w:t xml:space="preserve"> </w:t>
      </w:r>
      <w:proofErr w:type="spellStart"/>
      <w:r w:rsidRPr="0023367D">
        <w:rPr>
          <w:vertAlign w:val="subscript"/>
        </w:rPr>
        <w:t>j,t</w:t>
      </w:r>
      <w:proofErr w:type="spellEnd"/>
      <w:r w:rsidRPr="0023367D">
        <w:rPr>
          <w:color w:val="000000"/>
        </w:rPr>
        <w:t xml:space="preserve"> * (EBITDA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xml:space="preserve">/ </w:t>
      </w:r>
      <w:proofErr w:type="spellStart"/>
      <w:r w:rsidRPr="0023367D">
        <w:rPr>
          <w:color w:val="000000"/>
        </w:rPr>
        <w:t>Liab</w:t>
      </w:r>
      <w:proofErr w:type="spellEnd"/>
      <w:r w:rsidRPr="0023367D">
        <w:rPr>
          <w:color w:val="000000"/>
        </w:rPr>
        <w:t xml:space="preserve"> </w:t>
      </w:r>
      <w:proofErr w:type="spellStart"/>
      <w:r w:rsidRPr="0023367D">
        <w:rPr>
          <w:vertAlign w:val="subscript"/>
        </w:rPr>
        <w:t>j,t</w:t>
      </w:r>
      <w:proofErr w:type="spellEnd"/>
      <w:r w:rsidRPr="0023367D">
        <w:rPr>
          <w:color w:val="000000"/>
          <w:vertAlign w:val="subscript"/>
        </w:rPr>
        <w:t xml:space="preserve"> -1</w:t>
      </w:r>
      <w:r w:rsidRPr="0023367D">
        <w:rPr>
          <w:color w:val="000000"/>
        </w:rPr>
        <w:t>), LOSS</w:t>
      </w:r>
      <w:r w:rsidRPr="0023367D">
        <w:rPr>
          <w:vertAlign w:val="subscript"/>
        </w:rPr>
        <w:t xml:space="preserve"> </w:t>
      </w:r>
      <w:proofErr w:type="spellStart"/>
      <w:r w:rsidRPr="0023367D">
        <w:rPr>
          <w:vertAlign w:val="subscript"/>
        </w:rPr>
        <w:t>j,t</w:t>
      </w:r>
      <w:proofErr w:type="spellEnd"/>
      <w:r w:rsidRPr="0023367D">
        <w:rPr>
          <w:color w:val="000000"/>
        </w:rPr>
        <w:t xml:space="preserve"> *(</w:t>
      </w:r>
      <w:proofErr w:type="spellStart"/>
      <w:r w:rsidRPr="0023367D">
        <w:rPr>
          <w:color w:val="000000"/>
        </w:rPr>
        <w:t>Liab</w:t>
      </w:r>
      <w:proofErr w:type="spellEnd"/>
      <w:r w:rsidRPr="0023367D">
        <w:rPr>
          <w:vertAlign w:val="subscript"/>
        </w:rPr>
        <w:t xml:space="preserve"> </w:t>
      </w:r>
      <w:proofErr w:type="spellStart"/>
      <w:r w:rsidRPr="0023367D">
        <w:rPr>
          <w:vertAlign w:val="subscript"/>
        </w:rPr>
        <w:t>j,t</w:t>
      </w:r>
      <w:proofErr w:type="spellEnd"/>
      <w:r w:rsidRPr="0023367D">
        <w:rPr>
          <w:color w:val="000000"/>
        </w:rPr>
        <w:t xml:space="preserve"> /Assets</w:t>
      </w:r>
      <w:r w:rsidRPr="0023367D">
        <w:rPr>
          <w:vertAlign w:val="subscript"/>
        </w:rPr>
        <w:t xml:space="preserve"> </w:t>
      </w:r>
      <w:proofErr w:type="spellStart"/>
      <w:r w:rsidRPr="0023367D">
        <w:rPr>
          <w:vertAlign w:val="subscript"/>
        </w:rPr>
        <w:t>j,t</w:t>
      </w:r>
      <w:proofErr w:type="spellEnd"/>
      <w:r w:rsidRPr="0023367D">
        <w:rPr>
          <w:color w:val="000000"/>
        </w:rPr>
        <w:t>), PROB</w:t>
      </w:r>
      <w:r w:rsidRPr="0023367D">
        <w:rPr>
          <w:vertAlign w:val="subscript"/>
        </w:rPr>
        <w:t xml:space="preserve"> </w:t>
      </w:r>
      <w:proofErr w:type="spellStart"/>
      <w:r w:rsidRPr="0023367D">
        <w:rPr>
          <w:vertAlign w:val="subscript"/>
        </w:rPr>
        <w:t>j,t</w:t>
      </w:r>
      <w:proofErr w:type="spellEnd"/>
      <w:r w:rsidRPr="0023367D">
        <w:rPr>
          <w:color w:val="000000"/>
        </w:rPr>
        <w:t>}</w:t>
      </w:r>
    </w:p>
    <w:p w14:paraId="5302F413" w14:textId="77777777" w:rsidR="00335619" w:rsidRPr="0023367D" w:rsidRDefault="00335619" w:rsidP="00335619">
      <w:pPr>
        <w:ind w:left="720"/>
        <w:contextualSpacing/>
        <w:jc w:val="center"/>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260"/>
        <w:gridCol w:w="1260"/>
        <w:gridCol w:w="1122"/>
        <w:gridCol w:w="1308"/>
        <w:gridCol w:w="1080"/>
        <w:gridCol w:w="1122"/>
      </w:tblGrid>
      <w:tr w:rsidR="00335619" w:rsidRPr="0023367D" w14:paraId="0BB32235" w14:textId="77777777" w:rsidTr="00245940">
        <w:trPr>
          <w:trHeight w:val="395"/>
          <w:jc w:val="center"/>
        </w:trPr>
        <w:tc>
          <w:tcPr>
            <w:tcW w:w="2653" w:type="dxa"/>
            <w:tcBorders>
              <w:bottom w:val="single" w:sz="4" w:space="0" w:color="auto"/>
            </w:tcBorders>
            <w:shd w:val="clear" w:color="auto" w:fill="auto"/>
            <w:vAlign w:val="center"/>
          </w:tcPr>
          <w:p w14:paraId="335A6162" w14:textId="77777777" w:rsidR="00335619" w:rsidRPr="0023367D" w:rsidRDefault="00335619" w:rsidP="00335619">
            <w:pPr>
              <w:rPr>
                <w:sz w:val="22"/>
                <w:lang w:bidi="he-IL"/>
              </w:rPr>
            </w:pPr>
            <w:r w:rsidRPr="0023367D">
              <w:rPr>
                <w:sz w:val="22"/>
                <w:lang w:bidi="he-IL"/>
              </w:rPr>
              <w:t> </w:t>
            </w:r>
          </w:p>
        </w:tc>
        <w:tc>
          <w:tcPr>
            <w:tcW w:w="3642" w:type="dxa"/>
            <w:gridSpan w:val="3"/>
            <w:tcBorders>
              <w:bottom w:val="single" w:sz="4" w:space="0" w:color="auto"/>
              <w:right w:val="single" w:sz="18" w:space="0" w:color="auto"/>
            </w:tcBorders>
            <w:shd w:val="clear" w:color="auto" w:fill="auto"/>
            <w:vAlign w:val="center"/>
          </w:tcPr>
          <w:p w14:paraId="2D56C3F8" w14:textId="77777777" w:rsidR="00335619" w:rsidRPr="0023367D" w:rsidRDefault="00335619" w:rsidP="00335619">
            <w:pPr>
              <w:jc w:val="center"/>
              <w:rPr>
                <w:b/>
                <w:sz w:val="22"/>
              </w:rPr>
            </w:pPr>
            <w:r w:rsidRPr="0023367D">
              <w:rPr>
                <w:b/>
                <w:bCs/>
                <w:sz w:val="22"/>
                <w:lang w:bidi="he-IL"/>
              </w:rPr>
              <w:t>Full Sample</w:t>
            </w:r>
          </w:p>
        </w:tc>
        <w:tc>
          <w:tcPr>
            <w:tcW w:w="3510" w:type="dxa"/>
            <w:gridSpan w:val="3"/>
            <w:tcBorders>
              <w:left w:val="single" w:sz="18" w:space="0" w:color="auto"/>
              <w:bottom w:val="single" w:sz="4" w:space="0" w:color="auto"/>
            </w:tcBorders>
            <w:vAlign w:val="center"/>
          </w:tcPr>
          <w:p w14:paraId="74A8D2FD" w14:textId="77777777" w:rsidR="00335619" w:rsidRPr="0023367D" w:rsidRDefault="00335619" w:rsidP="00335619">
            <w:pPr>
              <w:jc w:val="center"/>
              <w:rPr>
                <w:b/>
                <w:bCs/>
                <w:sz w:val="22"/>
                <w:lang w:bidi="he-IL"/>
              </w:rPr>
            </w:pPr>
            <w:r w:rsidRPr="0023367D">
              <w:rPr>
                <w:b/>
                <w:bCs/>
                <w:sz w:val="22"/>
                <w:lang w:bidi="he-IL"/>
              </w:rPr>
              <w:t>Homogenous-Liquid Subsample</w:t>
            </w:r>
          </w:p>
        </w:tc>
      </w:tr>
      <w:tr w:rsidR="00335619" w:rsidRPr="0023367D" w14:paraId="70DDFECB" w14:textId="77777777" w:rsidTr="00245940">
        <w:trPr>
          <w:jc w:val="center"/>
        </w:trPr>
        <w:tc>
          <w:tcPr>
            <w:tcW w:w="2653" w:type="dxa"/>
            <w:tcBorders>
              <w:bottom w:val="nil"/>
            </w:tcBorders>
            <w:shd w:val="clear" w:color="auto" w:fill="auto"/>
            <w:vAlign w:val="center"/>
          </w:tcPr>
          <w:p w14:paraId="72340D1D" w14:textId="77777777" w:rsidR="00335619" w:rsidRPr="0023367D" w:rsidRDefault="00335619" w:rsidP="00335619">
            <w:pPr>
              <w:rPr>
                <w:sz w:val="22"/>
                <w:lang w:bidi="he-IL"/>
              </w:rPr>
            </w:pPr>
            <w:r w:rsidRPr="0023367D">
              <w:rPr>
                <w:sz w:val="22"/>
                <w:lang w:bidi="he-IL"/>
              </w:rPr>
              <w:t xml:space="preserve">Intercept   </w:t>
            </w:r>
            <w:r w:rsidRPr="0023367D">
              <w:rPr>
                <w:sz w:val="22"/>
                <w:lang w:bidi="he-IL"/>
              </w:rPr>
              <w:tab/>
            </w:r>
          </w:p>
        </w:tc>
        <w:tc>
          <w:tcPr>
            <w:tcW w:w="1260" w:type="dxa"/>
            <w:tcBorders>
              <w:bottom w:val="nil"/>
            </w:tcBorders>
            <w:shd w:val="clear" w:color="auto" w:fill="auto"/>
            <w:vAlign w:val="center"/>
          </w:tcPr>
          <w:p w14:paraId="51E804C6" w14:textId="77777777" w:rsidR="00335619" w:rsidRPr="0023367D" w:rsidRDefault="00335619" w:rsidP="00335619">
            <w:pPr>
              <w:jc w:val="center"/>
              <w:rPr>
                <w:color w:val="000000"/>
                <w:sz w:val="22"/>
                <w:szCs w:val="22"/>
              </w:rPr>
            </w:pPr>
            <w:r w:rsidRPr="0023367D">
              <w:rPr>
                <w:color w:val="000000"/>
                <w:sz w:val="22"/>
                <w:szCs w:val="22"/>
              </w:rPr>
              <w:t>0.346</w:t>
            </w:r>
          </w:p>
        </w:tc>
        <w:tc>
          <w:tcPr>
            <w:tcW w:w="1260" w:type="dxa"/>
            <w:tcBorders>
              <w:bottom w:val="nil"/>
            </w:tcBorders>
            <w:vAlign w:val="center"/>
          </w:tcPr>
          <w:p w14:paraId="4D0C07DB" w14:textId="77777777" w:rsidR="00335619" w:rsidRPr="0023367D" w:rsidRDefault="00335619" w:rsidP="00335619">
            <w:pPr>
              <w:jc w:val="center"/>
              <w:rPr>
                <w:color w:val="000000"/>
                <w:sz w:val="22"/>
                <w:szCs w:val="22"/>
              </w:rPr>
            </w:pPr>
            <w:r w:rsidRPr="0023367D">
              <w:rPr>
                <w:color w:val="000000"/>
                <w:sz w:val="22"/>
                <w:szCs w:val="22"/>
              </w:rPr>
              <w:t>-0.262</w:t>
            </w:r>
          </w:p>
        </w:tc>
        <w:tc>
          <w:tcPr>
            <w:tcW w:w="1122" w:type="dxa"/>
            <w:tcBorders>
              <w:bottom w:val="nil"/>
              <w:right w:val="single" w:sz="18" w:space="0" w:color="auto"/>
            </w:tcBorders>
            <w:vAlign w:val="center"/>
          </w:tcPr>
          <w:p w14:paraId="619633EC" w14:textId="77777777" w:rsidR="00335619" w:rsidRPr="0023367D" w:rsidRDefault="00335619" w:rsidP="00335619">
            <w:pPr>
              <w:jc w:val="center"/>
              <w:rPr>
                <w:color w:val="000000"/>
                <w:sz w:val="22"/>
                <w:szCs w:val="22"/>
              </w:rPr>
            </w:pPr>
            <w:r w:rsidRPr="0023367D">
              <w:rPr>
                <w:color w:val="000000"/>
                <w:sz w:val="22"/>
                <w:szCs w:val="22"/>
              </w:rPr>
              <w:t>2.576</w:t>
            </w:r>
          </w:p>
        </w:tc>
        <w:tc>
          <w:tcPr>
            <w:tcW w:w="1308" w:type="dxa"/>
            <w:tcBorders>
              <w:left w:val="single" w:sz="18" w:space="0" w:color="auto"/>
              <w:bottom w:val="nil"/>
            </w:tcBorders>
            <w:vAlign w:val="center"/>
          </w:tcPr>
          <w:p w14:paraId="5A52DCFE" w14:textId="77777777" w:rsidR="00335619" w:rsidRPr="0023367D" w:rsidRDefault="00335619" w:rsidP="00335619">
            <w:pPr>
              <w:jc w:val="center"/>
              <w:rPr>
                <w:color w:val="000000"/>
                <w:sz w:val="22"/>
                <w:szCs w:val="22"/>
              </w:rPr>
            </w:pPr>
            <w:r w:rsidRPr="0023367D">
              <w:rPr>
                <w:color w:val="000000"/>
                <w:sz w:val="22"/>
                <w:szCs w:val="22"/>
              </w:rPr>
              <w:t>1.223</w:t>
            </w:r>
          </w:p>
        </w:tc>
        <w:tc>
          <w:tcPr>
            <w:tcW w:w="1080" w:type="dxa"/>
            <w:tcBorders>
              <w:bottom w:val="nil"/>
            </w:tcBorders>
            <w:vAlign w:val="center"/>
          </w:tcPr>
          <w:p w14:paraId="37F4EA92" w14:textId="77777777" w:rsidR="00335619" w:rsidRPr="0023367D" w:rsidRDefault="00335619" w:rsidP="00335619">
            <w:pPr>
              <w:jc w:val="center"/>
              <w:rPr>
                <w:color w:val="000000"/>
                <w:sz w:val="22"/>
                <w:szCs w:val="22"/>
              </w:rPr>
            </w:pPr>
            <w:r w:rsidRPr="0023367D">
              <w:rPr>
                <w:color w:val="000000"/>
                <w:sz w:val="22"/>
                <w:szCs w:val="22"/>
              </w:rPr>
              <w:t>1.010</w:t>
            </w:r>
          </w:p>
        </w:tc>
        <w:tc>
          <w:tcPr>
            <w:tcW w:w="1122" w:type="dxa"/>
            <w:tcBorders>
              <w:bottom w:val="nil"/>
            </w:tcBorders>
            <w:shd w:val="clear" w:color="auto" w:fill="auto"/>
            <w:vAlign w:val="center"/>
          </w:tcPr>
          <w:p w14:paraId="49D7A4E7" w14:textId="77777777" w:rsidR="00335619" w:rsidRPr="0023367D" w:rsidRDefault="00335619" w:rsidP="00335619">
            <w:pPr>
              <w:jc w:val="center"/>
              <w:rPr>
                <w:color w:val="000000"/>
                <w:sz w:val="22"/>
                <w:szCs w:val="22"/>
              </w:rPr>
            </w:pPr>
            <w:r w:rsidRPr="0023367D">
              <w:rPr>
                <w:color w:val="000000"/>
                <w:sz w:val="22"/>
                <w:szCs w:val="22"/>
              </w:rPr>
              <w:t>2.511</w:t>
            </w:r>
          </w:p>
        </w:tc>
      </w:tr>
      <w:tr w:rsidR="00335619" w:rsidRPr="0023367D" w14:paraId="5C5B4E90" w14:textId="77777777" w:rsidTr="00245940">
        <w:trPr>
          <w:jc w:val="center"/>
        </w:trPr>
        <w:tc>
          <w:tcPr>
            <w:tcW w:w="2653" w:type="dxa"/>
            <w:tcBorders>
              <w:top w:val="nil"/>
              <w:bottom w:val="single" w:sz="4" w:space="0" w:color="auto"/>
            </w:tcBorders>
            <w:shd w:val="clear" w:color="auto" w:fill="auto"/>
            <w:vAlign w:val="center"/>
          </w:tcPr>
          <w:p w14:paraId="0F849986" w14:textId="77777777" w:rsidR="00335619" w:rsidRPr="0023367D" w:rsidRDefault="00335619" w:rsidP="00335619">
            <w:pPr>
              <w:rPr>
                <w:sz w:val="22"/>
                <w:lang w:bidi="he-IL"/>
              </w:rPr>
            </w:pPr>
          </w:p>
        </w:tc>
        <w:tc>
          <w:tcPr>
            <w:tcW w:w="1260" w:type="dxa"/>
            <w:tcBorders>
              <w:top w:val="nil"/>
              <w:bottom w:val="single" w:sz="4" w:space="0" w:color="auto"/>
            </w:tcBorders>
            <w:shd w:val="clear" w:color="auto" w:fill="auto"/>
            <w:vAlign w:val="center"/>
          </w:tcPr>
          <w:p w14:paraId="6D02732F" w14:textId="77777777" w:rsidR="00335619" w:rsidRPr="0023367D" w:rsidRDefault="00335619" w:rsidP="00335619">
            <w:pPr>
              <w:jc w:val="center"/>
              <w:rPr>
                <w:color w:val="000000"/>
                <w:sz w:val="22"/>
                <w:szCs w:val="22"/>
              </w:rPr>
            </w:pPr>
            <w:r w:rsidRPr="0023367D">
              <w:rPr>
                <w:color w:val="000000"/>
                <w:sz w:val="22"/>
                <w:szCs w:val="22"/>
              </w:rPr>
              <w:t>(1.95)</w:t>
            </w:r>
            <w:r w:rsidRPr="0023367D">
              <w:rPr>
                <w:color w:val="000000"/>
                <w:sz w:val="22"/>
                <w:szCs w:val="22"/>
                <w:vertAlign w:val="superscript"/>
              </w:rPr>
              <w:t>*</w:t>
            </w:r>
          </w:p>
        </w:tc>
        <w:tc>
          <w:tcPr>
            <w:tcW w:w="1260" w:type="dxa"/>
            <w:tcBorders>
              <w:top w:val="nil"/>
              <w:bottom w:val="single" w:sz="4" w:space="0" w:color="auto"/>
            </w:tcBorders>
            <w:vAlign w:val="center"/>
          </w:tcPr>
          <w:p w14:paraId="1209B32F" w14:textId="77777777" w:rsidR="00335619" w:rsidRPr="0023367D" w:rsidRDefault="00335619" w:rsidP="00335619">
            <w:pPr>
              <w:jc w:val="center"/>
              <w:rPr>
                <w:color w:val="000000"/>
                <w:sz w:val="22"/>
                <w:szCs w:val="22"/>
              </w:rPr>
            </w:pPr>
            <w:r w:rsidRPr="0023367D">
              <w:rPr>
                <w:color w:val="000000"/>
                <w:sz w:val="22"/>
                <w:szCs w:val="22"/>
              </w:rPr>
              <w:t>(-1.30)</w:t>
            </w:r>
          </w:p>
        </w:tc>
        <w:tc>
          <w:tcPr>
            <w:tcW w:w="1122" w:type="dxa"/>
            <w:tcBorders>
              <w:top w:val="nil"/>
              <w:bottom w:val="single" w:sz="4" w:space="0" w:color="auto"/>
              <w:right w:val="single" w:sz="18" w:space="0" w:color="auto"/>
            </w:tcBorders>
            <w:vAlign w:val="center"/>
          </w:tcPr>
          <w:p w14:paraId="192BD523" w14:textId="77777777" w:rsidR="00335619" w:rsidRPr="0023367D" w:rsidRDefault="00335619" w:rsidP="00335619">
            <w:pPr>
              <w:jc w:val="center"/>
              <w:rPr>
                <w:color w:val="000000"/>
                <w:sz w:val="22"/>
                <w:szCs w:val="22"/>
              </w:rPr>
            </w:pPr>
            <w:r w:rsidRPr="0023367D">
              <w:rPr>
                <w:color w:val="000000"/>
                <w:sz w:val="22"/>
                <w:szCs w:val="22"/>
              </w:rPr>
              <w:t>(74.18)</w:t>
            </w:r>
            <w:r w:rsidRPr="0023367D">
              <w:rPr>
                <w:color w:val="000000"/>
                <w:sz w:val="22"/>
                <w:szCs w:val="22"/>
                <w:vertAlign w:val="superscript"/>
              </w:rPr>
              <w:t>***</w:t>
            </w:r>
          </w:p>
        </w:tc>
        <w:tc>
          <w:tcPr>
            <w:tcW w:w="1308" w:type="dxa"/>
            <w:tcBorders>
              <w:top w:val="nil"/>
              <w:left w:val="single" w:sz="18" w:space="0" w:color="auto"/>
              <w:bottom w:val="single" w:sz="4" w:space="0" w:color="auto"/>
            </w:tcBorders>
            <w:vAlign w:val="center"/>
          </w:tcPr>
          <w:p w14:paraId="419C68FF" w14:textId="77777777" w:rsidR="00335619" w:rsidRPr="0023367D" w:rsidRDefault="00335619" w:rsidP="00335619">
            <w:pPr>
              <w:jc w:val="center"/>
              <w:rPr>
                <w:color w:val="000000"/>
                <w:sz w:val="22"/>
                <w:szCs w:val="22"/>
              </w:rPr>
            </w:pPr>
            <w:r w:rsidRPr="0023367D">
              <w:rPr>
                <w:color w:val="000000"/>
                <w:sz w:val="22"/>
                <w:szCs w:val="22"/>
              </w:rPr>
              <w:t>(5.90)</w:t>
            </w:r>
            <w:r w:rsidRPr="0023367D">
              <w:rPr>
                <w:color w:val="000000"/>
                <w:sz w:val="22"/>
                <w:szCs w:val="22"/>
                <w:vertAlign w:val="superscript"/>
              </w:rPr>
              <w:t>***</w:t>
            </w:r>
          </w:p>
        </w:tc>
        <w:tc>
          <w:tcPr>
            <w:tcW w:w="1080" w:type="dxa"/>
            <w:tcBorders>
              <w:top w:val="nil"/>
              <w:bottom w:val="single" w:sz="4" w:space="0" w:color="auto"/>
            </w:tcBorders>
            <w:vAlign w:val="center"/>
          </w:tcPr>
          <w:p w14:paraId="2874CAD7" w14:textId="77777777" w:rsidR="00335619" w:rsidRPr="0023367D" w:rsidRDefault="00335619" w:rsidP="00335619">
            <w:pPr>
              <w:jc w:val="center"/>
              <w:rPr>
                <w:color w:val="000000"/>
                <w:sz w:val="22"/>
                <w:szCs w:val="22"/>
              </w:rPr>
            </w:pPr>
            <w:r w:rsidRPr="0023367D">
              <w:rPr>
                <w:color w:val="000000"/>
                <w:sz w:val="22"/>
                <w:szCs w:val="22"/>
              </w:rPr>
              <w:t>(4.41)</w:t>
            </w:r>
            <w:r w:rsidRPr="0023367D">
              <w:rPr>
                <w:color w:val="000000"/>
                <w:sz w:val="22"/>
                <w:szCs w:val="22"/>
                <w:vertAlign w:val="superscript"/>
              </w:rPr>
              <w:t>***</w:t>
            </w:r>
          </w:p>
        </w:tc>
        <w:tc>
          <w:tcPr>
            <w:tcW w:w="1122" w:type="dxa"/>
            <w:tcBorders>
              <w:top w:val="nil"/>
              <w:bottom w:val="single" w:sz="4" w:space="0" w:color="auto"/>
            </w:tcBorders>
            <w:shd w:val="clear" w:color="auto" w:fill="auto"/>
            <w:vAlign w:val="center"/>
          </w:tcPr>
          <w:p w14:paraId="23966988" w14:textId="77777777" w:rsidR="00335619" w:rsidRPr="0023367D" w:rsidRDefault="00335619" w:rsidP="00335619">
            <w:pPr>
              <w:jc w:val="center"/>
              <w:rPr>
                <w:color w:val="000000"/>
                <w:sz w:val="22"/>
                <w:szCs w:val="22"/>
              </w:rPr>
            </w:pPr>
            <w:r w:rsidRPr="0023367D">
              <w:rPr>
                <w:color w:val="000000"/>
                <w:sz w:val="22"/>
                <w:szCs w:val="22"/>
              </w:rPr>
              <w:t>(66.12)</w:t>
            </w:r>
            <w:r w:rsidRPr="0023367D">
              <w:rPr>
                <w:color w:val="000000"/>
                <w:sz w:val="22"/>
                <w:szCs w:val="22"/>
                <w:vertAlign w:val="superscript"/>
              </w:rPr>
              <w:t>***</w:t>
            </w:r>
          </w:p>
        </w:tc>
      </w:tr>
      <w:tr w:rsidR="00335619" w:rsidRPr="0023367D" w14:paraId="3DFA9BC2" w14:textId="77777777" w:rsidTr="00245940">
        <w:trPr>
          <w:jc w:val="center"/>
        </w:trPr>
        <w:tc>
          <w:tcPr>
            <w:tcW w:w="2653" w:type="dxa"/>
            <w:tcBorders>
              <w:bottom w:val="nil"/>
            </w:tcBorders>
            <w:shd w:val="clear" w:color="auto" w:fill="auto"/>
            <w:vAlign w:val="center"/>
          </w:tcPr>
          <w:p w14:paraId="35E1C115" w14:textId="77777777" w:rsidR="00335619" w:rsidRPr="0023367D" w:rsidRDefault="00335619" w:rsidP="00335619">
            <w:pPr>
              <w:rPr>
                <w:sz w:val="22"/>
                <w:lang w:bidi="he-IL"/>
              </w:rPr>
            </w:pPr>
            <w:r w:rsidRPr="0023367D">
              <w:rPr>
                <w:color w:val="000000"/>
                <w:sz w:val="22"/>
              </w:rPr>
              <w:t>ROA</w:t>
            </w:r>
            <w:r w:rsidRPr="0023367D">
              <w:rPr>
                <w:sz w:val="22"/>
                <w:vertAlign w:val="subscript"/>
              </w:rPr>
              <w:t xml:space="preserve"> </w:t>
            </w:r>
            <w:proofErr w:type="spellStart"/>
            <w:r w:rsidRPr="0023367D">
              <w:rPr>
                <w:sz w:val="22"/>
                <w:vertAlign w:val="subscript"/>
              </w:rPr>
              <w:t>j,t</w:t>
            </w:r>
            <w:proofErr w:type="spellEnd"/>
            <w:r w:rsidRPr="0023367D">
              <w:rPr>
                <w:sz w:val="22"/>
                <w:lang w:bidi="he-IL"/>
              </w:rPr>
              <w:tab/>
              <w:t xml:space="preserve"> </w:t>
            </w:r>
          </w:p>
        </w:tc>
        <w:tc>
          <w:tcPr>
            <w:tcW w:w="1260" w:type="dxa"/>
            <w:tcBorders>
              <w:bottom w:val="nil"/>
            </w:tcBorders>
            <w:shd w:val="clear" w:color="auto" w:fill="auto"/>
            <w:vAlign w:val="center"/>
          </w:tcPr>
          <w:p w14:paraId="30B90325" w14:textId="77777777" w:rsidR="00335619" w:rsidRPr="0023367D" w:rsidRDefault="00335619" w:rsidP="00335619">
            <w:pPr>
              <w:jc w:val="center"/>
              <w:rPr>
                <w:color w:val="000000"/>
                <w:sz w:val="22"/>
                <w:szCs w:val="22"/>
              </w:rPr>
            </w:pPr>
            <w:r w:rsidRPr="0023367D">
              <w:rPr>
                <w:color w:val="000000"/>
                <w:sz w:val="22"/>
                <w:szCs w:val="22"/>
              </w:rPr>
              <w:t>-3.21</w:t>
            </w:r>
          </w:p>
        </w:tc>
        <w:tc>
          <w:tcPr>
            <w:tcW w:w="1260" w:type="dxa"/>
            <w:tcBorders>
              <w:bottom w:val="nil"/>
            </w:tcBorders>
            <w:vAlign w:val="center"/>
          </w:tcPr>
          <w:p w14:paraId="44BA64FA" w14:textId="77777777" w:rsidR="00335619" w:rsidRPr="0023367D" w:rsidRDefault="00335619" w:rsidP="00335619">
            <w:pPr>
              <w:jc w:val="center"/>
              <w:rPr>
                <w:color w:val="000000"/>
                <w:sz w:val="22"/>
                <w:szCs w:val="22"/>
              </w:rPr>
            </w:pPr>
            <w:r w:rsidRPr="0023367D">
              <w:rPr>
                <w:color w:val="000000"/>
                <w:sz w:val="22"/>
                <w:szCs w:val="22"/>
              </w:rPr>
              <w:t>-6.640</w:t>
            </w:r>
          </w:p>
        </w:tc>
        <w:tc>
          <w:tcPr>
            <w:tcW w:w="1122" w:type="dxa"/>
            <w:tcBorders>
              <w:bottom w:val="nil"/>
              <w:right w:val="single" w:sz="18" w:space="0" w:color="auto"/>
            </w:tcBorders>
            <w:vAlign w:val="center"/>
          </w:tcPr>
          <w:p w14:paraId="3DC0B00D" w14:textId="77777777" w:rsidR="00335619" w:rsidRPr="0023367D" w:rsidRDefault="00335619" w:rsidP="00335619">
            <w:pPr>
              <w:jc w:val="center"/>
              <w:rPr>
                <w:color w:val="000000"/>
                <w:sz w:val="22"/>
                <w:szCs w:val="22"/>
              </w:rPr>
            </w:pPr>
          </w:p>
        </w:tc>
        <w:tc>
          <w:tcPr>
            <w:tcW w:w="1308" w:type="dxa"/>
            <w:tcBorders>
              <w:left w:val="single" w:sz="18" w:space="0" w:color="auto"/>
              <w:bottom w:val="nil"/>
            </w:tcBorders>
            <w:vAlign w:val="center"/>
          </w:tcPr>
          <w:p w14:paraId="242EA569" w14:textId="77777777" w:rsidR="00335619" w:rsidRPr="0023367D" w:rsidRDefault="00335619" w:rsidP="00335619">
            <w:pPr>
              <w:jc w:val="center"/>
              <w:rPr>
                <w:color w:val="000000"/>
                <w:sz w:val="22"/>
                <w:szCs w:val="22"/>
              </w:rPr>
            </w:pPr>
            <w:r w:rsidRPr="0023367D">
              <w:rPr>
                <w:color w:val="000000"/>
                <w:sz w:val="22"/>
                <w:szCs w:val="22"/>
              </w:rPr>
              <w:t>-4.342</w:t>
            </w:r>
          </w:p>
        </w:tc>
        <w:tc>
          <w:tcPr>
            <w:tcW w:w="1080" w:type="dxa"/>
            <w:tcBorders>
              <w:bottom w:val="nil"/>
            </w:tcBorders>
            <w:vAlign w:val="center"/>
          </w:tcPr>
          <w:p w14:paraId="2C8C79F3" w14:textId="77777777" w:rsidR="00335619" w:rsidRPr="0023367D" w:rsidRDefault="00335619" w:rsidP="00335619">
            <w:pPr>
              <w:jc w:val="center"/>
              <w:rPr>
                <w:color w:val="000000"/>
                <w:sz w:val="22"/>
                <w:szCs w:val="22"/>
              </w:rPr>
            </w:pPr>
            <w:r w:rsidRPr="0023367D">
              <w:rPr>
                <w:color w:val="000000"/>
                <w:sz w:val="22"/>
                <w:szCs w:val="22"/>
              </w:rPr>
              <w:t>-5.816</w:t>
            </w:r>
          </w:p>
        </w:tc>
        <w:tc>
          <w:tcPr>
            <w:tcW w:w="1122" w:type="dxa"/>
            <w:tcBorders>
              <w:bottom w:val="nil"/>
            </w:tcBorders>
            <w:shd w:val="clear" w:color="auto" w:fill="auto"/>
            <w:vAlign w:val="center"/>
          </w:tcPr>
          <w:p w14:paraId="242F19B9" w14:textId="77777777" w:rsidR="00335619" w:rsidRPr="0023367D" w:rsidRDefault="00335619" w:rsidP="00335619">
            <w:pPr>
              <w:jc w:val="center"/>
              <w:rPr>
                <w:color w:val="000000"/>
                <w:sz w:val="22"/>
                <w:szCs w:val="22"/>
              </w:rPr>
            </w:pPr>
          </w:p>
        </w:tc>
      </w:tr>
      <w:tr w:rsidR="00335619" w:rsidRPr="0023367D" w14:paraId="07AE30EA" w14:textId="77777777" w:rsidTr="00245940">
        <w:trPr>
          <w:jc w:val="center"/>
        </w:trPr>
        <w:tc>
          <w:tcPr>
            <w:tcW w:w="2653" w:type="dxa"/>
            <w:tcBorders>
              <w:top w:val="nil"/>
              <w:bottom w:val="single" w:sz="4" w:space="0" w:color="auto"/>
            </w:tcBorders>
            <w:shd w:val="clear" w:color="auto" w:fill="auto"/>
            <w:vAlign w:val="center"/>
          </w:tcPr>
          <w:p w14:paraId="52363B3D" w14:textId="77777777" w:rsidR="00335619" w:rsidRPr="0023367D" w:rsidRDefault="00335619" w:rsidP="00335619">
            <w:pPr>
              <w:rPr>
                <w:sz w:val="22"/>
                <w:lang w:bidi="he-IL"/>
              </w:rPr>
            </w:pPr>
          </w:p>
        </w:tc>
        <w:tc>
          <w:tcPr>
            <w:tcW w:w="1260" w:type="dxa"/>
            <w:tcBorders>
              <w:top w:val="nil"/>
              <w:bottom w:val="single" w:sz="4" w:space="0" w:color="auto"/>
            </w:tcBorders>
            <w:shd w:val="clear" w:color="auto" w:fill="auto"/>
            <w:vAlign w:val="center"/>
          </w:tcPr>
          <w:p w14:paraId="058B843B" w14:textId="77777777" w:rsidR="00335619" w:rsidRPr="0023367D" w:rsidRDefault="00335619" w:rsidP="00335619">
            <w:pPr>
              <w:jc w:val="center"/>
              <w:rPr>
                <w:color w:val="000000"/>
                <w:sz w:val="22"/>
                <w:szCs w:val="22"/>
              </w:rPr>
            </w:pPr>
            <w:r w:rsidRPr="0023367D">
              <w:rPr>
                <w:color w:val="000000"/>
                <w:sz w:val="22"/>
                <w:szCs w:val="22"/>
              </w:rPr>
              <w:t>(-4.18)</w:t>
            </w:r>
            <w:r w:rsidRPr="0023367D">
              <w:rPr>
                <w:color w:val="000000"/>
                <w:sz w:val="22"/>
                <w:szCs w:val="22"/>
                <w:vertAlign w:val="superscript"/>
              </w:rPr>
              <w:t>***</w:t>
            </w:r>
          </w:p>
        </w:tc>
        <w:tc>
          <w:tcPr>
            <w:tcW w:w="1260" w:type="dxa"/>
            <w:tcBorders>
              <w:top w:val="nil"/>
              <w:bottom w:val="single" w:sz="4" w:space="0" w:color="auto"/>
            </w:tcBorders>
            <w:vAlign w:val="center"/>
          </w:tcPr>
          <w:p w14:paraId="545C8294" w14:textId="77777777" w:rsidR="00335619" w:rsidRPr="0023367D" w:rsidRDefault="00335619" w:rsidP="00335619">
            <w:pPr>
              <w:jc w:val="center"/>
              <w:rPr>
                <w:color w:val="000000"/>
                <w:sz w:val="22"/>
                <w:szCs w:val="22"/>
              </w:rPr>
            </w:pPr>
            <w:r w:rsidRPr="0023367D">
              <w:rPr>
                <w:color w:val="000000"/>
                <w:sz w:val="22"/>
                <w:szCs w:val="22"/>
              </w:rPr>
              <w:t>(-7.61)</w:t>
            </w:r>
            <w:r w:rsidRPr="0023367D">
              <w:rPr>
                <w:color w:val="000000"/>
                <w:sz w:val="22"/>
                <w:szCs w:val="22"/>
                <w:vertAlign w:val="superscript"/>
              </w:rPr>
              <w:t>***</w:t>
            </w:r>
          </w:p>
        </w:tc>
        <w:tc>
          <w:tcPr>
            <w:tcW w:w="1122" w:type="dxa"/>
            <w:tcBorders>
              <w:top w:val="nil"/>
              <w:bottom w:val="single" w:sz="4" w:space="0" w:color="auto"/>
              <w:right w:val="single" w:sz="18" w:space="0" w:color="auto"/>
            </w:tcBorders>
            <w:vAlign w:val="center"/>
          </w:tcPr>
          <w:p w14:paraId="7C0A5BFA" w14:textId="77777777" w:rsidR="00335619" w:rsidRPr="0023367D" w:rsidRDefault="00335619" w:rsidP="00335619">
            <w:pPr>
              <w:jc w:val="center"/>
              <w:rPr>
                <w:color w:val="000000"/>
                <w:sz w:val="22"/>
                <w:szCs w:val="22"/>
              </w:rPr>
            </w:pPr>
          </w:p>
        </w:tc>
        <w:tc>
          <w:tcPr>
            <w:tcW w:w="1308" w:type="dxa"/>
            <w:tcBorders>
              <w:top w:val="nil"/>
              <w:left w:val="single" w:sz="18" w:space="0" w:color="auto"/>
              <w:bottom w:val="single" w:sz="4" w:space="0" w:color="auto"/>
            </w:tcBorders>
            <w:vAlign w:val="center"/>
          </w:tcPr>
          <w:p w14:paraId="34777B75" w14:textId="77777777" w:rsidR="00335619" w:rsidRPr="0023367D" w:rsidRDefault="00335619" w:rsidP="00335619">
            <w:pPr>
              <w:jc w:val="center"/>
              <w:rPr>
                <w:color w:val="000000"/>
                <w:sz w:val="22"/>
                <w:szCs w:val="22"/>
              </w:rPr>
            </w:pPr>
            <w:r w:rsidRPr="0023367D">
              <w:rPr>
                <w:color w:val="000000"/>
                <w:sz w:val="22"/>
                <w:szCs w:val="22"/>
              </w:rPr>
              <w:t>(-3.85)</w:t>
            </w:r>
            <w:r w:rsidRPr="0023367D">
              <w:rPr>
                <w:color w:val="000000"/>
                <w:sz w:val="22"/>
                <w:szCs w:val="22"/>
                <w:vertAlign w:val="superscript"/>
              </w:rPr>
              <w:t>***</w:t>
            </w:r>
          </w:p>
        </w:tc>
        <w:tc>
          <w:tcPr>
            <w:tcW w:w="1080" w:type="dxa"/>
            <w:tcBorders>
              <w:top w:val="nil"/>
              <w:bottom w:val="single" w:sz="4" w:space="0" w:color="auto"/>
            </w:tcBorders>
            <w:vAlign w:val="center"/>
          </w:tcPr>
          <w:p w14:paraId="66C8183C" w14:textId="77777777" w:rsidR="00335619" w:rsidRPr="0023367D" w:rsidRDefault="00335619" w:rsidP="00335619">
            <w:pPr>
              <w:jc w:val="center"/>
              <w:rPr>
                <w:color w:val="000000"/>
                <w:sz w:val="22"/>
                <w:szCs w:val="22"/>
              </w:rPr>
            </w:pPr>
            <w:r w:rsidRPr="0023367D">
              <w:rPr>
                <w:color w:val="000000"/>
                <w:sz w:val="22"/>
                <w:szCs w:val="22"/>
              </w:rPr>
              <w:t>(-4.67)</w:t>
            </w:r>
            <w:r w:rsidRPr="0023367D">
              <w:rPr>
                <w:color w:val="000000"/>
                <w:sz w:val="22"/>
                <w:szCs w:val="22"/>
                <w:vertAlign w:val="superscript"/>
              </w:rPr>
              <w:t>***</w:t>
            </w:r>
          </w:p>
        </w:tc>
        <w:tc>
          <w:tcPr>
            <w:tcW w:w="1122" w:type="dxa"/>
            <w:tcBorders>
              <w:top w:val="nil"/>
              <w:bottom w:val="single" w:sz="4" w:space="0" w:color="auto"/>
            </w:tcBorders>
            <w:shd w:val="clear" w:color="auto" w:fill="auto"/>
            <w:vAlign w:val="center"/>
          </w:tcPr>
          <w:p w14:paraId="2556A2BF" w14:textId="77777777" w:rsidR="00335619" w:rsidRPr="0023367D" w:rsidRDefault="00335619" w:rsidP="00335619">
            <w:pPr>
              <w:jc w:val="center"/>
              <w:rPr>
                <w:color w:val="000000"/>
                <w:sz w:val="22"/>
                <w:szCs w:val="22"/>
              </w:rPr>
            </w:pPr>
          </w:p>
        </w:tc>
      </w:tr>
      <w:tr w:rsidR="00335619" w:rsidRPr="0023367D" w14:paraId="7CD31412" w14:textId="77777777" w:rsidTr="00245940">
        <w:trPr>
          <w:jc w:val="center"/>
        </w:trPr>
        <w:tc>
          <w:tcPr>
            <w:tcW w:w="2653" w:type="dxa"/>
            <w:tcBorders>
              <w:bottom w:val="nil"/>
            </w:tcBorders>
            <w:shd w:val="clear" w:color="auto" w:fill="auto"/>
            <w:vAlign w:val="center"/>
          </w:tcPr>
          <w:p w14:paraId="409724F9" w14:textId="77777777" w:rsidR="00335619" w:rsidRPr="0023367D" w:rsidRDefault="00335619" w:rsidP="00335619">
            <w:pPr>
              <w:rPr>
                <w:sz w:val="22"/>
                <w:lang w:bidi="he-IL"/>
              </w:rPr>
            </w:pPr>
            <w:r w:rsidRPr="0023367D">
              <w:rPr>
                <w:color w:val="000000"/>
                <w:sz w:val="22"/>
              </w:rPr>
              <w:t>(EBITDA</w:t>
            </w:r>
            <w:r w:rsidRPr="0023367D">
              <w:rPr>
                <w:sz w:val="22"/>
                <w:vertAlign w:val="subscript"/>
              </w:rPr>
              <w:t xml:space="preserve"> </w:t>
            </w:r>
            <w:proofErr w:type="spellStart"/>
            <w:r w:rsidRPr="0023367D">
              <w:rPr>
                <w:sz w:val="22"/>
                <w:vertAlign w:val="subscript"/>
              </w:rPr>
              <w:t>j,t</w:t>
            </w:r>
            <w:proofErr w:type="spellEnd"/>
            <w:r w:rsidRPr="0023367D">
              <w:rPr>
                <w:color w:val="000000"/>
                <w:sz w:val="22"/>
                <w:vertAlign w:val="subscript"/>
              </w:rPr>
              <w:t xml:space="preserve">  </w:t>
            </w:r>
            <w:r w:rsidRPr="0023367D">
              <w:rPr>
                <w:color w:val="000000"/>
                <w:sz w:val="22"/>
              </w:rPr>
              <w:t xml:space="preserve">/ </w:t>
            </w:r>
            <w:proofErr w:type="spellStart"/>
            <w:r w:rsidRPr="0023367D">
              <w:rPr>
                <w:color w:val="000000"/>
                <w:sz w:val="22"/>
              </w:rPr>
              <w:t>Liab</w:t>
            </w:r>
            <w:proofErr w:type="spellEnd"/>
            <w:r w:rsidRPr="0023367D">
              <w:rPr>
                <w:color w:val="000000"/>
                <w:sz w:val="22"/>
              </w:rPr>
              <w:t xml:space="preserve"> </w:t>
            </w:r>
            <w:proofErr w:type="spellStart"/>
            <w:r w:rsidRPr="0023367D">
              <w:rPr>
                <w:sz w:val="22"/>
                <w:vertAlign w:val="subscript"/>
              </w:rPr>
              <w:t>j,t</w:t>
            </w:r>
            <w:proofErr w:type="spellEnd"/>
            <w:r w:rsidRPr="0023367D">
              <w:rPr>
                <w:color w:val="000000"/>
                <w:sz w:val="22"/>
                <w:vertAlign w:val="subscript"/>
              </w:rPr>
              <w:t xml:space="preserve"> -1</w:t>
            </w:r>
            <w:r w:rsidRPr="0023367D">
              <w:rPr>
                <w:color w:val="000000"/>
                <w:sz w:val="22"/>
              </w:rPr>
              <w:t>)</w:t>
            </w:r>
            <w:r w:rsidRPr="0023367D">
              <w:rPr>
                <w:sz w:val="22"/>
                <w:vertAlign w:val="subscript"/>
                <w:lang w:bidi="he-IL"/>
              </w:rPr>
              <w:t xml:space="preserve">      </w:t>
            </w:r>
            <w:r w:rsidRPr="0023367D">
              <w:rPr>
                <w:sz w:val="22"/>
                <w:vertAlign w:val="subscript"/>
                <w:lang w:bidi="he-IL"/>
              </w:rPr>
              <w:tab/>
            </w:r>
            <w:r w:rsidRPr="0023367D">
              <w:rPr>
                <w:sz w:val="22"/>
                <w:vertAlign w:val="superscript"/>
                <w:lang w:bidi="he-IL"/>
              </w:rPr>
              <w:t xml:space="preserve"> </w:t>
            </w:r>
          </w:p>
        </w:tc>
        <w:tc>
          <w:tcPr>
            <w:tcW w:w="1260" w:type="dxa"/>
            <w:tcBorders>
              <w:bottom w:val="nil"/>
            </w:tcBorders>
            <w:shd w:val="clear" w:color="auto" w:fill="auto"/>
            <w:vAlign w:val="center"/>
          </w:tcPr>
          <w:p w14:paraId="0172457E" w14:textId="77777777" w:rsidR="00335619" w:rsidRPr="0023367D" w:rsidRDefault="00335619" w:rsidP="00335619">
            <w:pPr>
              <w:jc w:val="center"/>
              <w:rPr>
                <w:color w:val="000000"/>
                <w:sz w:val="22"/>
                <w:szCs w:val="22"/>
              </w:rPr>
            </w:pPr>
            <w:r w:rsidRPr="0023367D">
              <w:rPr>
                <w:color w:val="000000"/>
                <w:sz w:val="22"/>
                <w:szCs w:val="22"/>
              </w:rPr>
              <w:t>-1.790</w:t>
            </w:r>
          </w:p>
          <w:p w14:paraId="17E0AEDE" w14:textId="77777777" w:rsidR="00335619" w:rsidRPr="0023367D" w:rsidRDefault="00335619" w:rsidP="00335619">
            <w:pPr>
              <w:jc w:val="center"/>
              <w:rPr>
                <w:color w:val="000000"/>
                <w:sz w:val="22"/>
                <w:szCs w:val="22"/>
              </w:rPr>
            </w:pPr>
            <w:r w:rsidRPr="0023367D">
              <w:rPr>
                <w:color w:val="000000"/>
                <w:sz w:val="22"/>
                <w:szCs w:val="22"/>
              </w:rPr>
              <w:t>(-6.55)</w:t>
            </w:r>
            <w:r w:rsidRPr="0023367D">
              <w:rPr>
                <w:color w:val="000000"/>
                <w:sz w:val="22"/>
                <w:szCs w:val="22"/>
                <w:vertAlign w:val="superscript"/>
              </w:rPr>
              <w:t>***</w:t>
            </w:r>
          </w:p>
        </w:tc>
        <w:tc>
          <w:tcPr>
            <w:tcW w:w="1260" w:type="dxa"/>
            <w:tcBorders>
              <w:bottom w:val="nil"/>
            </w:tcBorders>
            <w:vAlign w:val="center"/>
          </w:tcPr>
          <w:p w14:paraId="21A1480D" w14:textId="77777777" w:rsidR="00335619" w:rsidRPr="0023367D" w:rsidRDefault="00335619" w:rsidP="00335619">
            <w:pPr>
              <w:jc w:val="center"/>
              <w:rPr>
                <w:color w:val="000000"/>
                <w:sz w:val="22"/>
                <w:szCs w:val="22"/>
              </w:rPr>
            </w:pPr>
            <w:r w:rsidRPr="0023367D">
              <w:rPr>
                <w:color w:val="000000"/>
                <w:sz w:val="22"/>
                <w:szCs w:val="22"/>
              </w:rPr>
              <w:t>-1.655</w:t>
            </w:r>
          </w:p>
          <w:p w14:paraId="4355F20D" w14:textId="77777777" w:rsidR="00335619" w:rsidRPr="0023367D" w:rsidRDefault="00335619" w:rsidP="00335619">
            <w:pPr>
              <w:jc w:val="center"/>
              <w:rPr>
                <w:color w:val="000000"/>
                <w:sz w:val="22"/>
                <w:szCs w:val="22"/>
              </w:rPr>
            </w:pPr>
            <w:r w:rsidRPr="0023367D">
              <w:rPr>
                <w:color w:val="000000"/>
                <w:sz w:val="22"/>
                <w:szCs w:val="22"/>
              </w:rPr>
              <w:t>(-5.33)</w:t>
            </w:r>
            <w:r w:rsidRPr="0023367D">
              <w:rPr>
                <w:color w:val="000000"/>
                <w:sz w:val="22"/>
                <w:szCs w:val="22"/>
                <w:vertAlign w:val="superscript"/>
              </w:rPr>
              <w:t>***</w:t>
            </w:r>
          </w:p>
        </w:tc>
        <w:tc>
          <w:tcPr>
            <w:tcW w:w="1122" w:type="dxa"/>
            <w:tcBorders>
              <w:bottom w:val="nil"/>
              <w:right w:val="single" w:sz="18" w:space="0" w:color="auto"/>
            </w:tcBorders>
            <w:vAlign w:val="center"/>
          </w:tcPr>
          <w:p w14:paraId="5333BE51" w14:textId="77777777" w:rsidR="00335619" w:rsidRPr="0023367D" w:rsidRDefault="00335619" w:rsidP="00335619">
            <w:pPr>
              <w:jc w:val="center"/>
              <w:rPr>
                <w:color w:val="000000"/>
                <w:sz w:val="22"/>
                <w:szCs w:val="22"/>
              </w:rPr>
            </w:pPr>
          </w:p>
        </w:tc>
        <w:tc>
          <w:tcPr>
            <w:tcW w:w="1308" w:type="dxa"/>
            <w:tcBorders>
              <w:left w:val="single" w:sz="18" w:space="0" w:color="auto"/>
              <w:bottom w:val="nil"/>
            </w:tcBorders>
            <w:vAlign w:val="center"/>
          </w:tcPr>
          <w:p w14:paraId="031906A4" w14:textId="77777777" w:rsidR="00335619" w:rsidRPr="0023367D" w:rsidRDefault="00335619" w:rsidP="00335619">
            <w:pPr>
              <w:jc w:val="center"/>
              <w:rPr>
                <w:color w:val="000000"/>
                <w:sz w:val="22"/>
                <w:szCs w:val="22"/>
              </w:rPr>
            </w:pPr>
            <w:r w:rsidRPr="0023367D">
              <w:rPr>
                <w:color w:val="000000"/>
                <w:sz w:val="22"/>
                <w:szCs w:val="22"/>
              </w:rPr>
              <w:t>-0.917</w:t>
            </w:r>
          </w:p>
          <w:p w14:paraId="7220738D" w14:textId="77777777" w:rsidR="00335619" w:rsidRPr="0023367D" w:rsidRDefault="00335619" w:rsidP="00335619">
            <w:pPr>
              <w:jc w:val="center"/>
              <w:rPr>
                <w:color w:val="000000"/>
                <w:sz w:val="22"/>
                <w:szCs w:val="22"/>
              </w:rPr>
            </w:pPr>
            <w:r w:rsidRPr="0023367D">
              <w:rPr>
                <w:color w:val="000000"/>
                <w:sz w:val="22"/>
                <w:szCs w:val="22"/>
              </w:rPr>
              <w:t>(-2.53)</w:t>
            </w:r>
            <w:r w:rsidRPr="0023367D">
              <w:rPr>
                <w:color w:val="000000"/>
                <w:sz w:val="22"/>
                <w:szCs w:val="22"/>
                <w:vertAlign w:val="superscript"/>
              </w:rPr>
              <w:t>***</w:t>
            </w:r>
          </w:p>
        </w:tc>
        <w:tc>
          <w:tcPr>
            <w:tcW w:w="1080" w:type="dxa"/>
            <w:tcBorders>
              <w:bottom w:val="nil"/>
            </w:tcBorders>
            <w:vAlign w:val="center"/>
          </w:tcPr>
          <w:p w14:paraId="61FDEE58" w14:textId="77777777" w:rsidR="00335619" w:rsidRPr="0023367D" w:rsidRDefault="00335619" w:rsidP="00335619">
            <w:pPr>
              <w:jc w:val="center"/>
              <w:rPr>
                <w:color w:val="000000"/>
                <w:sz w:val="22"/>
                <w:szCs w:val="22"/>
              </w:rPr>
            </w:pPr>
            <w:r w:rsidRPr="0023367D">
              <w:rPr>
                <w:color w:val="000000"/>
                <w:sz w:val="22"/>
                <w:szCs w:val="22"/>
              </w:rPr>
              <w:t>-1.132</w:t>
            </w:r>
          </w:p>
          <w:p w14:paraId="65AD9C21" w14:textId="77777777" w:rsidR="00335619" w:rsidRPr="0023367D" w:rsidRDefault="00335619" w:rsidP="00335619">
            <w:pPr>
              <w:jc w:val="center"/>
              <w:rPr>
                <w:color w:val="000000"/>
                <w:sz w:val="22"/>
                <w:szCs w:val="22"/>
              </w:rPr>
            </w:pPr>
            <w:r w:rsidRPr="0023367D">
              <w:rPr>
                <w:color w:val="000000"/>
                <w:sz w:val="22"/>
                <w:szCs w:val="22"/>
              </w:rPr>
              <w:t>(-2.82)</w:t>
            </w:r>
            <w:r w:rsidRPr="0023367D">
              <w:rPr>
                <w:color w:val="000000"/>
                <w:sz w:val="22"/>
                <w:szCs w:val="22"/>
                <w:vertAlign w:val="superscript"/>
              </w:rPr>
              <w:t>***</w:t>
            </w:r>
          </w:p>
        </w:tc>
        <w:tc>
          <w:tcPr>
            <w:tcW w:w="1122" w:type="dxa"/>
            <w:tcBorders>
              <w:bottom w:val="nil"/>
            </w:tcBorders>
            <w:shd w:val="clear" w:color="auto" w:fill="auto"/>
            <w:vAlign w:val="center"/>
          </w:tcPr>
          <w:p w14:paraId="504B88FC" w14:textId="77777777" w:rsidR="00335619" w:rsidRPr="0023367D" w:rsidRDefault="00335619" w:rsidP="00335619">
            <w:pPr>
              <w:jc w:val="center"/>
              <w:rPr>
                <w:color w:val="000000"/>
                <w:sz w:val="22"/>
                <w:szCs w:val="22"/>
              </w:rPr>
            </w:pPr>
          </w:p>
        </w:tc>
      </w:tr>
      <w:tr w:rsidR="00335619" w:rsidRPr="0023367D" w14:paraId="2B47BC85" w14:textId="77777777" w:rsidTr="00245940">
        <w:trPr>
          <w:jc w:val="center"/>
        </w:trPr>
        <w:tc>
          <w:tcPr>
            <w:tcW w:w="2653" w:type="dxa"/>
            <w:tcBorders>
              <w:bottom w:val="nil"/>
            </w:tcBorders>
            <w:shd w:val="clear" w:color="auto" w:fill="auto"/>
            <w:vAlign w:val="center"/>
          </w:tcPr>
          <w:p w14:paraId="48B5DF4A" w14:textId="77777777" w:rsidR="00335619" w:rsidRPr="0023367D" w:rsidRDefault="00335619" w:rsidP="00335619">
            <w:pPr>
              <w:rPr>
                <w:sz w:val="22"/>
                <w:lang w:bidi="he-IL"/>
              </w:rPr>
            </w:pPr>
            <w:r w:rsidRPr="0023367D">
              <w:rPr>
                <w:color w:val="000000"/>
                <w:sz w:val="22"/>
              </w:rPr>
              <w:t>(</w:t>
            </w:r>
            <w:proofErr w:type="spellStart"/>
            <w:r w:rsidRPr="0023367D">
              <w:rPr>
                <w:color w:val="000000"/>
                <w:sz w:val="22"/>
              </w:rPr>
              <w:t>Liab</w:t>
            </w:r>
            <w:proofErr w:type="spellEnd"/>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 xml:space="preserve"> /Assets</w:t>
            </w:r>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w:t>
            </w:r>
            <w:r w:rsidRPr="0023367D">
              <w:rPr>
                <w:sz w:val="22"/>
                <w:vertAlign w:val="superscript"/>
                <w:lang w:bidi="he-IL"/>
              </w:rPr>
              <w:t xml:space="preserve"> </w:t>
            </w:r>
          </w:p>
        </w:tc>
        <w:tc>
          <w:tcPr>
            <w:tcW w:w="1260" w:type="dxa"/>
            <w:tcBorders>
              <w:bottom w:val="nil"/>
            </w:tcBorders>
            <w:shd w:val="clear" w:color="auto" w:fill="auto"/>
            <w:vAlign w:val="center"/>
          </w:tcPr>
          <w:p w14:paraId="0443F154" w14:textId="77777777" w:rsidR="00335619" w:rsidRPr="0023367D" w:rsidRDefault="00335619" w:rsidP="00335619">
            <w:pPr>
              <w:jc w:val="center"/>
              <w:rPr>
                <w:color w:val="000000"/>
                <w:sz w:val="22"/>
                <w:szCs w:val="22"/>
              </w:rPr>
            </w:pPr>
            <w:r w:rsidRPr="0023367D">
              <w:rPr>
                <w:color w:val="000000"/>
                <w:sz w:val="22"/>
                <w:szCs w:val="22"/>
              </w:rPr>
              <w:t>4.072</w:t>
            </w:r>
          </w:p>
          <w:p w14:paraId="3D8DD605" w14:textId="77777777" w:rsidR="00335619" w:rsidRPr="0023367D" w:rsidRDefault="00335619" w:rsidP="00335619">
            <w:pPr>
              <w:jc w:val="center"/>
              <w:rPr>
                <w:color w:val="000000"/>
                <w:sz w:val="22"/>
                <w:szCs w:val="22"/>
              </w:rPr>
            </w:pPr>
            <w:r w:rsidRPr="0023367D">
              <w:rPr>
                <w:color w:val="000000"/>
                <w:sz w:val="22"/>
                <w:szCs w:val="22"/>
              </w:rPr>
              <w:t>(18.16)</w:t>
            </w:r>
            <w:r w:rsidRPr="0023367D">
              <w:rPr>
                <w:color w:val="000000"/>
                <w:sz w:val="22"/>
                <w:szCs w:val="22"/>
                <w:vertAlign w:val="superscript"/>
              </w:rPr>
              <w:t>***</w:t>
            </w:r>
          </w:p>
        </w:tc>
        <w:tc>
          <w:tcPr>
            <w:tcW w:w="1260" w:type="dxa"/>
            <w:tcBorders>
              <w:bottom w:val="nil"/>
            </w:tcBorders>
            <w:vAlign w:val="center"/>
          </w:tcPr>
          <w:p w14:paraId="055841A1" w14:textId="77777777" w:rsidR="00335619" w:rsidRPr="0023367D" w:rsidRDefault="00335619" w:rsidP="00335619">
            <w:pPr>
              <w:jc w:val="center"/>
              <w:rPr>
                <w:color w:val="000000"/>
                <w:sz w:val="22"/>
                <w:szCs w:val="22"/>
              </w:rPr>
            </w:pPr>
            <w:r w:rsidRPr="0023367D">
              <w:rPr>
                <w:color w:val="000000"/>
                <w:sz w:val="22"/>
                <w:szCs w:val="22"/>
              </w:rPr>
              <w:t>5.931</w:t>
            </w:r>
          </w:p>
          <w:p w14:paraId="25DA7FBA" w14:textId="77777777" w:rsidR="00335619" w:rsidRPr="0023367D" w:rsidRDefault="00335619" w:rsidP="00335619">
            <w:pPr>
              <w:jc w:val="center"/>
              <w:rPr>
                <w:color w:val="000000"/>
                <w:sz w:val="22"/>
                <w:szCs w:val="22"/>
              </w:rPr>
            </w:pPr>
            <w:r w:rsidRPr="0023367D">
              <w:rPr>
                <w:color w:val="000000"/>
                <w:sz w:val="22"/>
                <w:szCs w:val="22"/>
              </w:rPr>
              <w:t>(23.99)</w:t>
            </w:r>
            <w:r w:rsidRPr="0023367D">
              <w:rPr>
                <w:color w:val="000000"/>
                <w:sz w:val="22"/>
                <w:szCs w:val="22"/>
                <w:vertAlign w:val="superscript"/>
              </w:rPr>
              <w:t>***</w:t>
            </w:r>
          </w:p>
        </w:tc>
        <w:tc>
          <w:tcPr>
            <w:tcW w:w="1122" w:type="dxa"/>
            <w:tcBorders>
              <w:bottom w:val="nil"/>
              <w:right w:val="single" w:sz="18" w:space="0" w:color="auto"/>
            </w:tcBorders>
            <w:vAlign w:val="center"/>
          </w:tcPr>
          <w:p w14:paraId="4A62CBED" w14:textId="77777777" w:rsidR="00335619" w:rsidRPr="0023367D" w:rsidRDefault="00335619" w:rsidP="00335619">
            <w:pPr>
              <w:jc w:val="center"/>
              <w:rPr>
                <w:color w:val="000000"/>
                <w:sz w:val="22"/>
                <w:szCs w:val="22"/>
              </w:rPr>
            </w:pPr>
          </w:p>
        </w:tc>
        <w:tc>
          <w:tcPr>
            <w:tcW w:w="1308" w:type="dxa"/>
            <w:tcBorders>
              <w:left w:val="single" w:sz="18" w:space="0" w:color="auto"/>
              <w:bottom w:val="nil"/>
            </w:tcBorders>
            <w:vAlign w:val="center"/>
          </w:tcPr>
          <w:p w14:paraId="4B361645" w14:textId="77777777" w:rsidR="00335619" w:rsidRPr="0023367D" w:rsidRDefault="00335619" w:rsidP="00335619">
            <w:pPr>
              <w:jc w:val="center"/>
              <w:rPr>
                <w:color w:val="000000"/>
                <w:sz w:val="22"/>
                <w:szCs w:val="22"/>
              </w:rPr>
            </w:pPr>
            <w:r w:rsidRPr="0023367D">
              <w:rPr>
                <w:color w:val="000000"/>
                <w:sz w:val="22"/>
                <w:szCs w:val="22"/>
              </w:rPr>
              <w:t>2.628</w:t>
            </w:r>
          </w:p>
          <w:p w14:paraId="7501205E" w14:textId="77777777" w:rsidR="00335619" w:rsidRPr="0023367D" w:rsidRDefault="00335619" w:rsidP="00335619">
            <w:pPr>
              <w:jc w:val="center"/>
              <w:rPr>
                <w:color w:val="000000"/>
                <w:sz w:val="22"/>
                <w:szCs w:val="22"/>
              </w:rPr>
            </w:pPr>
            <w:r w:rsidRPr="0023367D">
              <w:rPr>
                <w:color w:val="000000"/>
                <w:sz w:val="22"/>
                <w:szCs w:val="22"/>
              </w:rPr>
              <w:t>(9.94)</w:t>
            </w:r>
            <w:r w:rsidRPr="0023367D">
              <w:rPr>
                <w:color w:val="000000"/>
                <w:sz w:val="22"/>
                <w:szCs w:val="22"/>
                <w:vertAlign w:val="superscript"/>
              </w:rPr>
              <w:t>***</w:t>
            </w:r>
          </w:p>
        </w:tc>
        <w:tc>
          <w:tcPr>
            <w:tcW w:w="1080" w:type="dxa"/>
            <w:tcBorders>
              <w:bottom w:val="nil"/>
            </w:tcBorders>
            <w:vAlign w:val="center"/>
          </w:tcPr>
          <w:p w14:paraId="4743A50B" w14:textId="77777777" w:rsidR="00335619" w:rsidRPr="0023367D" w:rsidRDefault="00335619" w:rsidP="00335619">
            <w:pPr>
              <w:jc w:val="center"/>
              <w:rPr>
                <w:color w:val="000000"/>
                <w:sz w:val="22"/>
                <w:szCs w:val="22"/>
              </w:rPr>
            </w:pPr>
            <w:r w:rsidRPr="0023367D">
              <w:rPr>
                <w:color w:val="000000"/>
                <w:sz w:val="22"/>
                <w:szCs w:val="22"/>
              </w:rPr>
              <w:t>3.497</w:t>
            </w:r>
          </w:p>
          <w:p w14:paraId="091F6A3F" w14:textId="77777777" w:rsidR="00335619" w:rsidRPr="0023367D" w:rsidRDefault="00335619" w:rsidP="00335619">
            <w:pPr>
              <w:jc w:val="center"/>
              <w:rPr>
                <w:color w:val="000000"/>
                <w:sz w:val="22"/>
                <w:szCs w:val="22"/>
              </w:rPr>
            </w:pPr>
            <w:r w:rsidRPr="0023367D">
              <w:rPr>
                <w:color w:val="000000"/>
                <w:sz w:val="22"/>
                <w:szCs w:val="22"/>
              </w:rPr>
              <w:t>(12.00)</w:t>
            </w:r>
            <w:r w:rsidRPr="0023367D">
              <w:rPr>
                <w:color w:val="000000"/>
                <w:sz w:val="22"/>
                <w:szCs w:val="22"/>
                <w:vertAlign w:val="superscript"/>
              </w:rPr>
              <w:t>***</w:t>
            </w:r>
          </w:p>
        </w:tc>
        <w:tc>
          <w:tcPr>
            <w:tcW w:w="1122" w:type="dxa"/>
            <w:tcBorders>
              <w:bottom w:val="nil"/>
            </w:tcBorders>
            <w:shd w:val="clear" w:color="auto" w:fill="auto"/>
            <w:vAlign w:val="center"/>
          </w:tcPr>
          <w:p w14:paraId="153B9ECC" w14:textId="77777777" w:rsidR="00335619" w:rsidRPr="0023367D" w:rsidRDefault="00335619" w:rsidP="00335619">
            <w:pPr>
              <w:jc w:val="center"/>
              <w:rPr>
                <w:color w:val="000000"/>
                <w:sz w:val="22"/>
                <w:szCs w:val="22"/>
              </w:rPr>
            </w:pPr>
          </w:p>
        </w:tc>
      </w:tr>
      <w:tr w:rsidR="00335619" w:rsidRPr="0023367D" w14:paraId="2823483A" w14:textId="77777777" w:rsidTr="00245940">
        <w:trPr>
          <w:jc w:val="center"/>
        </w:trPr>
        <w:tc>
          <w:tcPr>
            <w:tcW w:w="2653" w:type="dxa"/>
            <w:tcBorders>
              <w:bottom w:val="nil"/>
            </w:tcBorders>
            <w:shd w:val="clear" w:color="auto" w:fill="auto"/>
            <w:vAlign w:val="center"/>
          </w:tcPr>
          <w:p w14:paraId="7A180DEF" w14:textId="77777777" w:rsidR="00335619" w:rsidRPr="0023367D" w:rsidRDefault="00335619" w:rsidP="00335619">
            <w:pPr>
              <w:rPr>
                <w:sz w:val="22"/>
                <w:lang w:bidi="he-IL"/>
              </w:rPr>
            </w:pPr>
            <w:r w:rsidRPr="0023367D">
              <w:rPr>
                <w:color w:val="000000"/>
                <w:sz w:val="22"/>
              </w:rPr>
              <w:t>LOSS</w:t>
            </w:r>
            <w:r w:rsidRPr="0023367D">
              <w:rPr>
                <w:sz w:val="22"/>
                <w:vertAlign w:val="subscript"/>
              </w:rPr>
              <w:t xml:space="preserve"> </w:t>
            </w:r>
            <w:proofErr w:type="spellStart"/>
            <w:r w:rsidRPr="0023367D">
              <w:rPr>
                <w:sz w:val="22"/>
                <w:vertAlign w:val="subscript"/>
              </w:rPr>
              <w:t>j,t</w:t>
            </w:r>
            <w:proofErr w:type="spellEnd"/>
          </w:p>
        </w:tc>
        <w:tc>
          <w:tcPr>
            <w:tcW w:w="1260" w:type="dxa"/>
            <w:tcBorders>
              <w:bottom w:val="nil"/>
            </w:tcBorders>
            <w:shd w:val="clear" w:color="auto" w:fill="auto"/>
            <w:vAlign w:val="center"/>
          </w:tcPr>
          <w:p w14:paraId="07DB7EF1" w14:textId="77777777" w:rsidR="00335619" w:rsidRPr="0023367D" w:rsidRDefault="00335619" w:rsidP="00335619">
            <w:pPr>
              <w:jc w:val="center"/>
              <w:rPr>
                <w:color w:val="000000"/>
                <w:sz w:val="22"/>
                <w:szCs w:val="22"/>
              </w:rPr>
            </w:pPr>
            <w:r w:rsidRPr="0023367D">
              <w:rPr>
                <w:color w:val="000000"/>
                <w:sz w:val="22"/>
                <w:szCs w:val="22"/>
              </w:rPr>
              <w:t>-0.169</w:t>
            </w:r>
          </w:p>
          <w:p w14:paraId="0AA1936F" w14:textId="77777777" w:rsidR="00335619" w:rsidRPr="0023367D" w:rsidRDefault="00335619" w:rsidP="00335619">
            <w:pPr>
              <w:jc w:val="center"/>
              <w:rPr>
                <w:color w:val="000000"/>
                <w:sz w:val="22"/>
                <w:szCs w:val="22"/>
              </w:rPr>
            </w:pPr>
            <w:r w:rsidRPr="0023367D">
              <w:rPr>
                <w:color w:val="000000"/>
                <w:sz w:val="22"/>
                <w:szCs w:val="22"/>
              </w:rPr>
              <w:t>(-0.63)</w:t>
            </w:r>
          </w:p>
        </w:tc>
        <w:tc>
          <w:tcPr>
            <w:tcW w:w="1260" w:type="dxa"/>
            <w:tcBorders>
              <w:bottom w:val="nil"/>
            </w:tcBorders>
            <w:vAlign w:val="center"/>
          </w:tcPr>
          <w:p w14:paraId="73A1BF6B" w14:textId="77777777" w:rsidR="00335619" w:rsidRPr="0023367D" w:rsidRDefault="00335619" w:rsidP="00335619">
            <w:pPr>
              <w:jc w:val="center"/>
              <w:rPr>
                <w:color w:val="000000"/>
                <w:sz w:val="22"/>
                <w:szCs w:val="22"/>
              </w:rPr>
            </w:pPr>
            <w:r w:rsidRPr="0023367D">
              <w:rPr>
                <w:color w:val="000000"/>
                <w:sz w:val="22"/>
                <w:szCs w:val="22"/>
              </w:rPr>
              <w:t>-1.456</w:t>
            </w:r>
          </w:p>
          <w:p w14:paraId="1F39719F" w14:textId="77777777" w:rsidR="00335619" w:rsidRPr="0023367D" w:rsidRDefault="00335619" w:rsidP="00335619">
            <w:pPr>
              <w:jc w:val="center"/>
              <w:rPr>
                <w:color w:val="000000"/>
                <w:sz w:val="22"/>
                <w:szCs w:val="22"/>
              </w:rPr>
            </w:pPr>
            <w:r w:rsidRPr="0023367D">
              <w:rPr>
                <w:color w:val="000000"/>
                <w:sz w:val="22"/>
                <w:szCs w:val="22"/>
              </w:rPr>
              <w:t>(-4.77)</w:t>
            </w:r>
            <w:r w:rsidRPr="0023367D">
              <w:rPr>
                <w:color w:val="000000"/>
                <w:sz w:val="22"/>
                <w:szCs w:val="22"/>
                <w:vertAlign w:val="superscript"/>
              </w:rPr>
              <w:t>***</w:t>
            </w:r>
          </w:p>
        </w:tc>
        <w:tc>
          <w:tcPr>
            <w:tcW w:w="1122" w:type="dxa"/>
            <w:tcBorders>
              <w:bottom w:val="nil"/>
              <w:right w:val="single" w:sz="18" w:space="0" w:color="auto"/>
            </w:tcBorders>
            <w:vAlign w:val="center"/>
          </w:tcPr>
          <w:p w14:paraId="79C89D13" w14:textId="77777777" w:rsidR="00335619" w:rsidRPr="0023367D" w:rsidRDefault="00335619" w:rsidP="00335619">
            <w:pPr>
              <w:jc w:val="center"/>
              <w:rPr>
                <w:color w:val="000000"/>
                <w:sz w:val="22"/>
                <w:szCs w:val="22"/>
              </w:rPr>
            </w:pPr>
          </w:p>
        </w:tc>
        <w:tc>
          <w:tcPr>
            <w:tcW w:w="1308" w:type="dxa"/>
            <w:tcBorders>
              <w:left w:val="single" w:sz="18" w:space="0" w:color="auto"/>
              <w:bottom w:val="nil"/>
            </w:tcBorders>
            <w:vAlign w:val="center"/>
          </w:tcPr>
          <w:p w14:paraId="203EEA93" w14:textId="77777777" w:rsidR="00335619" w:rsidRPr="0023367D" w:rsidRDefault="00335619" w:rsidP="00335619">
            <w:pPr>
              <w:jc w:val="center"/>
              <w:rPr>
                <w:color w:val="000000"/>
                <w:sz w:val="22"/>
                <w:szCs w:val="22"/>
              </w:rPr>
            </w:pPr>
            <w:r w:rsidRPr="0023367D">
              <w:rPr>
                <w:color w:val="000000"/>
                <w:sz w:val="22"/>
                <w:szCs w:val="22"/>
              </w:rPr>
              <w:t>0.328</w:t>
            </w:r>
          </w:p>
          <w:p w14:paraId="28B9C8DE" w14:textId="77777777" w:rsidR="00335619" w:rsidRPr="0023367D" w:rsidRDefault="00335619" w:rsidP="00335619">
            <w:pPr>
              <w:jc w:val="center"/>
              <w:rPr>
                <w:color w:val="000000"/>
                <w:sz w:val="22"/>
                <w:szCs w:val="22"/>
              </w:rPr>
            </w:pPr>
            <w:r w:rsidRPr="0023367D">
              <w:rPr>
                <w:color w:val="000000"/>
                <w:sz w:val="22"/>
                <w:szCs w:val="22"/>
              </w:rPr>
              <w:t>(0.81)</w:t>
            </w:r>
          </w:p>
        </w:tc>
        <w:tc>
          <w:tcPr>
            <w:tcW w:w="1080" w:type="dxa"/>
            <w:tcBorders>
              <w:bottom w:val="nil"/>
            </w:tcBorders>
            <w:vAlign w:val="center"/>
          </w:tcPr>
          <w:p w14:paraId="7A5BC0B7" w14:textId="77777777" w:rsidR="00335619" w:rsidRPr="0023367D" w:rsidRDefault="00335619" w:rsidP="00335619">
            <w:pPr>
              <w:jc w:val="center"/>
              <w:rPr>
                <w:color w:val="000000"/>
                <w:sz w:val="22"/>
                <w:szCs w:val="22"/>
              </w:rPr>
            </w:pPr>
            <w:r w:rsidRPr="0023367D">
              <w:rPr>
                <w:color w:val="000000"/>
                <w:sz w:val="22"/>
                <w:szCs w:val="22"/>
              </w:rPr>
              <w:t>0.281</w:t>
            </w:r>
          </w:p>
          <w:p w14:paraId="2CFD250B" w14:textId="77777777" w:rsidR="00335619" w:rsidRPr="0023367D" w:rsidRDefault="00335619" w:rsidP="00335619">
            <w:pPr>
              <w:jc w:val="center"/>
              <w:rPr>
                <w:color w:val="000000"/>
                <w:sz w:val="22"/>
                <w:szCs w:val="22"/>
              </w:rPr>
            </w:pPr>
            <w:r w:rsidRPr="0023367D">
              <w:rPr>
                <w:color w:val="000000"/>
                <w:sz w:val="22"/>
                <w:szCs w:val="22"/>
              </w:rPr>
              <w:t>(0.63)</w:t>
            </w:r>
          </w:p>
        </w:tc>
        <w:tc>
          <w:tcPr>
            <w:tcW w:w="1122" w:type="dxa"/>
            <w:tcBorders>
              <w:bottom w:val="nil"/>
            </w:tcBorders>
            <w:shd w:val="clear" w:color="auto" w:fill="auto"/>
            <w:vAlign w:val="center"/>
          </w:tcPr>
          <w:p w14:paraId="0682D484" w14:textId="77777777" w:rsidR="00335619" w:rsidRDefault="00335619" w:rsidP="00335619">
            <w:pPr>
              <w:jc w:val="center"/>
              <w:rPr>
                <w:color w:val="000000"/>
                <w:sz w:val="22"/>
                <w:szCs w:val="22"/>
              </w:rPr>
            </w:pPr>
          </w:p>
          <w:p w14:paraId="641F844C" w14:textId="77777777" w:rsidR="004B46D3" w:rsidRPr="0023367D" w:rsidRDefault="004B46D3" w:rsidP="00335619">
            <w:pPr>
              <w:jc w:val="center"/>
              <w:rPr>
                <w:color w:val="000000"/>
                <w:sz w:val="22"/>
                <w:szCs w:val="22"/>
              </w:rPr>
            </w:pPr>
          </w:p>
        </w:tc>
      </w:tr>
      <w:tr w:rsidR="00335619" w:rsidRPr="0023367D" w14:paraId="042ED041" w14:textId="77777777" w:rsidTr="00245940">
        <w:trPr>
          <w:jc w:val="center"/>
        </w:trPr>
        <w:tc>
          <w:tcPr>
            <w:tcW w:w="2653" w:type="dxa"/>
            <w:tcBorders>
              <w:bottom w:val="nil"/>
            </w:tcBorders>
            <w:shd w:val="clear" w:color="auto" w:fill="auto"/>
            <w:vAlign w:val="center"/>
          </w:tcPr>
          <w:p w14:paraId="6C96B322" w14:textId="77777777" w:rsidR="00335619" w:rsidRPr="0023367D" w:rsidRDefault="00335619" w:rsidP="00335619">
            <w:pPr>
              <w:rPr>
                <w:sz w:val="22"/>
                <w:lang w:bidi="he-IL"/>
              </w:rPr>
            </w:pPr>
            <w:r w:rsidRPr="0023367D">
              <w:rPr>
                <w:color w:val="000000"/>
                <w:sz w:val="22"/>
              </w:rPr>
              <w:t>LOSS</w:t>
            </w:r>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 xml:space="preserve"> *ROA</w:t>
            </w:r>
            <w:r w:rsidRPr="0023367D">
              <w:rPr>
                <w:sz w:val="22"/>
                <w:vertAlign w:val="subscript"/>
              </w:rPr>
              <w:t xml:space="preserve"> </w:t>
            </w:r>
            <w:proofErr w:type="spellStart"/>
            <w:r w:rsidRPr="0023367D">
              <w:rPr>
                <w:sz w:val="22"/>
                <w:vertAlign w:val="subscript"/>
              </w:rPr>
              <w:t>j,t</w:t>
            </w:r>
            <w:proofErr w:type="spellEnd"/>
          </w:p>
        </w:tc>
        <w:tc>
          <w:tcPr>
            <w:tcW w:w="1260" w:type="dxa"/>
            <w:tcBorders>
              <w:bottom w:val="nil"/>
            </w:tcBorders>
            <w:shd w:val="clear" w:color="auto" w:fill="auto"/>
            <w:vAlign w:val="center"/>
          </w:tcPr>
          <w:p w14:paraId="6C6305ED" w14:textId="77777777" w:rsidR="00335619" w:rsidRPr="0023367D" w:rsidRDefault="00335619" w:rsidP="00335619">
            <w:pPr>
              <w:jc w:val="center"/>
              <w:rPr>
                <w:color w:val="000000"/>
                <w:sz w:val="22"/>
                <w:szCs w:val="22"/>
              </w:rPr>
            </w:pPr>
            <w:r w:rsidRPr="0023367D">
              <w:rPr>
                <w:color w:val="000000"/>
                <w:sz w:val="22"/>
                <w:szCs w:val="22"/>
              </w:rPr>
              <w:t>-0.284</w:t>
            </w:r>
          </w:p>
          <w:p w14:paraId="2DE74890" w14:textId="77777777" w:rsidR="00335619" w:rsidRPr="0023367D" w:rsidRDefault="00335619" w:rsidP="00335619">
            <w:pPr>
              <w:jc w:val="center"/>
              <w:rPr>
                <w:color w:val="000000"/>
                <w:sz w:val="22"/>
                <w:szCs w:val="22"/>
              </w:rPr>
            </w:pPr>
            <w:r w:rsidRPr="0023367D">
              <w:rPr>
                <w:color w:val="000000"/>
                <w:sz w:val="22"/>
                <w:szCs w:val="22"/>
              </w:rPr>
              <w:t>(-0.74)</w:t>
            </w:r>
          </w:p>
        </w:tc>
        <w:tc>
          <w:tcPr>
            <w:tcW w:w="1260" w:type="dxa"/>
            <w:tcBorders>
              <w:bottom w:val="nil"/>
            </w:tcBorders>
            <w:vAlign w:val="center"/>
          </w:tcPr>
          <w:p w14:paraId="1CD792B5" w14:textId="77777777" w:rsidR="00335619" w:rsidRPr="0023367D" w:rsidRDefault="00335619" w:rsidP="00335619">
            <w:pPr>
              <w:jc w:val="center"/>
              <w:rPr>
                <w:color w:val="000000"/>
                <w:sz w:val="22"/>
                <w:szCs w:val="22"/>
              </w:rPr>
            </w:pPr>
            <w:r w:rsidRPr="0023367D">
              <w:rPr>
                <w:color w:val="000000"/>
                <w:sz w:val="22"/>
                <w:szCs w:val="22"/>
              </w:rPr>
              <w:t>-1.161</w:t>
            </w:r>
          </w:p>
          <w:p w14:paraId="1523EDCB" w14:textId="77777777" w:rsidR="00335619" w:rsidRPr="0023367D" w:rsidRDefault="00335619" w:rsidP="00335619">
            <w:pPr>
              <w:jc w:val="center"/>
              <w:rPr>
                <w:color w:val="000000"/>
                <w:sz w:val="22"/>
                <w:szCs w:val="22"/>
              </w:rPr>
            </w:pPr>
            <w:r w:rsidRPr="0023367D">
              <w:rPr>
                <w:color w:val="000000"/>
                <w:sz w:val="22"/>
                <w:szCs w:val="22"/>
              </w:rPr>
              <w:t>(-2.67)</w:t>
            </w:r>
            <w:r w:rsidRPr="0023367D">
              <w:rPr>
                <w:color w:val="000000"/>
                <w:sz w:val="22"/>
                <w:szCs w:val="22"/>
                <w:vertAlign w:val="superscript"/>
              </w:rPr>
              <w:t>***</w:t>
            </w:r>
          </w:p>
        </w:tc>
        <w:tc>
          <w:tcPr>
            <w:tcW w:w="1122" w:type="dxa"/>
            <w:tcBorders>
              <w:bottom w:val="nil"/>
              <w:right w:val="single" w:sz="18" w:space="0" w:color="auto"/>
            </w:tcBorders>
            <w:vAlign w:val="center"/>
          </w:tcPr>
          <w:p w14:paraId="1E663587" w14:textId="77777777" w:rsidR="00335619" w:rsidRPr="0023367D" w:rsidRDefault="00335619" w:rsidP="00335619">
            <w:pPr>
              <w:jc w:val="center"/>
              <w:rPr>
                <w:color w:val="000000"/>
                <w:sz w:val="22"/>
                <w:szCs w:val="22"/>
              </w:rPr>
            </w:pPr>
          </w:p>
        </w:tc>
        <w:tc>
          <w:tcPr>
            <w:tcW w:w="1308" w:type="dxa"/>
            <w:tcBorders>
              <w:left w:val="single" w:sz="18" w:space="0" w:color="auto"/>
              <w:bottom w:val="nil"/>
            </w:tcBorders>
            <w:vAlign w:val="center"/>
          </w:tcPr>
          <w:p w14:paraId="52203909" w14:textId="77777777" w:rsidR="00335619" w:rsidRPr="0023367D" w:rsidRDefault="00335619" w:rsidP="00335619">
            <w:pPr>
              <w:jc w:val="center"/>
              <w:rPr>
                <w:color w:val="000000"/>
                <w:sz w:val="22"/>
                <w:szCs w:val="22"/>
              </w:rPr>
            </w:pPr>
            <w:r w:rsidRPr="0023367D">
              <w:rPr>
                <w:color w:val="000000"/>
                <w:sz w:val="22"/>
                <w:szCs w:val="22"/>
              </w:rPr>
              <w:t>-0.891</w:t>
            </w:r>
          </w:p>
          <w:p w14:paraId="3938E291" w14:textId="77777777" w:rsidR="00335619" w:rsidRPr="0023367D" w:rsidRDefault="00335619" w:rsidP="00335619">
            <w:pPr>
              <w:jc w:val="center"/>
              <w:rPr>
                <w:color w:val="000000"/>
                <w:sz w:val="22"/>
                <w:szCs w:val="22"/>
              </w:rPr>
            </w:pPr>
            <w:r w:rsidRPr="0023367D">
              <w:rPr>
                <w:color w:val="000000"/>
                <w:sz w:val="22"/>
                <w:szCs w:val="22"/>
              </w:rPr>
              <w:t>(-0.61)</w:t>
            </w:r>
          </w:p>
        </w:tc>
        <w:tc>
          <w:tcPr>
            <w:tcW w:w="1080" w:type="dxa"/>
            <w:tcBorders>
              <w:bottom w:val="nil"/>
            </w:tcBorders>
            <w:vAlign w:val="center"/>
          </w:tcPr>
          <w:p w14:paraId="5658956A" w14:textId="77777777" w:rsidR="00335619" w:rsidRPr="0023367D" w:rsidRDefault="00335619" w:rsidP="00335619">
            <w:pPr>
              <w:jc w:val="center"/>
              <w:rPr>
                <w:color w:val="000000"/>
                <w:sz w:val="22"/>
                <w:szCs w:val="22"/>
              </w:rPr>
            </w:pPr>
            <w:r w:rsidRPr="0023367D">
              <w:rPr>
                <w:color w:val="000000"/>
                <w:sz w:val="22"/>
                <w:szCs w:val="22"/>
              </w:rPr>
              <w:t>-3.257</w:t>
            </w:r>
          </w:p>
          <w:p w14:paraId="1F68DAF4" w14:textId="77777777" w:rsidR="00335619" w:rsidRPr="0023367D" w:rsidRDefault="00335619" w:rsidP="00335619">
            <w:pPr>
              <w:jc w:val="center"/>
              <w:rPr>
                <w:color w:val="000000"/>
                <w:sz w:val="22"/>
                <w:szCs w:val="22"/>
              </w:rPr>
            </w:pPr>
            <w:r w:rsidRPr="0023367D">
              <w:rPr>
                <w:color w:val="000000"/>
                <w:sz w:val="22"/>
                <w:szCs w:val="22"/>
              </w:rPr>
              <w:t>(-2.03)</w:t>
            </w:r>
            <w:r w:rsidRPr="0023367D">
              <w:rPr>
                <w:color w:val="000000"/>
                <w:sz w:val="22"/>
                <w:szCs w:val="22"/>
                <w:vertAlign w:val="superscript"/>
              </w:rPr>
              <w:t>**</w:t>
            </w:r>
          </w:p>
        </w:tc>
        <w:tc>
          <w:tcPr>
            <w:tcW w:w="1122" w:type="dxa"/>
            <w:tcBorders>
              <w:bottom w:val="nil"/>
            </w:tcBorders>
            <w:shd w:val="clear" w:color="auto" w:fill="auto"/>
            <w:vAlign w:val="center"/>
          </w:tcPr>
          <w:p w14:paraId="14A47525" w14:textId="77777777" w:rsidR="00335619" w:rsidRPr="0023367D" w:rsidRDefault="00335619" w:rsidP="00335619">
            <w:pPr>
              <w:jc w:val="center"/>
              <w:rPr>
                <w:color w:val="000000"/>
                <w:sz w:val="22"/>
                <w:szCs w:val="22"/>
              </w:rPr>
            </w:pPr>
          </w:p>
        </w:tc>
      </w:tr>
      <w:tr w:rsidR="00335619" w:rsidRPr="0023367D" w14:paraId="77E07892" w14:textId="77777777" w:rsidTr="00245940">
        <w:trPr>
          <w:jc w:val="center"/>
        </w:trPr>
        <w:tc>
          <w:tcPr>
            <w:tcW w:w="2653" w:type="dxa"/>
            <w:tcBorders>
              <w:top w:val="single" w:sz="4" w:space="0" w:color="auto"/>
              <w:bottom w:val="nil"/>
            </w:tcBorders>
            <w:shd w:val="clear" w:color="auto" w:fill="auto"/>
            <w:vAlign w:val="center"/>
          </w:tcPr>
          <w:p w14:paraId="12F80FDA" w14:textId="77777777" w:rsidR="00335619" w:rsidRPr="0023367D" w:rsidRDefault="00335619" w:rsidP="00335619">
            <w:pPr>
              <w:rPr>
                <w:color w:val="000000"/>
                <w:sz w:val="22"/>
              </w:rPr>
            </w:pPr>
            <w:r w:rsidRPr="0023367D">
              <w:rPr>
                <w:color w:val="000000"/>
                <w:sz w:val="22"/>
              </w:rPr>
              <w:t>LOSS</w:t>
            </w:r>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 xml:space="preserve"> </w:t>
            </w:r>
            <w:r w:rsidR="00245940" w:rsidRPr="0023367D">
              <w:rPr>
                <w:color w:val="000000"/>
                <w:sz w:val="22"/>
              </w:rPr>
              <w:t>*</w:t>
            </w:r>
          </w:p>
          <w:p w14:paraId="5184E78D" w14:textId="77777777" w:rsidR="00335619" w:rsidRPr="0023367D" w:rsidRDefault="00335619" w:rsidP="00335619">
            <w:pPr>
              <w:rPr>
                <w:sz w:val="22"/>
                <w:lang w:bidi="he-IL"/>
              </w:rPr>
            </w:pPr>
            <w:r w:rsidRPr="0023367D">
              <w:rPr>
                <w:color w:val="000000"/>
                <w:sz w:val="22"/>
              </w:rPr>
              <w:t>(EBITDA</w:t>
            </w:r>
            <w:r w:rsidRPr="0023367D">
              <w:rPr>
                <w:sz w:val="22"/>
                <w:vertAlign w:val="subscript"/>
              </w:rPr>
              <w:t xml:space="preserve"> </w:t>
            </w:r>
            <w:proofErr w:type="spellStart"/>
            <w:r w:rsidRPr="0023367D">
              <w:rPr>
                <w:sz w:val="22"/>
                <w:vertAlign w:val="subscript"/>
              </w:rPr>
              <w:t>j,t</w:t>
            </w:r>
            <w:proofErr w:type="spellEnd"/>
            <w:r w:rsidRPr="0023367D">
              <w:rPr>
                <w:color w:val="000000"/>
                <w:sz w:val="22"/>
                <w:vertAlign w:val="subscript"/>
              </w:rPr>
              <w:t xml:space="preserve">  </w:t>
            </w:r>
            <w:r w:rsidRPr="0023367D">
              <w:rPr>
                <w:color w:val="000000"/>
                <w:sz w:val="22"/>
              </w:rPr>
              <w:t xml:space="preserve">/ </w:t>
            </w:r>
            <w:proofErr w:type="spellStart"/>
            <w:r w:rsidRPr="0023367D">
              <w:rPr>
                <w:color w:val="000000"/>
                <w:sz w:val="22"/>
              </w:rPr>
              <w:t>Liab</w:t>
            </w:r>
            <w:proofErr w:type="spellEnd"/>
            <w:r w:rsidRPr="0023367D">
              <w:rPr>
                <w:color w:val="000000"/>
                <w:sz w:val="22"/>
              </w:rPr>
              <w:t xml:space="preserve"> </w:t>
            </w:r>
            <w:proofErr w:type="spellStart"/>
            <w:r w:rsidRPr="0023367D">
              <w:rPr>
                <w:sz w:val="22"/>
                <w:vertAlign w:val="subscript"/>
              </w:rPr>
              <w:t>j,t</w:t>
            </w:r>
            <w:proofErr w:type="spellEnd"/>
            <w:r w:rsidRPr="0023367D">
              <w:rPr>
                <w:color w:val="000000"/>
                <w:sz w:val="22"/>
                <w:vertAlign w:val="subscript"/>
              </w:rPr>
              <w:t xml:space="preserve"> -1</w:t>
            </w:r>
            <w:r w:rsidRPr="0023367D">
              <w:rPr>
                <w:color w:val="000000"/>
                <w:sz w:val="22"/>
              </w:rPr>
              <w:t>)</w:t>
            </w:r>
          </w:p>
        </w:tc>
        <w:tc>
          <w:tcPr>
            <w:tcW w:w="1260" w:type="dxa"/>
            <w:tcBorders>
              <w:top w:val="single" w:sz="4" w:space="0" w:color="auto"/>
              <w:bottom w:val="nil"/>
            </w:tcBorders>
            <w:shd w:val="clear" w:color="auto" w:fill="auto"/>
            <w:vAlign w:val="center"/>
          </w:tcPr>
          <w:p w14:paraId="72B3DF64" w14:textId="77777777" w:rsidR="00335619" w:rsidRPr="0023367D" w:rsidRDefault="00335619" w:rsidP="00335619">
            <w:pPr>
              <w:jc w:val="center"/>
              <w:rPr>
                <w:color w:val="000000"/>
                <w:sz w:val="22"/>
                <w:szCs w:val="22"/>
              </w:rPr>
            </w:pPr>
            <w:r w:rsidRPr="0023367D">
              <w:rPr>
                <w:color w:val="000000"/>
                <w:sz w:val="22"/>
                <w:szCs w:val="22"/>
              </w:rPr>
              <w:t>-1.243</w:t>
            </w:r>
          </w:p>
          <w:p w14:paraId="798DF0FE" w14:textId="77777777" w:rsidR="00335619" w:rsidRPr="0023367D" w:rsidRDefault="00335619" w:rsidP="00335619">
            <w:pPr>
              <w:jc w:val="center"/>
              <w:rPr>
                <w:color w:val="000000"/>
                <w:sz w:val="22"/>
                <w:szCs w:val="22"/>
              </w:rPr>
            </w:pPr>
            <w:r w:rsidRPr="0023367D">
              <w:rPr>
                <w:color w:val="000000"/>
                <w:sz w:val="22"/>
                <w:szCs w:val="22"/>
              </w:rPr>
              <w:t>(-3.83)</w:t>
            </w:r>
            <w:r w:rsidRPr="0023367D">
              <w:rPr>
                <w:color w:val="000000"/>
                <w:sz w:val="22"/>
                <w:szCs w:val="22"/>
                <w:vertAlign w:val="superscript"/>
              </w:rPr>
              <w:t>***</w:t>
            </w:r>
          </w:p>
        </w:tc>
        <w:tc>
          <w:tcPr>
            <w:tcW w:w="1260" w:type="dxa"/>
            <w:tcBorders>
              <w:top w:val="single" w:sz="4" w:space="0" w:color="auto"/>
              <w:bottom w:val="nil"/>
            </w:tcBorders>
            <w:vAlign w:val="center"/>
          </w:tcPr>
          <w:p w14:paraId="55632F3E" w14:textId="77777777" w:rsidR="00335619" w:rsidRPr="0023367D" w:rsidRDefault="00335619" w:rsidP="00335619">
            <w:pPr>
              <w:jc w:val="center"/>
              <w:rPr>
                <w:color w:val="000000"/>
                <w:sz w:val="22"/>
                <w:szCs w:val="22"/>
              </w:rPr>
            </w:pPr>
            <w:r w:rsidRPr="0023367D">
              <w:rPr>
                <w:color w:val="000000"/>
                <w:sz w:val="22"/>
                <w:szCs w:val="22"/>
              </w:rPr>
              <w:t>-1.718</w:t>
            </w:r>
          </w:p>
          <w:p w14:paraId="591837D0" w14:textId="77777777" w:rsidR="00335619" w:rsidRPr="0023367D" w:rsidRDefault="00335619" w:rsidP="00335619">
            <w:pPr>
              <w:jc w:val="center"/>
              <w:rPr>
                <w:color w:val="000000"/>
                <w:sz w:val="22"/>
                <w:szCs w:val="22"/>
              </w:rPr>
            </w:pPr>
            <w:r w:rsidRPr="0023367D">
              <w:rPr>
                <w:color w:val="000000"/>
                <w:sz w:val="22"/>
                <w:szCs w:val="22"/>
              </w:rPr>
              <w:t>(-4.66)</w:t>
            </w:r>
            <w:r w:rsidRPr="0023367D">
              <w:rPr>
                <w:color w:val="000000"/>
                <w:sz w:val="22"/>
                <w:szCs w:val="22"/>
                <w:vertAlign w:val="superscript"/>
              </w:rPr>
              <w:t>***</w:t>
            </w:r>
          </w:p>
        </w:tc>
        <w:tc>
          <w:tcPr>
            <w:tcW w:w="1122" w:type="dxa"/>
            <w:tcBorders>
              <w:top w:val="single" w:sz="4" w:space="0" w:color="auto"/>
              <w:bottom w:val="nil"/>
              <w:right w:val="single" w:sz="18" w:space="0" w:color="auto"/>
            </w:tcBorders>
            <w:vAlign w:val="center"/>
          </w:tcPr>
          <w:p w14:paraId="1121FBAF" w14:textId="77777777" w:rsidR="00335619" w:rsidRPr="0023367D" w:rsidRDefault="00335619" w:rsidP="00335619">
            <w:pPr>
              <w:jc w:val="center"/>
              <w:rPr>
                <w:color w:val="000000"/>
                <w:sz w:val="22"/>
                <w:szCs w:val="22"/>
              </w:rPr>
            </w:pPr>
          </w:p>
        </w:tc>
        <w:tc>
          <w:tcPr>
            <w:tcW w:w="1308" w:type="dxa"/>
            <w:tcBorders>
              <w:top w:val="single" w:sz="4" w:space="0" w:color="auto"/>
              <w:left w:val="single" w:sz="18" w:space="0" w:color="auto"/>
              <w:bottom w:val="nil"/>
            </w:tcBorders>
            <w:vAlign w:val="center"/>
          </w:tcPr>
          <w:p w14:paraId="5FC1293C" w14:textId="77777777" w:rsidR="00335619" w:rsidRPr="0023367D" w:rsidRDefault="00335619" w:rsidP="00335619">
            <w:pPr>
              <w:jc w:val="center"/>
              <w:rPr>
                <w:rFonts w:ascii="Arial" w:hAnsi="Arial" w:cs="Arial"/>
                <w:color w:val="000000"/>
                <w:sz w:val="22"/>
                <w:szCs w:val="22"/>
              </w:rPr>
            </w:pPr>
            <w:r w:rsidRPr="0023367D">
              <w:rPr>
                <w:rFonts w:ascii="Arial" w:hAnsi="Arial" w:cs="Arial"/>
                <w:color w:val="000000"/>
                <w:sz w:val="22"/>
                <w:szCs w:val="22"/>
              </w:rPr>
              <w:t>-</w:t>
            </w:r>
            <w:r w:rsidRPr="0023367D">
              <w:rPr>
                <w:color w:val="000000"/>
                <w:sz w:val="22"/>
                <w:szCs w:val="22"/>
              </w:rPr>
              <w:t>0.522</w:t>
            </w:r>
          </w:p>
          <w:p w14:paraId="1057D9A3" w14:textId="77777777" w:rsidR="00335619" w:rsidRPr="0023367D" w:rsidRDefault="00335619" w:rsidP="00335619">
            <w:pPr>
              <w:jc w:val="center"/>
              <w:rPr>
                <w:color w:val="000000"/>
                <w:sz w:val="22"/>
                <w:szCs w:val="22"/>
              </w:rPr>
            </w:pPr>
            <w:r w:rsidRPr="0023367D">
              <w:rPr>
                <w:color w:val="000000"/>
                <w:sz w:val="22"/>
                <w:szCs w:val="22"/>
              </w:rPr>
              <w:t>(-0.96)</w:t>
            </w:r>
          </w:p>
        </w:tc>
        <w:tc>
          <w:tcPr>
            <w:tcW w:w="1080" w:type="dxa"/>
            <w:tcBorders>
              <w:top w:val="single" w:sz="4" w:space="0" w:color="auto"/>
              <w:bottom w:val="nil"/>
            </w:tcBorders>
            <w:vAlign w:val="center"/>
          </w:tcPr>
          <w:p w14:paraId="1544F8D7" w14:textId="77777777" w:rsidR="00335619" w:rsidRPr="0023367D" w:rsidRDefault="00335619" w:rsidP="00335619">
            <w:pPr>
              <w:jc w:val="center"/>
              <w:rPr>
                <w:rFonts w:ascii="Arial" w:hAnsi="Arial" w:cs="Arial"/>
                <w:color w:val="000000"/>
                <w:sz w:val="22"/>
                <w:szCs w:val="22"/>
              </w:rPr>
            </w:pPr>
            <w:r w:rsidRPr="0023367D">
              <w:rPr>
                <w:rFonts w:ascii="Arial" w:hAnsi="Arial" w:cs="Arial"/>
                <w:color w:val="000000"/>
                <w:sz w:val="22"/>
                <w:szCs w:val="22"/>
              </w:rPr>
              <w:t>-</w:t>
            </w:r>
            <w:r w:rsidRPr="0023367D">
              <w:rPr>
                <w:color w:val="000000"/>
                <w:sz w:val="22"/>
                <w:szCs w:val="22"/>
              </w:rPr>
              <w:t>1.070</w:t>
            </w:r>
          </w:p>
          <w:p w14:paraId="120B138B" w14:textId="77777777" w:rsidR="00335619" w:rsidRPr="0023367D" w:rsidRDefault="00335619" w:rsidP="00335619">
            <w:pPr>
              <w:jc w:val="center"/>
              <w:rPr>
                <w:color w:val="000000"/>
                <w:sz w:val="22"/>
                <w:szCs w:val="22"/>
              </w:rPr>
            </w:pPr>
            <w:r w:rsidRPr="0023367D">
              <w:rPr>
                <w:color w:val="000000"/>
                <w:sz w:val="22"/>
                <w:szCs w:val="22"/>
              </w:rPr>
              <w:t>(-1.78)</w:t>
            </w:r>
            <w:r w:rsidRPr="0023367D">
              <w:rPr>
                <w:color w:val="000000"/>
                <w:sz w:val="22"/>
                <w:szCs w:val="22"/>
                <w:vertAlign w:val="superscript"/>
              </w:rPr>
              <w:t>*</w:t>
            </w:r>
          </w:p>
        </w:tc>
        <w:tc>
          <w:tcPr>
            <w:tcW w:w="1122" w:type="dxa"/>
            <w:tcBorders>
              <w:top w:val="single" w:sz="4" w:space="0" w:color="auto"/>
              <w:bottom w:val="nil"/>
            </w:tcBorders>
            <w:shd w:val="clear" w:color="auto" w:fill="auto"/>
            <w:vAlign w:val="center"/>
          </w:tcPr>
          <w:p w14:paraId="4DF98141" w14:textId="77777777" w:rsidR="00335619" w:rsidRPr="0023367D" w:rsidRDefault="00335619" w:rsidP="00335619">
            <w:pPr>
              <w:jc w:val="center"/>
              <w:rPr>
                <w:color w:val="000000"/>
                <w:sz w:val="22"/>
                <w:szCs w:val="22"/>
              </w:rPr>
            </w:pPr>
          </w:p>
        </w:tc>
      </w:tr>
      <w:tr w:rsidR="00335619" w:rsidRPr="0023367D" w14:paraId="2EDE7512" w14:textId="77777777" w:rsidTr="00245940">
        <w:trPr>
          <w:jc w:val="center"/>
        </w:trPr>
        <w:tc>
          <w:tcPr>
            <w:tcW w:w="2653" w:type="dxa"/>
            <w:tcBorders>
              <w:top w:val="single" w:sz="4" w:space="0" w:color="auto"/>
              <w:bottom w:val="nil"/>
            </w:tcBorders>
            <w:shd w:val="clear" w:color="auto" w:fill="auto"/>
            <w:vAlign w:val="center"/>
          </w:tcPr>
          <w:p w14:paraId="797E70B2" w14:textId="77777777" w:rsidR="00335619" w:rsidRPr="0023367D" w:rsidRDefault="00335619" w:rsidP="00335619">
            <w:pPr>
              <w:rPr>
                <w:color w:val="000000"/>
                <w:sz w:val="22"/>
              </w:rPr>
            </w:pPr>
            <w:r w:rsidRPr="0023367D">
              <w:rPr>
                <w:color w:val="000000"/>
                <w:sz w:val="22"/>
              </w:rPr>
              <w:t>LOSS</w:t>
            </w:r>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 xml:space="preserve"> *</w:t>
            </w:r>
          </w:p>
          <w:p w14:paraId="02B66004" w14:textId="77777777" w:rsidR="00335619" w:rsidRPr="0023367D" w:rsidRDefault="00335619" w:rsidP="00335619">
            <w:pPr>
              <w:rPr>
                <w:sz w:val="22"/>
                <w:lang w:bidi="he-IL"/>
              </w:rPr>
            </w:pPr>
            <w:r w:rsidRPr="0023367D">
              <w:rPr>
                <w:color w:val="000000"/>
                <w:sz w:val="22"/>
              </w:rPr>
              <w:t>(</w:t>
            </w:r>
            <w:proofErr w:type="spellStart"/>
            <w:r w:rsidRPr="0023367D">
              <w:rPr>
                <w:color w:val="000000"/>
                <w:sz w:val="22"/>
              </w:rPr>
              <w:t>Liab</w:t>
            </w:r>
            <w:proofErr w:type="spellEnd"/>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 xml:space="preserve"> /Assets</w:t>
            </w:r>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w:t>
            </w:r>
          </w:p>
        </w:tc>
        <w:tc>
          <w:tcPr>
            <w:tcW w:w="1260" w:type="dxa"/>
            <w:tcBorders>
              <w:top w:val="single" w:sz="4" w:space="0" w:color="auto"/>
              <w:bottom w:val="nil"/>
            </w:tcBorders>
            <w:shd w:val="clear" w:color="auto" w:fill="auto"/>
            <w:vAlign w:val="center"/>
          </w:tcPr>
          <w:p w14:paraId="298E3CF7" w14:textId="77777777" w:rsidR="00335619" w:rsidRPr="0023367D" w:rsidRDefault="00335619" w:rsidP="00335619">
            <w:pPr>
              <w:jc w:val="center"/>
              <w:rPr>
                <w:color w:val="000000"/>
                <w:sz w:val="22"/>
                <w:szCs w:val="22"/>
              </w:rPr>
            </w:pPr>
            <w:r w:rsidRPr="0023367D">
              <w:rPr>
                <w:color w:val="000000"/>
                <w:sz w:val="22"/>
                <w:szCs w:val="22"/>
              </w:rPr>
              <w:t>3.672</w:t>
            </w:r>
          </w:p>
          <w:p w14:paraId="50C59C75" w14:textId="77777777" w:rsidR="00335619" w:rsidRPr="0023367D" w:rsidRDefault="00335619" w:rsidP="00335619">
            <w:pPr>
              <w:jc w:val="center"/>
              <w:rPr>
                <w:color w:val="000000"/>
                <w:sz w:val="22"/>
                <w:szCs w:val="22"/>
              </w:rPr>
            </w:pPr>
            <w:r w:rsidRPr="0023367D">
              <w:rPr>
                <w:color w:val="000000"/>
                <w:sz w:val="22"/>
                <w:szCs w:val="22"/>
              </w:rPr>
              <w:t>(10.91)</w:t>
            </w:r>
            <w:r w:rsidRPr="0023367D">
              <w:rPr>
                <w:color w:val="000000"/>
                <w:sz w:val="22"/>
                <w:szCs w:val="22"/>
                <w:vertAlign w:val="superscript"/>
              </w:rPr>
              <w:t>***</w:t>
            </w:r>
          </w:p>
        </w:tc>
        <w:tc>
          <w:tcPr>
            <w:tcW w:w="1260" w:type="dxa"/>
            <w:tcBorders>
              <w:top w:val="single" w:sz="4" w:space="0" w:color="auto"/>
              <w:bottom w:val="nil"/>
            </w:tcBorders>
            <w:vAlign w:val="center"/>
          </w:tcPr>
          <w:p w14:paraId="48102559" w14:textId="77777777" w:rsidR="00335619" w:rsidRPr="0023367D" w:rsidRDefault="00335619" w:rsidP="00335619">
            <w:pPr>
              <w:jc w:val="center"/>
              <w:rPr>
                <w:color w:val="000000"/>
                <w:sz w:val="22"/>
                <w:szCs w:val="22"/>
              </w:rPr>
            </w:pPr>
            <w:r w:rsidRPr="0023367D">
              <w:rPr>
                <w:color w:val="000000"/>
                <w:sz w:val="22"/>
                <w:szCs w:val="22"/>
              </w:rPr>
              <w:t>6.763</w:t>
            </w:r>
          </w:p>
          <w:p w14:paraId="2E758FF0" w14:textId="77777777" w:rsidR="00335619" w:rsidRPr="0023367D" w:rsidRDefault="00335619" w:rsidP="00335619">
            <w:pPr>
              <w:jc w:val="center"/>
              <w:rPr>
                <w:color w:val="000000"/>
                <w:sz w:val="22"/>
                <w:szCs w:val="22"/>
              </w:rPr>
            </w:pPr>
            <w:r w:rsidRPr="0023367D">
              <w:rPr>
                <w:color w:val="000000"/>
                <w:sz w:val="22"/>
                <w:szCs w:val="22"/>
              </w:rPr>
              <w:t>(17.79)</w:t>
            </w:r>
            <w:r w:rsidRPr="0023367D">
              <w:rPr>
                <w:color w:val="000000"/>
                <w:sz w:val="22"/>
                <w:szCs w:val="22"/>
                <w:vertAlign w:val="superscript"/>
              </w:rPr>
              <w:t>***</w:t>
            </w:r>
          </w:p>
        </w:tc>
        <w:tc>
          <w:tcPr>
            <w:tcW w:w="1122" w:type="dxa"/>
            <w:tcBorders>
              <w:top w:val="single" w:sz="4" w:space="0" w:color="auto"/>
              <w:bottom w:val="nil"/>
              <w:right w:val="single" w:sz="18" w:space="0" w:color="auto"/>
            </w:tcBorders>
            <w:vAlign w:val="center"/>
          </w:tcPr>
          <w:p w14:paraId="6F1FC466" w14:textId="77777777" w:rsidR="00335619" w:rsidRPr="0023367D" w:rsidRDefault="00335619" w:rsidP="00335619">
            <w:pPr>
              <w:jc w:val="center"/>
              <w:rPr>
                <w:color w:val="000000"/>
                <w:sz w:val="22"/>
                <w:szCs w:val="22"/>
              </w:rPr>
            </w:pPr>
          </w:p>
        </w:tc>
        <w:tc>
          <w:tcPr>
            <w:tcW w:w="1308" w:type="dxa"/>
            <w:tcBorders>
              <w:top w:val="single" w:sz="4" w:space="0" w:color="auto"/>
              <w:left w:val="single" w:sz="18" w:space="0" w:color="auto"/>
              <w:bottom w:val="nil"/>
            </w:tcBorders>
            <w:vAlign w:val="center"/>
          </w:tcPr>
          <w:p w14:paraId="30BE7192" w14:textId="77777777" w:rsidR="00335619" w:rsidRPr="0023367D" w:rsidRDefault="00335619" w:rsidP="00335619">
            <w:pPr>
              <w:jc w:val="center"/>
              <w:rPr>
                <w:color w:val="000000"/>
                <w:sz w:val="22"/>
                <w:szCs w:val="22"/>
              </w:rPr>
            </w:pPr>
            <w:r w:rsidRPr="0023367D">
              <w:rPr>
                <w:color w:val="000000"/>
                <w:sz w:val="22"/>
                <w:szCs w:val="22"/>
              </w:rPr>
              <w:t>1.656</w:t>
            </w:r>
          </w:p>
          <w:p w14:paraId="1517B2E7" w14:textId="77777777" w:rsidR="00335619" w:rsidRPr="0023367D" w:rsidRDefault="00335619" w:rsidP="00335619">
            <w:pPr>
              <w:jc w:val="center"/>
              <w:rPr>
                <w:color w:val="000000"/>
                <w:sz w:val="22"/>
                <w:szCs w:val="22"/>
              </w:rPr>
            </w:pPr>
            <w:r w:rsidRPr="0023367D">
              <w:rPr>
                <w:color w:val="000000"/>
                <w:sz w:val="22"/>
                <w:szCs w:val="22"/>
              </w:rPr>
              <w:t>(3.15)</w:t>
            </w:r>
            <w:r w:rsidRPr="0023367D">
              <w:rPr>
                <w:color w:val="000000"/>
                <w:sz w:val="22"/>
                <w:szCs w:val="22"/>
                <w:vertAlign w:val="superscript"/>
              </w:rPr>
              <w:t>***</w:t>
            </w:r>
          </w:p>
        </w:tc>
        <w:tc>
          <w:tcPr>
            <w:tcW w:w="1080" w:type="dxa"/>
            <w:tcBorders>
              <w:top w:val="single" w:sz="4" w:space="0" w:color="auto"/>
              <w:bottom w:val="nil"/>
            </w:tcBorders>
            <w:vAlign w:val="center"/>
          </w:tcPr>
          <w:p w14:paraId="4936F89F" w14:textId="77777777" w:rsidR="00335619" w:rsidRPr="0023367D" w:rsidRDefault="00335619" w:rsidP="00335619">
            <w:pPr>
              <w:jc w:val="center"/>
              <w:rPr>
                <w:color w:val="000000"/>
                <w:sz w:val="22"/>
                <w:szCs w:val="22"/>
              </w:rPr>
            </w:pPr>
            <w:r w:rsidRPr="0023367D">
              <w:rPr>
                <w:color w:val="000000"/>
                <w:sz w:val="22"/>
                <w:szCs w:val="22"/>
              </w:rPr>
              <w:t>2.706</w:t>
            </w:r>
          </w:p>
          <w:p w14:paraId="5CECC826" w14:textId="77777777" w:rsidR="00335619" w:rsidRPr="0023367D" w:rsidRDefault="00335619" w:rsidP="00335619">
            <w:pPr>
              <w:jc w:val="center"/>
              <w:rPr>
                <w:color w:val="000000"/>
                <w:sz w:val="22"/>
                <w:szCs w:val="22"/>
              </w:rPr>
            </w:pPr>
            <w:r w:rsidRPr="0023367D">
              <w:rPr>
                <w:color w:val="000000"/>
                <w:sz w:val="22"/>
                <w:szCs w:val="22"/>
              </w:rPr>
              <w:t>(4.65)</w:t>
            </w:r>
            <w:r w:rsidRPr="0023367D">
              <w:rPr>
                <w:color w:val="000000"/>
                <w:sz w:val="22"/>
                <w:szCs w:val="22"/>
                <w:vertAlign w:val="superscript"/>
              </w:rPr>
              <w:t>***</w:t>
            </w:r>
          </w:p>
        </w:tc>
        <w:tc>
          <w:tcPr>
            <w:tcW w:w="1122" w:type="dxa"/>
            <w:tcBorders>
              <w:top w:val="single" w:sz="4" w:space="0" w:color="auto"/>
              <w:bottom w:val="nil"/>
            </w:tcBorders>
            <w:shd w:val="clear" w:color="auto" w:fill="auto"/>
            <w:vAlign w:val="center"/>
          </w:tcPr>
          <w:p w14:paraId="02C73239" w14:textId="77777777" w:rsidR="00335619" w:rsidRPr="0023367D" w:rsidRDefault="00335619" w:rsidP="00335619">
            <w:pPr>
              <w:jc w:val="center"/>
              <w:rPr>
                <w:color w:val="000000"/>
                <w:sz w:val="22"/>
                <w:szCs w:val="22"/>
              </w:rPr>
            </w:pPr>
          </w:p>
        </w:tc>
      </w:tr>
      <w:tr w:rsidR="00245940" w:rsidRPr="0023367D" w14:paraId="7175C6A0" w14:textId="77777777" w:rsidTr="00245940">
        <w:trPr>
          <w:jc w:val="center"/>
        </w:trPr>
        <w:tc>
          <w:tcPr>
            <w:tcW w:w="2653" w:type="dxa"/>
            <w:vMerge w:val="restart"/>
            <w:tcBorders>
              <w:top w:val="single" w:sz="4" w:space="0" w:color="auto"/>
            </w:tcBorders>
            <w:shd w:val="clear" w:color="auto" w:fill="auto"/>
            <w:vAlign w:val="center"/>
          </w:tcPr>
          <w:p w14:paraId="273E0E82" w14:textId="77777777" w:rsidR="00245940" w:rsidRPr="0023367D" w:rsidRDefault="00245940" w:rsidP="00335619">
            <w:pPr>
              <w:rPr>
                <w:sz w:val="22"/>
                <w:lang w:bidi="he-IL"/>
              </w:rPr>
            </w:pPr>
            <w:r w:rsidRPr="0023367D">
              <w:rPr>
                <w:color w:val="000000"/>
                <w:sz w:val="22"/>
              </w:rPr>
              <w:t>PROB</w:t>
            </w:r>
            <w:r w:rsidRPr="0023367D">
              <w:rPr>
                <w:sz w:val="22"/>
                <w:vertAlign w:val="subscript"/>
              </w:rPr>
              <w:t xml:space="preserve"> </w:t>
            </w:r>
            <w:proofErr w:type="spellStart"/>
            <w:r w:rsidRPr="0023367D">
              <w:rPr>
                <w:sz w:val="22"/>
                <w:vertAlign w:val="subscript"/>
              </w:rPr>
              <w:t>j,t</w:t>
            </w:r>
            <w:proofErr w:type="spellEnd"/>
          </w:p>
        </w:tc>
        <w:tc>
          <w:tcPr>
            <w:tcW w:w="1260" w:type="dxa"/>
            <w:tcBorders>
              <w:top w:val="single" w:sz="4" w:space="0" w:color="auto"/>
              <w:bottom w:val="nil"/>
            </w:tcBorders>
            <w:shd w:val="clear" w:color="auto" w:fill="auto"/>
            <w:vAlign w:val="center"/>
          </w:tcPr>
          <w:p w14:paraId="12BF48FA" w14:textId="77777777" w:rsidR="00245940" w:rsidRPr="0023367D" w:rsidRDefault="00245940" w:rsidP="00335619">
            <w:pPr>
              <w:jc w:val="center"/>
              <w:rPr>
                <w:color w:val="000000"/>
                <w:sz w:val="22"/>
                <w:szCs w:val="22"/>
              </w:rPr>
            </w:pPr>
            <w:r w:rsidRPr="0023367D">
              <w:rPr>
                <w:color w:val="000000"/>
                <w:sz w:val="22"/>
                <w:szCs w:val="22"/>
              </w:rPr>
              <w:t>28.295</w:t>
            </w:r>
          </w:p>
        </w:tc>
        <w:tc>
          <w:tcPr>
            <w:tcW w:w="1260" w:type="dxa"/>
            <w:tcBorders>
              <w:top w:val="single" w:sz="4" w:space="0" w:color="auto"/>
              <w:bottom w:val="nil"/>
            </w:tcBorders>
            <w:vAlign w:val="center"/>
          </w:tcPr>
          <w:p w14:paraId="4F5F57B1" w14:textId="77777777" w:rsidR="00245940" w:rsidRPr="0023367D" w:rsidRDefault="00245940" w:rsidP="00335619">
            <w:pPr>
              <w:jc w:val="center"/>
              <w:rPr>
                <w:color w:val="000000"/>
                <w:sz w:val="22"/>
                <w:szCs w:val="22"/>
              </w:rPr>
            </w:pPr>
          </w:p>
        </w:tc>
        <w:tc>
          <w:tcPr>
            <w:tcW w:w="1122" w:type="dxa"/>
            <w:tcBorders>
              <w:top w:val="single" w:sz="4" w:space="0" w:color="auto"/>
              <w:bottom w:val="nil"/>
              <w:right w:val="single" w:sz="18" w:space="0" w:color="auto"/>
            </w:tcBorders>
            <w:vAlign w:val="center"/>
          </w:tcPr>
          <w:p w14:paraId="17B3F5F9" w14:textId="77777777" w:rsidR="00245940" w:rsidRPr="0023367D" w:rsidRDefault="00245940" w:rsidP="00335619">
            <w:pPr>
              <w:jc w:val="center"/>
              <w:rPr>
                <w:rFonts w:ascii="Arial" w:hAnsi="Arial" w:cs="Arial"/>
                <w:color w:val="000000"/>
                <w:sz w:val="22"/>
                <w:szCs w:val="22"/>
              </w:rPr>
            </w:pPr>
            <w:r w:rsidRPr="0023367D">
              <w:rPr>
                <w:color w:val="000000"/>
                <w:sz w:val="22"/>
                <w:szCs w:val="22"/>
              </w:rPr>
              <w:t>35.746</w:t>
            </w:r>
          </w:p>
        </w:tc>
        <w:tc>
          <w:tcPr>
            <w:tcW w:w="1308" w:type="dxa"/>
            <w:tcBorders>
              <w:top w:val="single" w:sz="4" w:space="0" w:color="auto"/>
              <w:left w:val="single" w:sz="18" w:space="0" w:color="auto"/>
              <w:bottom w:val="nil"/>
            </w:tcBorders>
            <w:vAlign w:val="center"/>
          </w:tcPr>
          <w:p w14:paraId="6DF00EAC" w14:textId="77777777" w:rsidR="00245940" w:rsidRPr="0023367D" w:rsidRDefault="00245940" w:rsidP="00335619">
            <w:pPr>
              <w:jc w:val="center"/>
              <w:rPr>
                <w:rFonts w:ascii="Arial" w:hAnsi="Arial" w:cs="Arial"/>
                <w:color w:val="000000"/>
                <w:sz w:val="22"/>
                <w:szCs w:val="22"/>
              </w:rPr>
            </w:pPr>
            <w:r w:rsidRPr="0023367D">
              <w:rPr>
                <w:color w:val="000000"/>
                <w:sz w:val="22"/>
                <w:szCs w:val="22"/>
              </w:rPr>
              <w:t>21.925</w:t>
            </w:r>
          </w:p>
        </w:tc>
        <w:tc>
          <w:tcPr>
            <w:tcW w:w="1080" w:type="dxa"/>
            <w:tcBorders>
              <w:top w:val="single" w:sz="4" w:space="0" w:color="auto"/>
              <w:bottom w:val="nil"/>
            </w:tcBorders>
            <w:vAlign w:val="center"/>
          </w:tcPr>
          <w:p w14:paraId="2D6FC5AF" w14:textId="77777777" w:rsidR="00245940" w:rsidRPr="0023367D" w:rsidRDefault="00245940" w:rsidP="00335619">
            <w:pPr>
              <w:jc w:val="center"/>
              <w:rPr>
                <w:color w:val="000000"/>
                <w:sz w:val="22"/>
                <w:szCs w:val="22"/>
              </w:rPr>
            </w:pPr>
          </w:p>
        </w:tc>
        <w:tc>
          <w:tcPr>
            <w:tcW w:w="1122" w:type="dxa"/>
            <w:tcBorders>
              <w:top w:val="single" w:sz="4" w:space="0" w:color="auto"/>
              <w:bottom w:val="nil"/>
            </w:tcBorders>
            <w:shd w:val="clear" w:color="auto" w:fill="auto"/>
            <w:vAlign w:val="center"/>
          </w:tcPr>
          <w:p w14:paraId="33FFA550" w14:textId="77777777" w:rsidR="00245940" w:rsidRPr="0023367D" w:rsidRDefault="00245940" w:rsidP="00335619">
            <w:pPr>
              <w:jc w:val="center"/>
              <w:rPr>
                <w:rFonts w:ascii="Arial" w:hAnsi="Arial" w:cs="Arial"/>
                <w:color w:val="000000"/>
                <w:sz w:val="22"/>
                <w:szCs w:val="22"/>
              </w:rPr>
            </w:pPr>
            <w:r w:rsidRPr="0023367D">
              <w:rPr>
                <w:color w:val="000000"/>
                <w:sz w:val="22"/>
                <w:szCs w:val="22"/>
              </w:rPr>
              <w:t>27.863</w:t>
            </w:r>
          </w:p>
        </w:tc>
      </w:tr>
      <w:tr w:rsidR="00245940" w:rsidRPr="0023367D" w14:paraId="024D3280" w14:textId="77777777" w:rsidTr="00245940">
        <w:trPr>
          <w:jc w:val="center"/>
        </w:trPr>
        <w:tc>
          <w:tcPr>
            <w:tcW w:w="2653" w:type="dxa"/>
            <w:vMerge/>
            <w:shd w:val="clear" w:color="auto" w:fill="auto"/>
            <w:vAlign w:val="center"/>
          </w:tcPr>
          <w:p w14:paraId="4E51DCCA" w14:textId="77777777" w:rsidR="00245940" w:rsidRPr="0023367D" w:rsidRDefault="00245940" w:rsidP="00335619">
            <w:pPr>
              <w:rPr>
                <w:sz w:val="22"/>
                <w:lang w:bidi="he-IL"/>
              </w:rPr>
            </w:pPr>
          </w:p>
        </w:tc>
        <w:tc>
          <w:tcPr>
            <w:tcW w:w="1260" w:type="dxa"/>
            <w:tcBorders>
              <w:top w:val="nil"/>
            </w:tcBorders>
            <w:shd w:val="clear" w:color="auto" w:fill="auto"/>
            <w:vAlign w:val="center"/>
          </w:tcPr>
          <w:p w14:paraId="3590042E" w14:textId="77777777" w:rsidR="00245940" w:rsidRPr="0023367D" w:rsidRDefault="00245940" w:rsidP="00335619">
            <w:pPr>
              <w:jc w:val="center"/>
              <w:rPr>
                <w:sz w:val="22"/>
                <w:lang w:bidi="he-IL"/>
              </w:rPr>
            </w:pPr>
            <w:r w:rsidRPr="0023367D">
              <w:rPr>
                <w:color w:val="000000"/>
                <w:sz w:val="22"/>
                <w:szCs w:val="22"/>
              </w:rPr>
              <w:t>(76.2)</w:t>
            </w:r>
            <w:r w:rsidRPr="0023367D">
              <w:rPr>
                <w:color w:val="000000"/>
                <w:sz w:val="22"/>
                <w:szCs w:val="22"/>
                <w:vertAlign w:val="superscript"/>
              </w:rPr>
              <w:t>***</w:t>
            </w:r>
          </w:p>
        </w:tc>
        <w:tc>
          <w:tcPr>
            <w:tcW w:w="1260" w:type="dxa"/>
            <w:tcBorders>
              <w:top w:val="nil"/>
            </w:tcBorders>
            <w:vAlign w:val="center"/>
          </w:tcPr>
          <w:p w14:paraId="70FD2788" w14:textId="77777777" w:rsidR="00245940" w:rsidRPr="0023367D" w:rsidRDefault="00245940" w:rsidP="00335619">
            <w:pPr>
              <w:jc w:val="center"/>
              <w:rPr>
                <w:color w:val="000000"/>
                <w:sz w:val="22"/>
                <w:szCs w:val="22"/>
              </w:rPr>
            </w:pPr>
          </w:p>
        </w:tc>
        <w:tc>
          <w:tcPr>
            <w:tcW w:w="1122" w:type="dxa"/>
            <w:tcBorders>
              <w:top w:val="nil"/>
              <w:right w:val="single" w:sz="18" w:space="0" w:color="auto"/>
            </w:tcBorders>
            <w:vAlign w:val="center"/>
          </w:tcPr>
          <w:p w14:paraId="3AE28FE8" w14:textId="77777777" w:rsidR="00245940" w:rsidRPr="0023367D" w:rsidRDefault="00245940" w:rsidP="00335619">
            <w:pPr>
              <w:jc w:val="center"/>
              <w:rPr>
                <w:sz w:val="22"/>
                <w:lang w:bidi="he-IL"/>
              </w:rPr>
            </w:pPr>
            <w:r w:rsidRPr="0023367D">
              <w:rPr>
                <w:color w:val="000000"/>
                <w:sz w:val="22"/>
                <w:szCs w:val="22"/>
              </w:rPr>
              <w:t>(96.4)</w:t>
            </w:r>
            <w:r w:rsidRPr="0023367D">
              <w:rPr>
                <w:color w:val="000000"/>
                <w:sz w:val="22"/>
                <w:szCs w:val="22"/>
                <w:vertAlign w:val="superscript"/>
              </w:rPr>
              <w:t>***</w:t>
            </w:r>
          </w:p>
        </w:tc>
        <w:tc>
          <w:tcPr>
            <w:tcW w:w="1308" w:type="dxa"/>
            <w:tcBorders>
              <w:top w:val="nil"/>
              <w:left w:val="single" w:sz="18" w:space="0" w:color="auto"/>
            </w:tcBorders>
            <w:vAlign w:val="center"/>
          </w:tcPr>
          <w:p w14:paraId="20B788BB" w14:textId="77777777" w:rsidR="00245940" w:rsidRPr="0023367D" w:rsidRDefault="00245940" w:rsidP="00335619">
            <w:pPr>
              <w:jc w:val="center"/>
              <w:rPr>
                <w:sz w:val="22"/>
                <w:lang w:bidi="he-IL"/>
              </w:rPr>
            </w:pPr>
            <w:r w:rsidRPr="0023367D">
              <w:rPr>
                <w:color w:val="000000"/>
                <w:sz w:val="22"/>
                <w:szCs w:val="22"/>
              </w:rPr>
              <w:t>(37.95)</w:t>
            </w:r>
            <w:r w:rsidRPr="0023367D">
              <w:rPr>
                <w:color w:val="000000"/>
                <w:sz w:val="22"/>
                <w:szCs w:val="22"/>
                <w:vertAlign w:val="superscript"/>
              </w:rPr>
              <w:t>***</w:t>
            </w:r>
          </w:p>
        </w:tc>
        <w:tc>
          <w:tcPr>
            <w:tcW w:w="1080" w:type="dxa"/>
            <w:tcBorders>
              <w:top w:val="nil"/>
            </w:tcBorders>
            <w:vAlign w:val="center"/>
          </w:tcPr>
          <w:p w14:paraId="3C05326B" w14:textId="77777777" w:rsidR="00245940" w:rsidRPr="0023367D" w:rsidRDefault="00245940" w:rsidP="00335619">
            <w:pPr>
              <w:jc w:val="center"/>
              <w:rPr>
                <w:color w:val="000000"/>
                <w:sz w:val="22"/>
                <w:szCs w:val="22"/>
              </w:rPr>
            </w:pPr>
          </w:p>
        </w:tc>
        <w:tc>
          <w:tcPr>
            <w:tcW w:w="1122" w:type="dxa"/>
            <w:tcBorders>
              <w:top w:val="nil"/>
            </w:tcBorders>
            <w:shd w:val="clear" w:color="auto" w:fill="auto"/>
            <w:vAlign w:val="center"/>
          </w:tcPr>
          <w:p w14:paraId="2E6C0D76" w14:textId="77777777" w:rsidR="00245940" w:rsidRPr="0023367D" w:rsidRDefault="00245940" w:rsidP="00335619">
            <w:pPr>
              <w:jc w:val="center"/>
              <w:rPr>
                <w:sz w:val="22"/>
                <w:lang w:bidi="he-IL"/>
              </w:rPr>
            </w:pPr>
            <w:r w:rsidRPr="0023367D">
              <w:rPr>
                <w:color w:val="000000"/>
                <w:sz w:val="22"/>
                <w:szCs w:val="22"/>
              </w:rPr>
              <w:t>(48.34)</w:t>
            </w:r>
            <w:r w:rsidRPr="0023367D">
              <w:rPr>
                <w:color w:val="000000"/>
                <w:sz w:val="22"/>
                <w:szCs w:val="22"/>
                <w:vertAlign w:val="superscript"/>
              </w:rPr>
              <w:t>***</w:t>
            </w:r>
          </w:p>
        </w:tc>
      </w:tr>
      <w:tr w:rsidR="00335619" w:rsidRPr="0023367D" w14:paraId="53F6D293" w14:textId="77777777" w:rsidTr="00245940">
        <w:trPr>
          <w:jc w:val="center"/>
        </w:trPr>
        <w:tc>
          <w:tcPr>
            <w:tcW w:w="2653" w:type="dxa"/>
            <w:shd w:val="clear" w:color="auto" w:fill="auto"/>
            <w:vAlign w:val="center"/>
          </w:tcPr>
          <w:p w14:paraId="669708AD" w14:textId="77777777" w:rsidR="00335619" w:rsidRPr="0023367D" w:rsidRDefault="00335619" w:rsidP="00335619">
            <w:pPr>
              <w:rPr>
                <w:sz w:val="22"/>
                <w:lang w:bidi="he-IL"/>
              </w:rPr>
            </w:pPr>
          </w:p>
        </w:tc>
        <w:tc>
          <w:tcPr>
            <w:tcW w:w="1260" w:type="dxa"/>
            <w:shd w:val="clear" w:color="auto" w:fill="auto"/>
            <w:vAlign w:val="center"/>
          </w:tcPr>
          <w:p w14:paraId="4B34CD2F" w14:textId="77777777" w:rsidR="00335619" w:rsidRPr="0023367D" w:rsidRDefault="00335619" w:rsidP="00335619">
            <w:pPr>
              <w:jc w:val="center"/>
              <w:rPr>
                <w:color w:val="000000"/>
                <w:sz w:val="22"/>
                <w:szCs w:val="22"/>
              </w:rPr>
            </w:pPr>
          </w:p>
        </w:tc>
        <w:tc>
          <w:tcPr>
            <w:tcW w:w="1260" w:type="dxa"/>
            <w:vAlign w:val="center"/>
          </w:tcPr>
          <w:p w14:paraId="43B069FA" w14:textId="77777777" w:rsidR="00335619" w:rsidRPr="0023367D" w:rsidRDefault="00335619" w:rsidP="00335619">
            <w:pPr>
              <w:jc w:val="center"/>
              <w:rPr>
                <w:color w:val="000000"/>
                <w:sz w:val="22"/>
                <w:szCs w:val="22"/>
              </w:rPr>
            </w:pPr>
          </w:p>
        </w:tc>
        <w:tc>
          <w:tcPr>
            <w:tcW w:w="1122" w:type="dxa"/>
            <w:tcBorders>
              <w:right w:val="single" w:sz="18" w:space="0" w:color="auto"/>
            </w:tcBorders>
            <w:vAlign w:val="center"/>
          </w:tcPr>
          <w:p w14:paraId="61DE76DB" w14:textId="77777777" w:rsidR="00335619" w:rsidRPr="0023367D" w:rsidRDefault="00335619" w:rsidP="00335619">
            <w:pPr>
              <w:jc w:val="center"/>
              <w:rPr>
                <w:color w:val="000000"/>
                <w:sz w:val="22"/>
                <w:szCs w:val="22"/>
              </w:rPr>
            </w:pPr>
          </w:p>
        </w:tc>
        <w:tc>
          <w:tcPr>
            <w:tcW w:w="1308" w:type="dxa"/>
            <w:tcBorders>
              <w:left w:val="single" w:sz="18" w:space="0" w:color="auto"/>
            </w:tcBorders>
            <w:vAlign w:val="center"/>
          </w:tcPr>
          <w:p w14:paraId="2E82A400" w14:textId="77777777" w:rsidR="00335619" w:rsidRPr="0023367D" w:rsidRDefault="00335619" w:rsidP="00335619">
            <w:pPr>
              <w:jc w:val="center"/>
              <w:rPr>
                <w:color w:val="000000"/>
                <w:sz w:val="22"/>
                <w:szCs w:val="22"/>
              </w:rPr>
            </w:pPr>
          </w:p>
        </w:tc>
        <w:tc>
          <w:tcPr>
            <w:tcW w:w="1080" w:type="dxa"/>
            <w:vAlign w:val="center"/>
          </w:tcPr>
          <w:p w14:paraId="64DA51D0" w14:textId="77777777" w:rsidR="00335619" w:rsidRPr="0023367D" w:rsidRDefault="00335619" w:rsidP="00335619">
            <w:pPr>
              <w:jc w:val="center"/>
              <w:rPr>
                <w:color w:val="000000"/>
                <w:sz w:val="22"/>
                <w:szCs w:val="22"/>
              </w:rPr>
            </w:pPr>
          </w:p>
        </w:tc>
        <w:tc>
          <w:tcPr>
            <w:tcW w:w="1122" w:type="dxa"/>
            <w:shd w:val="clear" w:color="auto" w:fill="auto"/>
            <w:vAlign w:val="center"/>
          </w:tcPr>
          <w:p w14:paraId="26819326" w14:textId="77777777" w:rsidR="00335619" w:rsidRPr="0023367D" w:rsidRDefault="00335619" w:rsidP="00335619">
            <w:pPr>
              <w:jc w:val="center"/>
              <w:rPr>
                <w:color w:val="000000"/>
                <w:sz w:val="22"/>
                <w:szCs w:val="22"/>
              </w:rPr>
            </w:pPr>
          </w:p>
        </w:tc>
      </w:tr>
      <w:tr w:rsidR="00335619" w:rsidRPr="0023367D" w14:paraId="342164B9" w14:textId="77777777" w:rsidTr="00245940">
        <w:trPr>
          <w:trHeight w:val="432"/>
          <w:jc w:val="center"/>
        </w:trPr>
        <w:tc>
          <w:tcPr>
            <w:tcW w:w="2653" w:type="dxa"/>
            <w:shd w:val="clear" w:color="auto" w:fill="auto"/>
            <w:vAlign w:val="center"/>
          </w:tcPr>
          <w:p w14:paraId="3EF92CF7" w14:textId="77777777" w:rsidR="00335619" w:rsidRPr="0023367D" w:rsidRDefault="00335619" w:rsidP="00335619">
            <w:pPr>
              <w:rPr>
                <w:sz w:val="22"/>
                <w:lang w:bidi="he-IL"/>
              </w:rPr>
            </w:pPr>
            <w:r w:rsidRPr="0023367D">
              <w:rPr>
                <w:sz w:val="22"/>
                <w:lang w:bidi="he-IL"/>
              </w:rPr>
              <w:t>Adj. R</w:t>
            </w:r>
            <w:r w:rsidRPr="0023367D">
              <w:rPr>
                <w:sz w:val="22"/>
                <w:vertAlign w:val="superscript"/>
                <w:lang w:bidi="he-IL"/>
              </w:rPr>
              <w:t>2</w:t>
            </w:r>
          </w:p>
        </w:tc>
        <w:tc>
          <w:tcPr>
            <w:tcW w:w="1260" w:type="dxa"/>
            <w:shd w:val="clear" w:color="auto" w:fill="auto"/>
            <w:vAlign w:val="center"/>
          </w:tcPr>
          <w:p w14:paraId="783ED838" w14:textId="77777777" w:rsidR="00335619" w:rsidRPr="0023367D" w:rsidRDefault="00335619" w:rsidP="00335619">
            <w:pPr>
              <w:jc w:val="center"/>
              <w:rPr>
                <w:color w:val="000000"/>
                <w:sz w:val="22"/>
                <w:szCs w:val="22"/>
              </w:rPr>
            </w:pPr>
            <w:r w:rsidRPr="0023367D">
              <w:rPr>
                <w:color w:val="000000"/>
                <w:sz w:val="22"/>
                <w:szCs w:val="22"/>
              </w:rPr>
              <w:t>41.27%</w:t>
            </w:r>
          </w:p>
        </w:tc>
        <w:tc>
          <w:tcPr>
            <w:tcW w:w="1260" w:type="dxa"/>
            <w:vAlign w:val="center"/>
          </w:tcPr>
          <w:p w14:paraId="1DF9CA0B" w14:textId="77777777" w:rsidR="00335619" w:rsidRPr="0023367D" w:rsidRDefault="00335619" w:rsidP="00335619">
            <w:pPr>
              <w:jc w:val="center"/>
              <w:rPr>
                <w:color w:val="000000"/>
                <w:sz w:val="22"/>
                <w:szCs w:val="22"/>
              </w:rPr>
            </w:pPr>
            <w:r w:rsidRPr="0023367D">
              <w:rPr>
                <w:color w:val="000000"/>
                <w:sz w:val="22"/>
                <w:szCs w:val="22"/>
              </w:rPr>
              <w:t>23.98%</w:t>
            </w:r>
          </w:p>
        </w:tc>
        <w:tc>
          <w:tcPr>
            <w:tcW w:w="1122" w:type="dxa"/>
            <w:tcBorders>
              <w:right w:val="single" w:sz="18" w:space="0" w:color="auto"/>
            </w:tcBorders>
            <w:vAlign w:val="center"/>
          </w:tcPr>
          <w:p w14:paraId="12C8B87A" w14:textId="77777777" w:rsidR="00335619" w:rsidRPr="0023367D" w:rsidRDefault="00335619" w:rsidP="00335619">
            <w:pPr>
              <w:jc w:val="center"/>
              <w:rPr>
                <w:color w:val="000000"/>
                <w:sz w:val="22"/>
                <w:szCs w:val="22"/>
              </w:rPr>
            </w:pPr>
            <w:r w:rsidRPr="0023367D">
              <w:rPr>
                <w:color w:val="000000"/>
                <w:sz w:val="22"/>
                <w:szCs w:val="22"/>
              </w:rPr>
              <w:t>32.02%</w:t>
            </w:r>
          </w:p>
        </w:tc>
        <w:tc>
          <w:tcPr>
            <w:tcW w:w="1308" w:type="dxa"/>
            <w:tcBorders>
              <w:left w:val="single" w:sz="18" w:space="0" w:color="auto"/>
            </w:tcBorders>
            <w:vAlign w:val="center"/>
          </w:tcPr>
          <w:p w14:paraId="3959E7CD" w14:textId="77777777" w:rsidR="00335619" w:rsidRPr="0023367D" w:rsidRDefault="00335619" w:rsidP="00335619">
            <w:pPr>
              <w:jc w:val="center"/>
              <w:rPr>
                <w:color w:val="000000"/>
                <w:sz w:val="22"/>
                <w:szCs w:val="22"/>
              </w:rPr>
            </w:pPr>
            <w:r w:rsidRPr="0023367D">
              <w:rPr>
                <w:color w:val="000000"/>
                <w:sz w:val="22"/>
                <w:szCs w:val="22"/>
              </w:rPr>
              <w:t>35.57%</w:t>
            </w:r>
          </w:p>
        </w:tc>
        <w:tc>
          <w:tcPr>
            <w:tcW w:w="1080" w:type="dxa"/>
            <w:vAlign w:val="center"/>
          </w:tcPr>
          <w:p w14:paraId="491E8840" w14:textId="77777777" w:rsidR="00335619" w:rsidRPr="0023367D" w:rsidRDefault="00335619" w:rsidP="00335619">
            <w:pPr>
              <w:jc w:val="center"/>
              <w:rPr>
                <w:color w:val="000000"/>
                <w:sz w:val="22"/>
                <w:szCs w:val="22"/>
              </w:rPr>
            </w:pPr>
            <w:r w:rsidRPr="0023367D">
              <w:rPr>
                <w:color w:val="000000"/>
                <w:sz w:val="22"/>
                <w:szCs w:val="22"/>
              </w:rPr>
              <w:t>21.09%</w:t>
            </w:r>
          </w:p>
        </w:tc>
        <w:tc>
          <w:tcPr>
            <w:tcW w:w="1122" w:type="dxa"/>
            <w:shd w:val="clear" w:color="auto" w:fill="auto"/>
            <w:vAlign w:val="center"/>
          </w:tcPr>
          <w:p w14:paraId="335DE4DB" w14:textId="77777777" w:rsidR="00335619" w:rsidRPr="0023367D" w:rsidRDefault="00335619" w:rsidP="00335619">
            <w:pPr>
              <w:jc w:val="center"/>
              <w:rPr>
                <w:color w:val="000000"/>
                <w:sz w:val="22"/>
                <w:szCs w:val="22"/>
              </w:rPr>
            </w:pPr>
            <w:r w:rsidRPr="0023367D">
              <w:rPr>
                <w:color w:val="000000"/>
                <w:sz w:val="22"/>
                <w:szCs w:val="22"/>
              </w:rPr>
              <w:t>26.70%</w:t>
            </w:r>
          </w:p>
        </w:tc>
      </w:tr>
      <w:tr w:rsidR="00335619" w:rsidRPr="0023367D" w14:paraId="3681EA65" w14:textId="77777777" w:rsidTr="00245940">
        <w:trPr>
          <w:trHeight w:val="432"/>
          <w:jc w:val="center"/>
        </w:trPr>
        <w:tc>
          <w:tcPr>
            <w:tcW w:w="2653" w:type="dxa"/>
            <w:shd w:val="clear" w:color="auto" w:fill="auto"/>
            <w:vAlign w:val="center"/>
          </w:tcPr>
          <w:p w14:paraId="0021EBC5" w14:textId="77777777" w:rsidR="00335619" w:rsidRPr="0023367D" w:rsidRDefault="00335619" w:rsidP="00335619">
            <w:pPr>
              <w:rPr>
                <w:sz w:val="22"/>
                <w:lang w:bidi="he-IL"/>
              </w:rPr>
            </w:pPr>
            <w:r w:rsidRPr="0023367D">
              <w:rPr>
                <w:sz w:val="22"/>
                <w:lang w:bidi="he-IL"/>
              </w:rPr>
              <w:t>Number of  Obs.</w:t>
            </w:r>
          </w:p>
        </w:tc>
        <w:tc>
          <w:tcPr>
            <w:tcW w:w="1260" w:type="dxa"/>
            <w:shd w:val="clear" w:color="auto" w:fill="auto"/>
            <w:vAlign w:val="center"/>
          </w:tcPr>
          <w:p w14:paraId="305EA0E3" w14:textId="77777777" w:rsidR="00335619" w:rsidRPr="0023367D" w:rsidRDefault="00335619" w:rsidP="00335619">
            <w:pPr>
              <w:jc w:val="center"/>
              <w:rPr>
                <w:color w:val="000000"/>
                <w:sz w:val="22"/>
                <w:szCs w:val="22"/>
              </w:rPr>
            </w:pPr>
            <w:r w:rsidRPr="0023367D">
              <w:rPr>
                <w:color w:val="000000"/>
                <w:sz w:val="22"/>
                <w:szCs w:val="22"/>
              </w:rPr>
              <w:t>19,732</w:t>
            </w:r>
          </w:p>
        </w:tc>
        <w:tc>
          <w:tcPr>
            <w:tcW w:w="1260" w:type="dxa"/>
            <w:vAlign w:val="center"/>
          </w:tcPr>
          <w:p w14:paraId="394EE069" w14:textId="77777777" w:rsidR="00335619" w:rsidRPr="0023367D" w:rsidRDefault="00335619" w:rsidP="00335619">
            <w:pPr>
              <w:jc w:val="center"/>
              <w:rPr>
                <w:color w:val="000000"/>
                <w:sz w:val="22"/>
                <w:szCs w:val="22"/>
              </w:rPr>
            </w:pPr>
            <w:r w:rsidRPr="0023367D">
              <w:rPr>
                <w:color w:val="000000"/>
                <w:sz w:val="22"/>
                <w:szCs w:val="22"/>
              </w:rPr>
              <w:t>19,732</w:t>
            </w:r>
          </w:p>
        </w:tc>
        <w:tc>
          <w:tcPr>
            <w:tcW w:w="1122" w:type="dxa"/>
            <w:tcBorders>
              <w:right w:val="single" w:sz="18" w:space="0" w:color="auto"/>
            </w:tcBorders>
            <w:vAlign w:val="center"/>
          </w:tcPr>
          <w:p w14:paraId="2203E9FF" w14:textId="77777777" w:rsidR="00335619" w:rsidRPr="0023367D" w:rsidRDefault="00335619" w:rsidP="00335619">
            <w:pPr>
              <w:jc w:val="center"/>
              <w:rPr>
                <w:color w:val="000000"/>
                <w:sz w:val="22"/>
                <w:szCs w:val="22"/>
              </w:rPr>
            </w:pPr>
            <w:r w:rsidRPr="0023367D">
              <w:rPr>
                <w:color w:val="000000"/>
                <w:sz w:val="22"/>
                <w:szCs w:val="22"/>
              </w:rPr>
              <w:t>19,732</w:t>
            </w:r>
          </w:p>
        </w:tc>
        <w:tc>
          <w:tcPr>
            <w:tcW w:w="1308" w:type="dxa"/>
            <w:tcBorders>
              <w:left w:val="single" w:sz="18" w:space="0" w:color="auto"/>
            </w:tcBorders>
            <w:vAlign w:val="center"/>
          </w:tcPr>
          <w:p w14:paraId="0B34AAEA" w14:textId="77777777" w:rsidR="00335619" w:rsidRPr="0023367D" w:rsidRDefault="00335619" w:rsidP="00335619">
            <w:pPr>
              <w:jc w:val="center"/>
              <w:rPr>
                <w:color w:val="000000"/>
                <w:sz w:val="22"/>
                <w:szCs w:val="22"/>
              </w:rPr>
            </w:pPr>
            <w:r w:rsidRPr="0023367D">
              <w:rPr>
                <w:color w:val="000000"/>
                <w:sz w:val="22"/>
                <w:szCs w:val="22"/>
              </w:rPr>
              <w:t>6,414</w:t>
            </w:r>
          </w:p>
        </w:tc>
        <w:tc>
          <w:tcPr>
            <w:tcW w:w="1080" w:type="dxa"/>
            <w:vAlign w:val="center"/>
          </w:tcPr>
          <w:p w14:paraId="7E8D8D39" w14:textId="77777777" w:rsidR="00335619" w:rsidRPr="0023367D" w:rsidRDefault="00335619" w:rsidP="00335619">
            <w:pPr>
              <w:jc w:val="center"/>
              <w:rPr>
                <w:color w:val="000000"/>
                <w:sz w:val="22"/>
                <w:szCs w:val="22"/>
              </w:rPr>
            </w:pPr>
            <w:r w:rsidRPr="0023367D">
              <w:rPr>
                <w:color w:val="000000"/>
                <w:sz w:val="22"/>
                <w:szCs w:val="22"/>
              </w:rPr>
              <w:t>6,414</w:t>
            </w:r>
          </w:p>
        </w:tc>
        <w:tc>
          <w:tcPr>
            <w:tcW w:w="1122" w:type="dxa"/>
            <w:shd w:val="clear" w:color="auto" w:fill="auto"/>
            <w:vAlign w:val="center"/>
          </w:tcPr>
          <w:p w14:paraId="176FC915" w14:textId="77777777" w:rsidR="00335619" w:rsidRPr="0023367D" w:rsidRDefault="00335619" w:rsidP="00335619">
            <w:pPr>
              <w:jc w:val="center"/>
              <w:rPr>
                <w:color w:val="000000"/>
                <w:sz w:val="22"/>
                <w:szCs w:val="22"/>
              </w:rPr>
            </w:pPr>
            <w:r w:rsidRPr="0023367D">
              <w:rPr>
                <w:color w:val="000000"/>
                <w:sz w:val="22"/>
                <w:szCs w:val="22"/>
              </w:rPr>
              <w:t>6,414</w:t>
            </w:r>
          </w:p>
        </w:tc>
      </w:tr>
    </w:tbl>
    <w:p w14:paraId="3109EE46" w14:textId="77777777" w:rsidR="00335619" w:rsidRPr="0023367D" w:rsidRDefault="00335619" w:rsidP="00335619">
      <w:pPr>
        <w:ind w:left="-540" w:firstLine="720"/>
        <w:rPr>
          <w:sz w:val="20"/>
          <w:szCs w:val="20"/>
          <w:vertAlign w:val="superscript"/>
        </w:rPr>
      </w:pPr>
    </w:p>
    <w:p w14:paraId="6506B524" w14:textId="77777777" w:rsidR="00335619" w:rsidRPr="0023367D" w:rsidRDefault="00335619" w:rsidP="00335619">
      <w:pPr>
        <w:tabs>
          <w:tab w:val="left" w:pos="10260"/>
        </w:tabs>
        <w:ind w:left="-180" w:right="-270"/>
        <w:rPr>
          <w:sz w:val="21"/>
          <w:szCs w:val="21"/>
        </w:rPr>
      </w:pPr>
      <w:r w:rsidRPr="0023367D">
        <w:rPr>
          <w:sz w:val="21"/>
          <w:szCs w:val="21"/>
        </w:rPr>
        <w:t>T-statistics are provided in parentheses with asterisks indicating significance at the 10% (</w:t>
      </w:r>
      <w:r w:rsidRPr="0023367D">
        <w:rPr>
          <w:sz w:val="18"/>
          <w:szCs w:val="21"/>
        </w:rPr>
        <w:t>*</w:t>
      </w:r>
      <w:r w:rsidRPr="0023367D">
        <w:rPr>
          <w:sz w:val="21"/>
          <w:szCs w:val="21"/>
        </w:rPr>
        <w:t>), 5% (</w:t>
      </w:r>
      <w:r w:rsidRPr="0023367D">
        <w:rPr>
          <w:sz w:val="18"/>
          <w:szCs w:val="21"/>
        </w:rPr>
        <w:t>**</w:t>
      </w:r>
      <w:r w:rsidRPr="0023367D">
        <w:rPr>
          <w:sz w:val="21"/>
          <w:szCs w:val="21"/>
        </w:rPr>
        <w:t>) and 1% (</w:t>
      </w:r>
      <w:r w:rsidRPr="0023367D">
        <w:rPr>
          <w:sz w:val="18"/>
          <w:szCs w:val="21"/>
        </w:rPr>
        <w:t>***</w:t>
      </w:r>
      <w:r w:rsidRPr="0023367D">
        <w:rPr>
          <w:sz w:val="21"/>
          <w:szCs w:val="21"/>
        </w:rPr>
        <w:t xml:space="preserve">) levels, respectively, using a two-tailed test. </w:t>
      </w:r>
    </w:p>
    <w:p w14:paraId="4D600B61" w14:textId="77777777" w:rsidR="00335619" w:rsidRPr="0023367D" w:rsidRDefault="00335619" w:rsidP="00335619">
      <w:pPr>
        <w:tabs>
          <w:tab w:val="left" w:pos="10260"/>
        </w:tabs>
        <w:ind w:left="1440" w:right="810"/>
        <w:rPr>
          <w:sz w:val="20"/>
          <w:szCs w:val="20"/>
        </w:rPr>
      </w:pPr>
    </w:p>
    <w:p w14:paraId="6761E130" w14:textId="77777777" w:rsidR="00F554D2" w:rsidRDefault="00F554D2">
      <w:pPr>
        <w:rPr>
          <w:b/>
          <w:bCs/>
        </w:rPr>
      </w:pPr>
      <w:r>
        <w:rPr>
          <w:b/>
          <w:bCs/>
        </w:rPr>
        <w:br w:type="page"/>
      </w:r>
    </w:p>
    <w:p w14:paraId="78A17841" w14:textId="2180DB18" w:rsidR="00335619" w:rsidRPr="0023367D" w:rsidRDefault="00335619" w:rsidP="00335619">
      <w:pPr>
        <w:jc w:val="center"/>
        <w:outlineLvl w:val="0"/>
        <w:rPr>
          <w:b/>
          <w:bCs/>
        </w:rPr>
      </w:pPr>
      <w:r w:rsidRPr="0023367D">
        <w:rPr>
          <w:b/>
          <w:bCs/>
        </w:rPr>
        <w:t>Appendix B (continued)</w:t>
      </w:r>
    </w:p>
    <w:p w14:paraId="658F44A8" w14:textId="77777777" w:rsidR="00335619" w:rsidRPr="0023367D" w:rsidRDefault="00335619" w:rsidP="00335619">
      <w:pPr>
        <w:ind w:left="720"/>
        <w:contextualSpacing/>
        <w:jc w:val="center"/>
        <w:rPr>
          <w:b/>
          <w:bCs/>
        </w:rPr>
      </w:pPr>
      <w:r w:rsidRPr="0023367D">
        <w:rPr>
          <w:b/>
          <w:bCs/>
        </w:rPr>
        <w:t>Summary Results from Estimating Regressions (3) and (5)</w:t>
      </w:r>
    </w:p>
    <w:p w14:paraId="4449C25D" w14:textId="77777777" w:rsidR="00335619" w:rsidRPr="0023367D" w:rsidRDefault="00335619" w:rsidP="00335619">
      <w:pPr>
        <w:tabs>
          <w:tab w:val="left" w:pos="10260"/>
        </w:tabs>
        <w:ind w:left="1440" w:right="810"/>
        <w:rPr>
          <w:sz w:val="20"/>
          <w:szCs w:val="20"/>
        </w:rPr>
      </w:pPr>
    </w:p>
    <w:p w14:paraId="5CB241C0" w14:textId="2FE1FE4D" w:rsidR="00335619" w:rsidRPr="00F554D2" w:rsidRDefault="00335619" w:rsidP="00F554D2">
      <w:pPr>
        <w:pStyle w:val="ListParagraph"/>
        <w:numPr>
          <w:ilvl w:val="0"/>
          <w:numId w:val="26"/>
        </w:numPr>
        <w:ind w:hanging="720"/>
        <w:rPr>
          <w:b/>
          <w:iCs/>
        </w:rPr>
      </w:pPr>
      <w:r w:rsidRPr="00F554D2">
        <w:rPr>
          <w:b/>
          <w:iCs/>
        </w:rPr>
        <w:t>Summary Results from Estimating Regression (5):</w:t>
      </w:r>
    </w:p>
    <w:p w14:paraId="3D914608" w14:textId="77777777" w:rsidR="00335619" w:rsidRPr="0023367D" w:rsidRDefault="00335619" w:rsidP="00335619">
      <w:pPr>
        <w:ind w:left="1080"/>
        <w:contextualSpacing/>
        <w:rPr>
          <w:b/>
          <w:iCs/>
        </w:rPr>
      </w:pPr>
    </w:p>
    <w:p w14:paraId="09386E3C" w14:textId="77777777" w:rsidR="00335619" w:rsidRPr="0023367D" w:rsidRDefault="00335619" w:rsidP="00335619">
      <w:pPr>
        <w:ind w:left="-1440"/>
        <w:jc w:val="center"/>
        <w:rPr>
          <w:color w:val="000000"/>
        </w:rPr>
      </w:pPr>
      <w:proofErr w:type="spellStart"/>
      <w:r w:rsidRPr="0023367D">
        <w:t>R</w:t>
      </w:r>
      <w:r w:rsidRPr="0023367D">
        <w:rPr>
          <w:vertAlign w:val="superscript"/>
        </w:rPr>
        <w:t>BH</w:t>
      </w:r>
      <w:r w:rsidRPr="0023367D">
        <w:rPr>
          <w:vertAlign w:val="subscript"/>
        </w:rPr>
        <w:t>,j,t</w:t>
      </w:r>
      <w:proofErr w:type="spellEnd"/>
      <w:r w:rsidRPr="0023367D">
        <w:t xml:space="preserve"> = </w:t>
      </w:r>
      <w:r w:rsidRPr="0023367D">
        <w:rPr>
          <w:rFonts w:ascii="Blackadder ITC" w:hAnsi="Blackadder ITC" w:cs="Andalus"/>
          <w:sz w:val="28"/>
          <w:szCs w:val="28"/>
        </w:rPr>
        <w:t>f</w:t>
      </w:r>
      <w:r w:rsidRPr="0023367D">
        <w:t xml:space="preserve"> {∆</w:t>
      </w:r>
      <w:r w:rsidRPr="0023367D">
        <w:rPr>
          <w:color w:val="000000"/>
        </w:rPr>
        <w:t>ROA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xml:space="preserve">, </w:t>
      </w:r>
      <w:r w:rsidRPr="0023367D">
        <w:t>∆</w:t>
      </w:r>
      <w:r w:rsidRPr="0023367D">
        <w:rPr>
          <w:color w:val="000000"/>
        </w:rPr>
        <w:t xml:space="preserve"> (EBITDA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xml:space="preserve">/ </w:t>
      </w:r>
      <w:proofErr w:type="spellStart"/>
      <w:r w:rsidRPr="0023367D">
        <w:rPr>
          <w:color w:val="000000"/>
        </w:rPr>
        <w:t>Liab</w:t>
      </w:r>
      <w:proofErr w:type="spellEnd"/>
      <w:r w:rsidRPr="0023367D">
        <w:rPr>
          <w:color w:val="000000"/>
        </w:rPr>
        <w:t xml:space="preserve"> </w:t>
      </w:r>
      <w:proofErr w:type="spellStart"/>
      <w:r w:rsidRPr="0023367D">
        <w:rPr>
          <w:vertAlign w:val="subscript"/>
        </w:rPr>
        <w:t>j,t</w:t>
      </w:r>
      <w:proofErr w:type="spellEnd"/>
      <w:r w:rsidRPr="0023367D">
        <w:rPr>
          <w:color w:val="000000"/>
          <w:vertAlign w:val="subscript"/>
        </w:rPr>
        <w:t xml:space="preserve"> -1</w:t>
      </w:r>
      <w:r w:rsidRPr="0023367D">
        <w:rPr>
          <w:color w:val="000000"/>
        </w:rPr>
        <w:t xml:space="preserve">), </w:t>
      </w:r>
      <w:r w:rsidRPr="0023367D">
        <w:t>∆</w:t>
      </w:r>
      <w:r w:rsidRPr="0023367D">
        <w:rPr>
          <w:color w:val="000000"/>
        </w:rPr>
        <w:t xml:space="preserve"> (</w:t>
      </w:r>
      <w:proofErr w:type="spellStart"/>
      <w:r w:rsidRPr="0023367D">
        <w:rPr>
          <w:color w:val="000000"/>
        </w:rPr>
        <w:t>Liab</w:t>
      </w:r>
      <w:proofErr w:type="spellEnd"/>
      <w:r w:rsidRPr="0023367D">
        <w:rPr>
          <w:vertAlign w:val="subscript"/>
        </w:rPr>
        <w:t xml:space="preserve"> </w:t>
      </w:r>
      <w:proofErr w:type="spellStart"/>
      <w:r w:rsidRPr="0023367D">
        <w:rPr>
          <w:vertAlign w:val="subscript"/>
        </w:rPr>
        <w:t>j,t</w:t>
      </w:r>
      <w:proofErr w:type="spellEnd"/>
      <w:r w:rsidRPr="0023367D">
        <w:rPr>
          <w:color w:val="000000"/>
        </w:rPr>
        <w:t xml:space="preserve"> /Assets</w:t>
      </w:r>
      <w:r w:rsidRPr="0023367D">
        <w:rPr>
          <w:vertAlign w:val="subscript"/>
        </w:rPr>
        <w:t xml:space="preserve"> </w:t>
      </w:r>
      <w:proofErr w:type="spellStart"/>
      <w:r w:rsidRPr="0023367D">
        <w:rPr>
          <w:vertAlign w:val="subscript"/>
        </w:rPr>
        <w:t>j,t</w:t>
      </w:r>
      <w:proofErr w:type="spellEnd"/>
      <w:r w:rsidRPr="0023367D">
        <w:rPr>
          <w:color w:val="000000"/>
        </w:rPr>
        <w:t>), LOSS</w:t>
      </w:r>
      <w:r w:rsidRPr="0023367D">
        <w:rPr>
          <w:vertAlign w:val="subscript"/>
        </w:rPr>
        <w:t xml:space="preserve"> </w:t>
      </w:r>
      <w:proofErr w:type="spellStart"/>
      <w:r w:rsidRPr="0023367D">
        <w:rPr>
          <w:vertAlign w:val="subscript"/>
        </w:rPr>
        <w:t>j,t</w:t>
      </w:r>
      <w:proofErr w:type="spellEnd"/>
      <w:r w:rsidRPr="0023367D">
        <w:rPr>
          <w:color w:val="000000"/>
        </w:rPr>
        <w:t>,</w:t>
      </w:r>
    </w:p>
    <w:p w14:paraId="54E9B8A8" w14:textId="77777777" w:rsidR="00335619" w:rsidRPr="0023367D" w:rsidRDefault="00335619" w:rsidP="00335619">
      <w:pPr>
        <w:ind w:left="450"/>
        <w:jc w:val="center"/>
        <w:rPr>
          <w:color w:val="000000"/>
        </w:rPr>
      </w:pPr>
      <w:r w:rsidRPr="0023367D">
        <w:rPr>
          <w:color w:val="000000"/>
        </w:rPr>
        <w:t>LOSS*</w:t>
      </w:r>
      <w:r w:rsidRPr="0023367D">
        <w:t>∆</w:t>
      </w:r>
      <w:r w:rsidRPr="0023367D">
        <w:rPr>
          <w:color w:val="000000"/>
        </w:rPr>
        <w:t>ROA</w:t>
      </w:r>
      <w:r w:rsidRPr="0023367D">
        <w:rPr>
          <w:vertAlign w:val="subscript"/>
        </w:rPr>
        <w:t xml:space="preserve"> </w:t>
      </w:r>
      <w:proofErr w:type="spellStart"/>
      <w:r w:rsidRPr="0023367D">
        <w:rPr>
          <w:vertAlign w:val="subscript"/>
        </w:rPr>
        <w:t>j</w:t>
      </w:r>
      <w:proofErr w:type="gramStart"/>
      <w:r w:rsidRPr="0023367D">
        <w:rPr>
          <w:vertAlign w:val="subscript"/>
        </w:rPr>
        <w:t>,t</w:t>
      </w:r>
      <w:proofErr w:type="spellEnd"/>
      <w:proofErr w:type="gramEnd"/>
      <w:r w:rsidRPr="0023367D">
        <w:rPr>
          <w:color w:val="000000"/>
          <w:vertAlign w:val="subscript"/>
        </w:rPr>
        <w:t xml:space="preserve"> </w:t>
      </w:r>
      <w:r w:rsidRPr="0023367D">
        <w:rPr>
          <w:color w:val="000000"/>
        </w:rPr>
        <w:t xml:space="preserve">, LOSS * </w:t>
      </w:r>
      <w:r w:rsidRPr="0023367D">
        <w:t>∆</w:t>
      </w:r>
      <w:r w:rsidRPr="0023367D">
        <w:rPr>
          <w:color w:val="000000"/>
        </w:rPr>
        <w:t xml:space="preserve"> (EBITDA</w:t>
      </w:r>
      <w:r w:rsidRPr="0023367D">
        <w:rPr>
          <w:vertAlign w:val="subscript"/>
        </w:rPr>
        <w:t xml:space="preserve"> </w:t>
      </w:r>
      <w:proofErr w:type="spellStart"/>
      <w:r w:rsidRPr="0023367D">
        <w:rPr>
          <w:vertAlign w:val="subscript"/>
        </w:rPr>
        <w:t>j,t</w:t>
      </w:r>
      <w:proofErr w:type="spellEnd"/>
      <w:r w:rsidRPr="0023367D">
        <w:rPr>
          <w:color w:val="000000"/>
          <w:vertAlign w:val="subscript"/>
        </w:rPr>
        <w:t xml:space="preserve">  </w:t>
      </w:r>
      <w:r w:rsidRPr="0023367D">
        <w:rPr>
          <w:color w:val="000000"/>
        </w:rPr>
        <w:t xml:space="preserve">/ </w:t>
      </w:r>
      <w:proofErr w:type="spellStart"/>
      <w:r w:rsidRPr="0023367D">
        <w:rPr>
          <w:color w:val="000000"/>
        </w:rPr>
        <w:t>Liab</w:t>
      </w:r>
      <w:proofErr w:type="spellEnd"/>
      <w:r w:rsidRPr="0023367D">
        <w:rPr>
          <w:color w:val="000000"/>
        </w:rPr>
        <w:t xml:space="preserve"> </w:t>
      </w:r>
      <w:proofErr w:type="spellStart"/>
      <w:r w:rsidRPr="0023367D">
        <w:rPr>
          <w:vertAlign w:val="subscript"/>
        </w:rPr>
        <w:t>j,t</w:t>
      </w:r>
      <w:proofErr w:type="spellEnd"/>
      <w:r w:rsidRPr="0023367D">
        <w:rPr>
          <w:color w:val="000000"/>
          <w:vertAlign w:val="subscript"/>
        </w:rPr>
        <w:t xml:space="preserve"> -1</w:t>
      </w:r>
      <w:r w:rsidRPr="0023367D">
        <w:rPr>
          <w:color w:val="000000"/>
        </w:rPr>
        <w:t xml:space="preserve">), LOSS* </w:t>
      </w:r>
      <w:r w:rsidRPr="0023367D">
        <w:t>∆</w:t>
      </w:r>
      <w:r w:rsidRPr="0023367D">
        <w:rPr>
          <w:color w:val="000000"/>
        </w:rPr>
        <w:t xml:space="preserve"> (</w:t>
      </w:r>
      <w:proofErr w:type="spellStart"/>
      <w:r w:rsidRPr="0023367D">
        <w:rPr>
          <w:color w:val="000000"/>
        </w:rPr>
        <w:t>Liab</w:t>
      </w:r>
      <w:proofErr w:type="spellEnd"/>
      <w:r w:rsidRPr="0023367D">
        <w:rPr>
          <w:vertAlign w:val="subscript"/>
        </w:rPr>
        <w:t xml:space="preserve"> </w:t>
      </w:r>
      <w:proofErr w:type="spellStart"/>
      <w:r w:rsidRPr="0023367D">
        <w:rPr>
          <w:vertAlign w:val="subscript"/>
        </w:rPr>
        <w:t>j,t</w:t>
      </w:r>
      <w:proofErr w:type="spellEnd"/>
      <w:r w:rsidRPr="0023367D">
        <w:rPr>
          <w:color w:val="000000"/>
        </w:rPr>
        <w:t xml:space="preserve"> /Assets</w:t>
      </w:r>
      <w:r w:rsidRPr="0023367D">
        <w:rPr>
          <w:vertAlign w:val="subscript"/>
        </w:rPr>
        <w:t xml:space="preserve"> </w:t>
      </w:r>
      <w:proofErr w:type="spellStart"/>
      <w:r w:rsidRPr="0023367D">
        <w:rPr>
          <w:vertAlign w:val="subscript"/>
        </w:rPr>
        <w:t>j,t</w:t>
      </w:r>
      <w:proofErr w:type="spellEnd"/>
      <w:r w:rsidRPr="0023367D">
        <w:rPr>
          <w:color w:val="000000"/>
        </w:rPr>
        <w:t xml:space="preserve">), </w:t>
      </w:r>
      <w:r w:rsidRPr="0023367D">
        <w:t>∆</w:t>
      </w:r>
      <w:proofErr w:type="spellStart"/>
      <w:r w:rsidRPr="0023367D">
        <w:rPr>
          <w:color w:val="000000"/>
        </w:rPr>
        <w:t>PROB</w:t>
      </w:r>
      <w:r w:rsidRPr="0023367D">
        <w:rPr>
          <w:vertAlign w:val="subscript"/>
        </w:rPr>
        <w:t>j,t</w:t>
      </w:r>
      <w:proofErr w:type="spellEnd"/>
      <w:r w:rsidRPr="0023367D">
        <w:rPr>
          <w:color w:val="000000"/>
        </w:rPr>
        <w:t>}</w:t>
      </w:r>
    </w:p>
    <w:p w14:paraId="255DDC1A" w14:textId="77777777" w:rsidR="00335619" w:rsidRPr="0023367D" w:rsidRDefault="00335619" w:rsidP="00335619">
      <w:pPr>
        <w:ind w:left="1530"/>
        <w:jc w:val="center"/>
        <w:rPr>
          <w:color w:val="000000"/>
        </w:rPr>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1170"/>
        <w:gridCol w:w="1350"/>
        <w:gridCol w:w="1170"/>
        <w:gridCol w:w="1170"/>
        <w:gridCol w:w="1170"/>
        <w:gridCol w:w="1170"/>
      </w:tblGrid>
      <w:tr w:rsidR="00335619" w:rsidRPr="0023367D" w14:paraId="24C3DB1B" w14:textId="77777777" w:rsidTr="00245940">
        <w:trPr>
          <w:trHeight w:val="458"/>
          <w:jc w:val="center"/>
        </w:trPr>
        <w:tc>
          <w:tcPr>
            <w:tcW w:w="2605" w:type="dxa"/>
            <w:tcBorders>
              <w:bottom w:val="single" w:sz="4" w:space="0" w:color="auto"/>
            </w:tcBorders>
            <w:shd w:val="clear" w:color="auto" w:fill="auto"/>
            <w:vAlign w:val="center"/>
          </w:tcPr>
          <w:p w14:paraId="1CD18779" w14:textId="77777777" w:rsidR="00335619" w:rsidRPr="0023367D" w:rsidRDefault="00335619" w:rsidP="00335619">
            <w:pPr>
              <w:rPr>
                <w:sz w:val="22"/>
                <w:lang w:bidi="he-IL"/>
              </w:rPr>
            </w:pPr>
            <w:r w:rsidRPr="0023367D">
              <w:rPr>
                <w:sz w:val="22"/>
                <w:lang w:bidi="he-IL"/>
              </w:rPr>
              <w:t> </w:t>
            </w:r>
          </w:p>
        </w:tc>
        <w:tc>
          <w:tcPr>
            <w:tcW w:w="3690" w:type="dxa"/>
            <w:gridSpan w:val="3"/>
            <w:tcBorders>
              <w:bottom w:val="single" w:sz="4" w:space="0" w:color="auto"/>
              <w:right w:val="single" w:sz="18" w:space="0" w:color="auto"/>
            </w:tcBorders>
            <w:shd w:val="clear" w:color="auto" w:fill="auto"/>
            <w:vAlign w:val="center"/>
          </w:tcPr>
          <w:p w14:paraId="2D46DF03" w14:textId="77777777" w:rsidR="00335619" w:rsidRPr="0023367D" w:rsidRDefault="00335619" w:rsidP="00335619">
            <w:pPr>
              <w:jc w:val="center"/>
              <w:rPr>
                <w:b/>
                <w:sz w:val="22"/>
              </w:rPr>
            </w:pPr>
            <w:r w:rsidRPr="0023367D">
              <w:rPr>
                <w:b/>
                <w:bCs/>
                <w:sz w:val="22"/>
                <w:lang w:bidi="he-IL"/>
              </w:rPr>
              <w:t>Full Sample</w:t>
            </w:r>
          </w:p>
        </w:tc>
        <w:tc>
          <w:tcPr>
            <w:tcW w:w="3510" w:type="dxa"/>
            <w:gridSpan w:val="3"/>
            <w:tcBorders>
              <w:left w:val="single" w:sz="18" w:space="0" w:color="auto"/>
              <w:bottom w:val="single" w:sz="4" w:space="0" w:color="auto"/>
            </w:tcBorders>
            <w:vAlign w:val="center"/>
          </w:tcPr>
          <w:p w14:paraId="12E63675" w14:textId="77777777" w:rsidR="00335619" w:rsidRPr="0023367D" w:rsidRDefault="00335619" w:rsidP="00335619">
            <w:pPr>
              <w:jc w:val="center"/>
              <w:rPr>
                <w:b/>
                <w:bCs/>
                <w:sz w:val="22"/>
                <w:lang w:bidi="he-IL"/>
              </w:rPr>
            </w:pPr>
            <w:r w:rsidRPr="0023367D">
              <w:rPr>
                <w:b/>
                <w:bCs/>
                <w:sz w:val="22"/>
                <w:lang w:bidi="he-IL"/>
              </w:rPr>
              <w:t>Homogenous-liquid Subsample</w:t>
            </w:r>
          </w:p>
        </w:tc>
      </w:tr>
      <w:tr w:rsidR="00245940" w:rsidRPr="0023367D" w14:paraId="67D71A3F" w14:textId="77777777" w:rsidTr="00245940">
        <w:trPr>
          <w:jc w:val="center"/>
        </w:trPr>
        <w:tc>
          <w:tcPr>
            <w:tcW w:w="2605" w:type="dxa"/>
            <w:vMerge w:val="restart"/>
            <w:shd w:val="clear" w:color="auto" w:fill="auto"/>
            <w:vAlign w:val="center"/>
          </w:tcPr>
          <w:p w14:paraId="08B961EB" w14:textId="77777777" w:rsidR="00245940" w:rsidRPr="0023367D" w:rsidRDefault="00245940" w:rsidP="00335619">
            <w:pPr>
              <w:rPr>
                <w:sz w:val="22"/>
                <w:lang w:bidi="he-IL"/>
              </w:rPr>
            </w:pPr>
            <w:r w:rsidRPr="0023367D">
              <w:rPr>
                <w:sz w:val="22"/>
                <w:lang w:bidi="he-IL"/>
              </w:rPr>
              <w:t xml:space="preserve">Intercept   </w:t>
            </w:r>
          </w:p>
        </w:tc>
        <w:tc>
          <w:tcPr>
            <w:tcW w:w="1170" w:type="dxa"/>
            <w:tcBorders>
              <w:bottom w:val="nil"/>
            </w:tcBorders>
            <w:shd w:val="clear" w:color="auto" w:fill="auto"/>
            <w:vAlign w:val="center"/>
          </w:tcPr>
          <w:p w14:paraId="4AEE364F" w14:textId="77777777" w:rsidR="00245940" w:rsidRPr="0023367D" w:rsidRDefault="00245940" w:rsidP="00335619">
            <w:pPr>
              <w:jc w:val="center"/>
              <w:rPr>
                <w:rFonts w:ascii="Arial" w:hAnsi="Arial" w:cs="Arial"/>
                <w:color w:val="000000"/>
                <w:sz w:val="22"/>
                <w:szCs w:val="22"/>
              </w:rPr>
            </w:pPr>
            <w:r w:rsidRPr="0023367D">
              <w:rPr>
                <w:color w:val="000000"/>
                <w:sz w:val="22"/>
                <w:szCs w:val="22"/>
              </w:rPr>
              <w:t>0.025</w:t>
            </w:r>
          </w:p>
        </w:tc>
        <w:tc>
          <w:tcPr>
            <w:tcW w:w="1350" w:type="dxa"/>
            <w:tcBorders>
              <w:bottom w:val="nil"/>
            </w:tcBorders>
            <w:vAlign w:val="center"/>
          </w:tcPr>
          <w:p w14:paraId="2FA6488C" w14:textId="77777777" w:rsidR="00245940" w:rsidRPr="0023367D" w:rsidRDefault="00245940" w:rsidP="00335619">
            <w:pPr>
              <w:jc w:val="center"/>
              <w:rPr>
                <w:color w:val="000000"/>
                <w:sz w:val="22"/>
                <w:szCs w:val="22"/>
              </w:rPr>
            </w:pPr>
            <w:r w:rsidRPr="0023367D">
              <w:rPr>
                <w:color w:val="000000"/>
                <w:sz w:val="22"/>
                <w:szCs w:val="22"/>
              </w:rPr>
              <w:t>0.023</w:t>
            </w:r>
          </w:p>
        </w:tc>
        <w:tc>
          <w:tcPr>
            <w:tcW w:w="1170" w:type="dxa"/>
            <w:tcBorders>
              <w:bottom w:val="nil"/>
              <w:right w:val="single" w:sz="18" w:space="0" w:color="auto"/>
            </w:tcBorders>
            <w:vAlign w:val="center"/>
          </w:tcPr>
          <w:p w14:paraId="1939E027" w14:textId="77777777" w:rsidR="00245940" w:rsidRPr="0023367D" w:rsidRDefault="00245940" w:rsidP="00335619">
            <w:pPr>
              <w:jc w:val="center"/>
              <w:rPr>
                <w:color w:val="000000"/>
                <w:sz w:val="22"/>
                <w:szCs w:val="22"/>
              </w:rPr>
            </w:pPr>
            <w:r w:rsidRPr="0023367D">
              <w:rPr>
                <w:color w:val="000000"/>
                <w:sz w:val="22"/>
                <w:szCs w:val="22"/>
              </w:rPr>
              <w:t>0.024</w:t>
            </w:r>
          </w:p>
        </w:tc>
        <w:tc>
          <w:tcPr>
            <w:tcW w:w="1170" w:type="dxa"/>
            <w:tcBorders>
              <w:left w:val="single" w:sz="18" w:space="0" w:color="auto"/>
              <w:bottom w:val="nil"/>
            </w:tcBorders>
            <w:vAlign w:val="center"/>
          </w:tcPr>
          <w:p w14:paraId="5C5901F9" w14:textId="77777777" w:rsidR="00245940" w:rsidRPr="0023367D" w:rsidRDefault="00245940" w:rsidP="00335619">
            <w:pPr>
              <w:jc w:val="center"/>
              <w:rPr>
                <w:rFonts w:ascii="Arial" w:hAnsi="Arial" w:cs="Arial"/>
                <w:color w:val="000000"/>
                <w:sz w:val="22"/>
                <w:szCs w:val="22"/>
              </w:rPr>
            </w:pPr>
            <w:r w:rsidRPr="0023367D">
              <w:rPr>
                <w:color w:val="000000"/>
                <w:sz w:val="22"/>
                <w:szCs w:val="22"/>
              </w:rPr>
              <w:t>0.023</w:t>
            </w:r>
          </w:p>
        </w:tc>
        <w:tc>
          <w:tcPr>
            <w:tcW w:w="1170" w:type="dxa"/>
            <w:tcBorders>
              <w:bottom w:val="nil"/>
            </w:tcBorders>
            <w:vAlign w:val="center"/>
          </w:tcPr>
          <w:p w14:paraId="5DAD8413" w14:textId="77777777" w:rsidR="00245940" w:rsidRPr="0023367D" w:rsidRDefault="00245940" w:rsidP="00335619">
            <w:pPr>
              <w:jc w:val="center"/>
              <w:rPr>
                <w:color w:val="000000"/>
                <w:sz w:val="22"/>
                <w:szCs w:val="22"/>
              </w:rPr>
            </w:pPr>
            <w:r w:rsidRPr="0023367D">
              <w:rPr>
                <w:color w:val="000000"/>
                <w:sz w:val="22"/>
                <w:szCs w:val="22"/>
              </w:rPr>
              <w:t>0.022</w:t>
            </w:r>
          </w:p>
        </w:tc>
        <w:tc>
          <w:tcPr>
            <w:tcW w:w="1170" w:type="dxa"/>
            <w:tcBorders>
              <w:bottom w:val="nil"/>
            </w:tcBorders>
            <w:shd w:val="clear" w:color="auto" w:fill="auto"/>
            <w:vAlign w:val="center"/>
          </w:tcPr>
          <w:p w14:paraId="64B0A5D7" w14:textId="77777777" w:rsidR="00245940" w:rsidRPr="0023367D" w:rsidRDefault="00245940" w:rsidP="00335619">
            <w:pPr>
              <w:jc w:val="center"/>
              <w:rPr>
                <w:color w:val="000000"/>
                <w:sz w:val="22"/>
                <w:szCs w:val="22"/>
              </w:rPr>
            </w:pPr>
            <w:r w:rsidRPr="0023367D">
              <w:rPr>
                <w:color w:val="000000"/>
                <w:sz w:val="22"/>
                <w:szCs w:val="22"/>
              </w:rPr>
              <w:t>0.025</w:t>
            </w:r>
          </w:p>
        </w:tc>
      </w:tr>
      <w:tr w:rsidR="00245940" w:rsidRPr="0023367D" w14:paraId="76EAA4E4" w14:textId="77777777" w:rsidTr="00245940">
        <w:trPr>
          <w:jc w:val="center"/>
        </w:trPr>
        <w:tc>
          <w:tcPr>
            <w:tcW w:w="2605" w:type="dxa"/>
            <w:vMerge/>
            <w:tcBorders>
              <w:bottom w:val="single" w:sz="4" w:space="0" w:color="auto"/>
            </w:tcBorders>
            <w:shd w:val="clear" w:color="auto" w:fill="auto"/>
            <w:vAlign w:val="center"/>
          </w:tcPr>
          <w:p w14:paraId="4216C75E" w14:textId="77777777" w:rsidR="00245940" w:rsidRPr="0023367D" w:rsidRDefault="00245940" w:rsidP="00335619">
            <w:pPr>
              <w:rPr>
                <w:sz w:val="22"/>
                <w:lang w:bidi="he-IL"/>
              </w:rPr>
            </w:pPr>
          </w:p>
        </w:tc>
        <w:tc>
          <w:tcPr>
            <w:tcW w:w="1170" w:type="dxa"/>
            <w:tcBorders>
              <w:top w:val="nil"/>
              <w:bottom w:val="single" w:sz="4" w:space="0" w:color="auto"/>
            </w:tcBorders>
            <w:shd w:val="clear" w:color="auto" w:fill="auto"/>
            <w:vAlign w:val="center"/>
          </w:tcPr>
          <w:p w14:paraId="7EEB2AE0" w14:textId="77777777" w:rsidR="00245940" w:rsidRPr="0023367D" w:rsidRDefault="00245940" w:rsidP="00335619">
            <w:pPr>
              <w:jc w:val="center"/>
              <w:rPr>
                <w:color w:val="000000"/>
                <w:sz w:val="22"/>
                <w:szCs w:val="22"/>
              </w:rPr>
            </w:pPr>
            <w:r w:rsidRPr="0023367D">
              <w:rPr>
                <w:color w:val="000000"/>
                <w:sz w:val="22"/>
                <w:szCs w:val="22"/>
              </w:rPr>
              <w:t>(21.22)</w:t>
            </w:r>
            <w:r w:rsidRPr="0023367D">
              <w:rPr>
                <w:color w:val="000000"/>
                <w:sz w:val="22"/>
                <w:szCs w:val="22"/>
                <w:vertAlign w:val="superscript"/>
              </w:rPr>
              <w:t>***</w:t>
            </w:r>
          </w:p>
        </w:tc>
        <w:tc>
          <w:tcPr>
            <w:tcW w:w="1350" w:type="dxa"/>
            <w:tcBorders>
              <w:top w:val="nil"/>
              <w:bottom w:val="single" w:sz="4" w:space="0" w:color="auto"/>
            </w:tcBorders>
            <w:vAlign w:val="center"/>
          </w:tcPr>
          <w:p w14:paraId="1ED8C964" w14:textId="77777777" w:rsidR="00245940" w:rsidRPr="0023367D" w:rsidRDefault="00245940" w:rsidP="00335619">
            <w:pPr>
              <w:jc w:val="center"/>
              <w:rPr>
                <w:color w:val="000000"/>
                <w:sz w:val="22"/>
                <w:szCs w:val="22"/>
              </w:rPr>
            </w:pPr>
            <w:r w:rsidRPr="0023367D">
              <w:rPr>
                <w:color w:val="000000"/>
                <w:sz w:val="22"/>
                <w:szCs w:val="22"/>
              </w:rPr>
              <w:t>(18.71)</w:t>
            </w:r>
            <w:r w:rsidRPr="0023367D">
              <w:rPr>
                <w:color w:val="000000"/>
                <w:sz w:val="22"/>
                <w:szCs w:val="22"/>
                <w:vertAlign w:val="superscript"/>
              </w:rPr>
              <w:t>***</w:t>
            </w:r>
          </w:p>
        </w:tc>
        <w:tc>
          <w:tcPr>
            <w:tcW w:w="1170" w:type="dxa"/>
            <w:tcBorders>
              <w:top w:val="nil"/>
              <w:bottom w:val="single" w:sz="4" w:space="0" w:color="auto"/>
              <w:right w:val="single" w:sz="18" w:space="0" w:color="auto"/>
            </w:tcBorders>
            <w:vAlign w:val="center"/>
          </w:tcPr>
          <w:p w14:paraId="7DB2B819" w14:textId="77777777" w:rsidR="00245940" w:rsidRPr="0023367D" w:rsidRDefault="00245940" w:rsidP="00335619">
            <w:pPr>
              <w:jc w:val="center"/>
              <w:rPr>
                <w:color w:val="000000"/>
                <w:sz w:val="22"/>
                <w:szCs w:val="22"/>
              </w:rPr>
            </w:pPr>
            <w:r w:rsidRPr="0023367D">
              <w:rPr>
                <w:color w:val="000000"/>
                <w:sz w:val="22"/>
                <w:szCs w:val="22"/>
              </w:rPr>
              <w:t>(22.19)</w:t>
            </w:r>
            <w:r w:rsidRPr="0023367D">
              <w:rPr>
                <w:color w:val="000000"/>
                <w:sz w:val="22"/>
                <w:szCs w:val="22"/>
                <w:vertAlign w:val="superscript"/>
              </w:rPr>
              <w:t>***</w:t>
            </w:r>
          </w:p>
        </w:tc>
        <w:tc>
          <w:tcPr>
            <w:tcW w:w="1170" w:type="dxa"/>
            <w:tcBorders>
              <w:top w:val="nil"/>
              <w:left w:val="single" w:sz="18" w:space="0" w:color="auto"/>
              <w:bottom w:val="single" w:sz="4" w:space="0" w:color="auto"/>
            </w:tcBorders>
            <w:vAlign w:val="center"/>
          </w:tcPr>
          <w:p w14:paraId="4C4D8ED1" w14:textId="77777777" w:rsidR="00245940" w:rsidRPr="0023367D" w:rsidRDefault="00245940" w:rsidP="00335619">
            <w:pPr>
              <w:jc w:val="center"/>
              <w:rPr>
                <w:color w:val="000000"/>
                <w:sz w:val="22"/>
                <w:szCs w:val="22"/>
              </w:rPr>
            </w:pPr>
            <w:r w:rsidRPr="0023367D">
              <w:rPr>
                <w:color w:val="000000"/>
                <w:sz w:val="22"/>
                <w:szCs w:val="22"/>
              </w:rPr>
              <w:t>(16.25)</w:t>
            </w:r>
            <w:r w:rsidRPr="0023367D">
              <w:rPr>
                <w:color w:val="000000"/>
                <w:sz w:val="22"/>
                <w:szCs w:val="22"/>
                <w:vertAlign w:val="superscript"/>
              </w:rPr>
              <w:t>***</w:t>
            </w:r>
          </w:p>
        </w:tc>
        <w:tc>
          <w:tcPr>
            <w:tcW w:w="1170" w:type="dxa"/>
            <w:tcBorders>
              <w:top w:val="nil"/>
              <w:bottom w:val="single" w:sz="4" w:space="0" w:color="auto"/>
            </w:tcBorders>
            <w:vAlign w:val="center"/>
          </w:tcPr>
          <w:p w14:paraId="566CCBF4" w14:textId="77777777" w:rsidR="00245940" w:rsidRPr="0023367D" w:rsidRDefault="00245940" w:rsidP="00335619">
            <w:pPr>
              <w:jc w:val="center"/>
              <w:rPr>
                <w:color w:val="000000"/>
                <w:sz w:val="22"/>
                <w:szCs w:val="22"/>
              </w:rPr>
            </w:pPr>
            <w:r w:rsidRPr="0023367D">
              <w:rPr>
                <w:color w:val="000000"/>
                <w:sz w:val="22"/>
                <w:szCs w:val="22"/>
              </w:rPr>
              <w:t>(14.63)</w:t>
            </w:r>
            <w:r w:rsidRPr="0023367D">
              <w:rPr>
                <w:color w:val="000000"/>
                <w:sz w:val="22"/>
                <w:szCs w:val="22"/>
                <w:vertAlign w:val="superscript"/>
              </w:rPr>
              <w:t>***</w:t>
            </w:r>
          </w:p>
        </w:tc>
        <w:tc>
          <w:tcPr>
            <w:tcW w:w="1170" w:type="dxa"/>
            <w:tcBorders>
              <w:top w:val="nil"/>
              <w:bottom w:val="single" w:sz="4" w:space="0" w:color="auto"/>
            </w:tcBorders>
            <w:shd w:val="clear" w:color="auto" w:fill="auto"/>
            <w:vAlign w:val="center"/>
          </w:tcPr>
          <w:p w14:paraId="26D93C4A" w14:textId="77777777" w:rsidR="00245940" w:rsidRPr="0023367D" w:rsidRDefault="00245940" w:rsidP="00335619">
            <w:pPr>
              <w:jc w:val="center"/>
              <w:rPr>
                <w:color w:val="000000"/>
                <w:sz w:val="22"/>
                <w:szCs w:val="22"/>
              </w:rPr>
            </w:pPr>
            <w:r w:rsidRPr="0023367D">
              <w:rPr>
                <w:color w:val="000000"/>
                <w:sz w:val="22"/>
                <w:szCs w:val="22"/>
              </w:rPr>
              <w:t>(18.97)</w:t>
            </w:r>
            <w:r w:rsidRPr="0023367D">
              <w:rPr>
                <w:color w:val="000000"/>
                <w:sz w:val="22"/>
                <w:szCs w:val="22"/>
                <w:vertAlign w:val="superscript"/>
              </w:rPr>
              <w:t>***</w:t>
            </w:r>
          </w:p>
        </w:tc>
      </w:tr>
      <w:tr w:rsidR="00245940" w:rsidRPr="0023367D" w14:paraId="1414C7CE" w14:textId="77777777" w:rsidTr="00245940">
        <w:trPr>
          <w:jc w:val="center"/>
        </w:trPr>
        <w:tc>
          <w:tcPr>
            <w:tcW w:w="2605" w:type="dxa"/>
            <w:vMerge w:val="restart"/>
            <w:shd w:val="clear" w:color="auto" w:fill="auto"/>
            <w:vAlign w:val="center"/>
          </w:tcPr>
          <w:p w14:paraId="22C4C002" w14:textId="77777777" w:rsidR="00245940" w:rsidRPr="0023367D" w:rsidRDefault="00245940" w:rsidP="00335619">
            <w:pPr>
              <w:rPr>
                <w:sz w:val="22"/>
                <w:lang w:bidi="he-IL"/>
              </w:rPr>
            </w:pPr>
            <w:r w:rsidRPr="0023367D">
              <w:rPr>
                <w:sz w:val="22"/>
              </w:rPr>
              <w:t>∆</w:t>
            </w:r>
            <w:r w:rsidRPr="0023367D">
              <w:rPr>
                <w:color w:val="000000"/>
                <w:sz w:val="22"/>
              </w:rPr>
              <w:t>ROA</w:t>
            </w:r>
            <w:r w:rsidRPr="0023367D">
              <w:rPr>
                <w:sz w:val="22"/>
                <w:vertAlign w:val="subscript"/>
              </w:rPr>
              <w:t xml:space="preserve"> </w:t>
            </w:r>
            <w:proofErr w:type="spellStart"/>
            <w:r w:rsidRPr="0023367D">
              <w:rPr>
                <w:sz w:val="22"/>
                <w:vertAlign w:val="subscript"/>
              </w:rPr>
              <w:t>j,t</w:t>
            </w:r>
            <w:proofErr w:type="spellEnd"/>
            <w:r w:rsidRPr="0023367D">
              <w:rPr>
                <w:sz w:val="22"/>
                <w:lang w:bidi="he-IL"/>
              </w:rPr>
              <w:t xml:space="preserve"> </w:t>
            </w:r>
          </w:p>
        </w:tc>
        <w:tc>
          <w:tcPr>
            <w:tcW w:w="1170" w:type="dxa"/>
            <w:tcBorders>
              <w:bottom w:val="nil"/>
            </w:tcBorders>
            <w:shd w:val="clear" w:color="auto" w:fill="auto"/>
            <w:vAlign w:val="center"/>
          </w:tcPr>
          <w:p w14:paraId="7106C5E5" w14:textId="77777777" w:rsidR="00245940" w:rsidRPr="0023367D" w:rsidRDefault="00245940" w:rsidP="00335619">
            <w:pPr>
              <w:jc w:val="center"/>
              <w:rPr>
                <w:rFonts w:ascii="Arial" w:hAnsi="Arial" w:cs="Arial"/>
                <w:color w:val="000000"/>
                <w:sz w:val="22"/>
                <w:szCs w:val="22"/>
              </w:rPr>
            </w:pPr>
            <w:r w:rsidRPr="0023367D">
              <w:rPr>
                <w:color w:val="000000"/>
                <w:sz w:val="22"/>
                <w:szCs w:val="22"/>
              </w:rPr>
              <w:t>0.194</w:t>
            </w:r>
          </w:p>
        </w:tc>
        <w:tc>
          <w:tcPr>
            <w:tcW w:w="1350" w:type="dxa"/>
            <w:tcBorders>
              <w:bottom w:val="nil"/>
            </w:tcBorders>
            <w:vAlign w:val="center"/>
          </w:tcPr>
          <w:p w14:paraId="2BE2D2BC" w14:textId="77777777" w:rsidR="00245940" w:rsidRPr="0023367D" w:rsidRDefault="00245940" w:rsidP="00335619">
            <w:pPr>
              <w:jc w:val="center"/>
              <w:rPr>
                <w:color w:val="000000"/>
                <w:sz w:val="22"/>
                <w:szCs w:val="22"/>
              </w:rPr>
            </w:pPr>
            <w:r w:rsidRPr="0023367D">
              <w:rPr>
                <w:color w:val="000000"/>
                <w:sz w:val="22"/>
                <w:szCs w:val="22"/>
              </w:rPr>
              <w:t>0.275</w:t>
            </w:r>
          </w:p>
        </w:tc>
        <w:tc>
          <w:tcPr>
            <w:tcW w:w="1170" w:type="dxa"/>
            <w:tcBorders>
              <w:bottom w:val="nil"/>
              <w:right w:val="single" w:sz="18" w:space="0" w:color="auto"/>
            </w:tcBorders>
            <w:vAlign w:val="center"/>
          </w:tcPr>
          <w:p w14:paraId="37BB498B" w14:textId="77777777" w:rsidR="00245940" w:rsidRPr="0023367D" w:rsidRDefault="00245940" w:rsidP="00335619">
            <w:pPr>
              <w:jc w:val="center"/>
              <w:rPr>
                <w:color w:val="000000"/>
                <w:sz w:val="22"/>
                <w:szCs w:val="22"/>
              </w:rPr>
            </w:pPr>
          </w:p>
        </w:tc>
        <w:tc>
          <w:tcPr>
            <w:tcW w:w="1170" w:type="dxa"/>
            <w:tcBorders>
              <w:left w:val="single" w:sz="18" w:space="0" w:color="auto"/>
              <w:bottom w:val="nil"/>
            </w:tcBorders>
            <w:vAlign w:val="center"/>
          </w:tcPr>
          <w:p w14:paraId="27012BC5" w14:textId="77777777" w:rsidR="00245940" w:rsidRPr="0023367D" w:rsidRDefault="00245940" w:rsidP="00335619">
            <w:pPr>
              <w:jc w:val="center"/>
              <w:rPr>
                <w:rFonts w:ascii="Arial" w:hAnsi="Arial" w:cs="Arial"/>
                <w:color w:val="000000"/>
                <w:sz w:val="22"/>
                <w:szCs w:val="22"/>
              </w:rPr>
            </w:pPr>
            <w:r w:rsidRPr="0023367D">
              <w:rPr>
                <w:color w:val="000000"/>
                <w:sz w:val="22"/>
                <w:szCs w:val="22"/>
              </w:rPr>
              <w:t>0.178</w:t>
            </w:r>
          </w:p>
        </w:tc>
        <w:tc>
          <w:tcPr>
            <w:tcW w:w="1170" w:type="dxa"/>
            <w:tcBorders>
              <w:bottom w:val="nil"/>
            </w:tcBorders>
            <w:vAlign w:val="center"/>
          </w:tcPr>
          <w:p w14:paraId="72F8E8F9" w14:textId="77777777" w:rsidR="00245940" w:rsidRPr="0023367D" w:rsidRDefault="00245940" w:rsidP="00335619">
            <w:pPr>
              <w:jc w:val="center"/>
              <w:rPr>
                <w:color w:val="000000"/>
                <w:sz w:val="22"/>
                <w:szCs w:val="22"/>
              </w:rPr>
            </w:pPr>
            <w:r w:rsidRPr="0023367D">
              <w:rPr>
                <w:color w:val="000000"/>
                <w:sz w:val="22"/>
                <w:szCs w:val="22"/>
              </w:rPr>
              <w:t>0.266</w:t>
            </w:r>
          </w:p>
        </w:tc>
        <w:tc>
          <w:tcPr>
            <w:tcW w:w="1170" w:type="dxa"/>
            <w:tcBorders>
              <w:bottom w:val="nil"/>
            </w:tcBorders>
            <w:shd w:val="clear" w:color="auto" w:fill="auto"/>
            <w:vAlign w:val="center"/>
          </w:tcPr>
          <w:p w14:paraId="520E9271" w14:textId="77777777" w:rsidR="00245940" w:rsidRPr="0023367D" w:rsidRDefault="00245940" w:rsidP="00335619">
            <w:pPr>
              <w:jc w:val="center"/>
              <w:rPr>
                <w:color w:val="000000"/>
                <w:sz w:val="22"/>
                <w:szCs w:val="22"/>
              </w:rPr>
            </w:pPr>
          </w:p>
        </w:tc>
      </w:tr>
      <w:tr w:rsidR="00245940" w:rsidRPr="0023367D" w14:paraId="41092EA5" w14:textId="77777777" w:rsidTr="00245940">
        <w:trPr>
          <w:jc w:val="center"/>
        </w:trPr>
        <w:tc>
          <w:tcPr>
            <w:tcW w:w="2605" w:type="dxa"/>
            <w:vMerge/>
            <w:tcBorders>
              <w:bottom w:val="single" w:sz="4" w:space="0" w:color="auto"/>
            </w:tcBorders>
            <w:shd w:val="clear" w:color="auto" w:fill="auto"/>
            <w:vAlign w:val="center"/>
          </w:tcPr>
          <w:p w14:paraId="7C41D9A3" w14:textId="77777777" w:rsidR="00245940" w:rsidRPr="0023367D" w:rsidRDefault="00245940" w:rsidP="00335619">
            <w:pPr>
              <w:rPr>
                <w:sz w:val="22"/>
                <w:lang w:bidi="he-IL"/>
              </w:rPr>
            </w:pPr>
          </w:p>
        </w:tc>
        <w:tc>
          <w:tcPr>
            <w:tcW w:w="1170" w:type="dxa"/>
            <w:tcBorders>
              <w:top w:val="nil"/>
              <w:bottom w:val="single" w:sz="4" w:space="0" w:color="auto"/>
            </w:tcBorders>
            <w:shd w:val="clear" w:color="auto" w:fill="auto"/>
            <w:vAlign w:val="center"/>
          </w:tcPr>
          <w:p w14:paraId="05473E13" w14:textId="77777777" w:rsidR="00245940" w:rsidRPr="0023367D" w:rsidRDefault="00245940" w:rsidP="00335619">
            <w:pPr>
              <w:jc w:val="center"/>
              <w:rPr>
                <w:color w:val="000000"/>
                <w:sz w:val="22"/>
                <w:szCs w:val="22"/>
              </w:rPr>
            </w:pPr>
            <w:r w:rsidRPr="0023367D">
              <w:rPr>
                <w:color w:val="000000"/>
                <w:sz w:val="22"/>
                <w:szCs w:val="22"/>
              </w:rPr>
              <w:t>(10.10)</w:t>
            </w:r>
            <w:r w:rsidRPr="0023367D">
              <w:rPr>
                <w:color w:val="000000"/>
                <w:sz w:val="22"/>
                <w:szCs w:val="22"/>
                <w:vertAlign w:val="superscript"/>
              </w:rPr>
              <w:t>***</w:t>
            </w:r>
          </w:p>
        </w:tc>
        <w:tc>
          <w:tcPr>
            <w:tcW w:w="1350" w:type="dxa"/>
            <w:tcBorders>
              <w:top w:val="nil"/>
              <w:bottom w:val="single" w:sz="4" w:space="0" w:color="auto"/>
            </w:tcBorders>
            <w:vAlign w:val="center"/>
          </w:tcPr>
          <w:p w14:paraId="19251C1F" w14:textId="77777777" w:rsidR="00245940" w:rsidRPr="0023367D" w:rsidRDefault="00245940" w:rsidP="00335619">
            <w:pPr>
              <w:jc w:val="center"/>
              <w:rPr>
                <w:color w:val="000000"/>
                <w:sz w:val="22"/>
                <w:szCs w:val="22"/>
              </w:rPr>
            </w:pPr>
            <w:r w:rsidRPr="0023367D">
              <w:rPr>
                <w:color w:val="000000"/>
                <w:sz w:val="22"/>
                <w:szCs w:val="22"/>
              </w:rPr>
              <w:t>(13.43)</w:t>
            </w:r>
            <w:r w:rsidRPr="0023367D">
              <w:rPr>
                <w:color w:val="000000"/>
                <w:sz w:val="22"/>
                <w:szCs w:val="22"/>
                <w:vertAlign w:val="superscript"/>
              </w:rPr>
              <w:t>***</w:t>
            </w:r>
          </w:p>
        </w:tc>
        <w:tc>
          <w:tcPr>
            <w:tcW w:w="1170" w:type="dxa"/>
            <w:tcBorders>
              <w:top w:val="nil"/>
              <w:bottom w:val="single" w:sz="4" w:space="0" w:color="auto"/>
              <w:right w:val="single" w:sz="18" w:space="0" w:color="auto"/>
            </w:tcBorders>
            <w:vAlign w:val="center"/>
          </w:tcPr>
          <w:p w14:paraId="3FB49419" w14:textId="77777777" w:rsidR="00245940" w:rsidRPr="0023367D" w:rsidRDefault="00245940" w:rsidP="00335619">
            <w:pPr>
              <w:jc w:val="center"/>
              <w:rPr>
                <w:color w:val="000000"/>
                <w:sz w:val="22"/>
                <w:szCs w:val="22"/>
              </w:rPr>
            </w:pPr>
          </w:p>
        </w:tc>
        <w:tc>
          <w:tcPr>
            <w:tcW w:w="1170" w:type="dxa"/>
            <w:tcBorders>
              <w:top w:val="nil"/>
              <w:left w:val="single" w:sz="18" w:space="0" w:color="auto"/>
              <w:bottom w:val="single" w:sz="4" w:space="0" w:color="auto"/>
            </w:tcBorders>
            <w:vAlign w:val="center"/>
          </w:tcPr>
          <w:p w14:paraId="0DA25DD3" w14:textId="77777777" w:rsidR="00245940" w:rsidRPr="0023367D" w:rsidRDefault="00245940" w:rsidP="00335619">
            <w:pPr>
              <w:jc w:val="center"/>
              <w:rPr>
                <w:color w:val="000000"/>
                <w:sz w:val="22"/>
                <w:szCs w:val="22"/>
              </w:rPr>
            </w:pPr>
            <w:r w:rsidRPr="0023367D">
              <w:rPr>
                <w:color w:val="000000"/>
                <w:sz w:val="22"/>
                <w:szCs w:val="22"/>
              </w:rPr>
              <w:t>(5.75)</w:t>
            </w:r>
            <w:r w:rsidRPr="0023367D">
              <w:rPr>
                <w:color w:val="000000"/>
                <w:sz w:val="22"/>
                <w:szCs w:val="22"/>
                <w:vertAlign w:val="superscript"/>
              </w:rPr>
              <w:t>***</w:t>
            </w:r>
          </w:p>
        </w:tc>
        <w:tc>
          <w:tcPr>
            <w:tcW w:w="1170" w:type="dxa"/>
            <w:tcBorders>
              <w:top w:val="nil"/>
              <w:bottom w:val="single" w:sz="4" w:space="0" w:color="auto"/>
            </w:tcBorders>
            <w:vAlign w:val="center"/>
          </w:tcPr>
          <w:p w14:paraId="28F619DB" w14:textId="77777777" w:rsidR="00245940" w:rsidRPr="0023367D" w:rsidRDefault="00245940" w:rsidP="00335619">
            <w:pPr>
              <w:jc w:val="center"/>
              <w:rPr>
                <w:color w:val="000000"/>
                <w:sz w:val="22"/>
                <w:szCs w:val="22"/>
              </w:rPr>
            </w:pPr>
            <w:r w:rsidRPr="0023367D">
              <w:rPr>
                <w:color w:val="000000"/>
                <w:sz w:val="22"/>
                <w:szCs w:val="22"/>
              </w:rPr>
              <w:t>(7.90)</w:t>
            </w:r>
            <w:r w:rsidRPr="0023367D">
              <w:rPr>
                <w:color w:val="000000"/>
                <w:sz w:val="22"/>
                <w:szCs w:val="22"/>
                <w:vertAlign w:val="superscript"/>
              </w:rPr>
              <w:t>***</w:t>
            </w:r>
          </w:p>
        </w:tc>
        <w:tc>
          <w:tcPr>
            <w:tcW w:w="1170" w:type="dxa"/>
            <w:tcBorders>
              <w:top w:val="nil"/>
              <w:bottom w:val="single" w:sz="4" w:space="0" w:color="auto"/>
            </w:tcBorders>
            <w:shd w:val="clear" w:color="auto" w:fill="auto"/>
            <w:vAlign w:val="center"/>
          </w:tcPr>
          <w:p w14:paraId="044AB4DD" w14:textId="77777777" w:rsidR="00245940" w:rsidRPr="0023367D" w:rsidRDefault="00245940" w:rsidP="00335619">
            <w:pPr>
              <w:jc w:val="center"/>
              <w:rPr>
                <w:color w:val="000000"/>
                <w:sz w:val="22"/>
                <w:szCs w:val="22"/>
              </w:rPr>
            </w:pPr>
          </w:p>
        </w:tc>
      </w:tr>
      <w:tr w:rsidR="00335619" w:rsidRPr="0023367D" w14:paraId="5E25991C" w14:textId="77777777" w:rsidTr="00245940">
        <w:trPr>
          <w:jc w:val="center"/>
        </w:trPr>
        <w:tc>
          <w:tcPr>
            <w:tcW w:w="2605" w:type="dxa"/>
            <w:tcBorders>
              <w:bottom w:val="nil"/>
            </w:tcBorders>
            <w:shd w:val="clear" w:color="auto" w:fill="auto"/>
            <w:vAlign w:val="center"/>
          </w:tcPr>
          <w:p w14:paraId="184F37CD" w14:textId="77777777" w:rsidR="00335619" w:rsidRPr="0023367D" w:rsidRDefault="00335619" w:rsidP="00245940">
            <w:pPr>
              <w:rPr>
                <w:sz w:val="22"/>
                <w:lang w:bidi="he-IL"/>
              </w:rPr>
            </w:pPr>
            <w:r w:rsidRPr="0023367D">
              <w:rPr>
                <w:sz w:val="22"/>
              </w:rPr>
              <w:t>∆</w:t>
            </w:r>
            <w:r w:rsidRPr="0023367D">
              <w:rPr>
                <w:color w:val="000000"/>
                <w:sz w:val="22"/>
              </w:rPr>
              <w:t>(EBITDA</w:t>
            </w:r>
            <w:r w:rsidRPr="0023367D">
              <w:rPr>
                <w:sz w:val="22"/>
                <w:vertAlign w:val="subscript"/>
              </w:rPr>
              <w:t xml:space="preserve"> </w:t>
            </w:r>
            <w:proofErr w:type="spellStart"/>
            <w:r w:rsidRPr="0023367D">
              <w:rPr>
                <w:sz w:val="22"/>
                <w:vertAlign w:val="subscript"/>
              </w:rPr>
              <w:t>j,t</w:t>
            </w:r>
            <w:proofErr w:type="spellEnd"/>
            <w:r w:rsidRPr="0023367D">
              <w:rPr>
                <w:color w:val="000000"/>
                <w:sz w:val="22"/>
                <w:vertAlign w:val="subscript"/>
              </w:rPr>
              <w:t xml:space="preserve">  </w:t>
            </w:r>
            <w:r w:rsidRPr="0023367D">
              <w:rPr>
                <w:color w:val="000000"/>
                <w:sz w:val="22"/>
              </w:rPr>
              <w:t xml:space="preserve">/ </w:t>
            </w:r>
            <w:proofErr w:type="spellStart"/>
            <w:r w:rsidRPr="0023367D">
              <w:rPr>
                <w:color w:val="000000"/>
                <w:sz w:val="22"/>
              </w:rPr>
              <w:t>Liab</w:t>
            </w:r>
            <w:proofErr w:type="spellEnd"/>
            <w:r w:rsidRPr="0023367D">
              <w:rPr>
                <w:color w:val="000000"/>
                <w:sz w:val="22"/>
              </w:rPr>
              <w:t xml:space="preserve"> </w:t>
            </w:r>
            <w:proofErr w:type="spellStart"/>
            <w:r w:rsidRPr="0023367D">
              <w:rPr>
                <w:sz w:val="22"/>
                <w:vertAlign w:val="subscript"/>
              </w:rPr>
              <w:t>j,t</w:t>
            </w:r>
            <w:proofErr w:type="spellEnd"/>
            <w:r w:rsidRPr="0023367D">
              <w:rPr>
                <w:color w:val="000000"/>
                <w:sz w:val="22"/>
                <w:vertAlign w:val="subscript"/>
              </w:rPr>
              <w:t xml:space="preserve"> -1</w:t>
            </w:r>
            <w:r w:rsidRPr="0023367D">
              <w:rPr>
                <w:color w:val="000000"/>
                <w:sz w:val="22"/>
              </w:rPr>
              <w:t>)</w:t>
            </w:r>
            <w:r w:rsidR="00245940" w:rsidRPr="0023367D">
              <w:rPr>
                <w:sz w:val="22"/>
                <w:vertAlign w:val="subscript"/>
                <w:lang w:bidi="he-IL"/>
              </w:rPr>
              <w:t xml:space="preserve">   </w:t>
            </w:r>
          </w:p>
        </w:tc>
        <w:tc>
          <w:tcPr>
            <w:tcW w:w="1170" w:type="dxa"/>
            <w:tcBorders>
              <w:bottom w:val="nil"/>
            </w:tcBorders>
            <w:shd w:val="clear" w:color="auto" w:fill="auto"/>
            <w:vAlign w:val="center"/>
          </w:tcPr>
          <w:p w14:paraId="321C6E5E" w14:textId="77777777" w:rsidR="00335619" w:rsidRPr="0023367D" w:rsidRDefault="00335619" w:rsidP="00335619">
            <w:pPr>
              <w:jc w:val="center"/>
              <w:rPr>
                <w:color w:val="000000"/>
                <w:sz w:val="22"/>
                <w:szCs w:val="22"/>
              </w:rPr>
            </w:pPr>
            <w:r w:rsidRPr="0023367D">
              <w:rPr>
                <w:color w:val="000000"/>
                <w:sz w:val="22"/>
                <w:szCs w:val="22"/>
              </w:rPr>
              <w:t>0.096</w:t>
            </w:r>
          </w:p>
          <w:p w14:paraId="07C2DD26" w14:textId="77777777" w:rsidR="00335619" w:rsidRPr="0023367D" w:rsidRDefault="00335619" w:rsidP="00335619">
            <w:pPr>
              <w:jc w:val="center"/>
              <w:rPr>
                <w:color w:val="000000"/>
                <w:sz w:val="22"/>
                <w:szCs w:val="22"/>
              </w:rPr>
            </w:pPr>
            <w:r w:rsidRPr="0023367D">
              <w:rPr>
                <w:color w:val="000000"/>
                <w:sz w:val="22"/>
                <w:szCs w:val="22"/>
              </w:rPr>
              <w:t>(10.20)</w:t>
            </w:r>
            <w:r w:rsidRPr="0023367D">
              <w:rPr>
                <w:color w:val="000000"/>
                <w:sz w:val="22"/>
                <w:szCs w:val="22"/>
                <w:vertAlign w:val="superscript"/>
              </w:rPr>
              <w:t>***</w:t>
            </w:r>
          </w:p>
        </w:tc>
        <w:tc>
          <w:tcPr>
            <w:tcW w:w="1350" w:type="dxa"/>
            <w:tcBorders>
              <w:bottom w:val="nil"/>
            </w:tcBorders>
            <w:vAlign w:val="center"/>
          </w:tcPr>
          <w:p w14:paraId="59AABBD7" w14:textId="77777777" w:rsidR="00335619" w:rsidRPr="0023367D" w:rsidRDefault="00335619" w:rsidP="00335619">
            <w:pPr>
              <w:jc w:val="center"/>
              <w:rPr>
                <w:color w:val="000000"/>
                <w:sz w:val="22"/>
                <w:szCs w:val="22"/>
              </w:rPr>
            </w:pPr>
            <w:r w:rsidRPr="0023367D">
              <w:rPr>
                <w:color w:val="000000"/>
                <w:sz w:val="22"/>
                <w:szCs w:val="22"/>
              </w:rPr>
              <w:t>0.099</w:t>
            </w:r>
          </w:p>
          <w:p w14:paraId="05F51A6D" w14:textId="77777777" w:rsidR="00335619" w:rsidRPr="0023367D" w:rsidRDefault="00335619" w:rsidP="00335619">
            <w:pPr>
              <w:jc w:val="center"/>
              <w:rPr>
                <w:color w:val="000000"/>
                <w:sz w:val="22"/>
                <w:szCs w:val="22"/>
              </w:rPr>
            </w:pPr>
            <w:r w:rsidRPr="0023367D">
              <w:rPr>
                <w:color w:val="000000"/>
                <w:sz w:val="22"/>
                <w:szCs w:val="22"/>
              </w:rPr>
              <w:t>(9.80)</w:t>
            </w:r>
            <w:r w:rsidRPr="0023367D">
              <w:rPr>
                <w:color w:val="000000"/>
                <w:sz w:val="22"/>
                <w:szCs w:val="22"/>
                <w:vertAlign w:val="superscript"/>
              </w:rPr>
              <w:t>***</w:t>
            </w:r>
          </w:p>
        </w:tc>
        <w:tc>
          <w:tcPr>
            <w:tcW w:w="1170" w:type="dxa"/>
            <w:tcBorders>
              <w:bottom w:val="nil"/>
              <w:right w:val="single" w:sz="18" w:space="0" w:color="auto"/>
            </w:tcBorders>
            <w:vAlign w:val="center"/>
          </w:tcPr>
          <w:p w14:paraId="2703699E" w14:textId="77777777" w:rsidR="00335619" w:rsidRPr="0023367D" w:rsidRDefault="00335619" w:rsidP="00335619">
            <w:pPr>
              <w:jc w:val="center"/>
              <w:rPr>
                <w:color w:val="000000"/>
                <w:sz w:val="22"/>
                <w:szCs w:val="22"/>
              </w:rPr>
            </w:pPr>
          </w:p>
        </w:tc>
        <w:tc>
          <w:tcPr>
            <w:tcW w:w="1170" w:type="dxa"/>
            <w:tcBorders>
              <w:left w:val="single" w:sz="18" w:space="0" w:color="auto"/>
              <w:bottom w:val="nil"/>
            </w:tcBorders>
            <w:vAlign w:val="center"/>
          </w:tcPr>
          <w:p w14:paraId="48F797B5" w14:textId="77777777" w:rsidR="00335619" w:rsidRPr="0023367D" w:rsidRDefault="00335619" w:rsidP="00335619">
            <w:pPr>
              <w:jc w:val="center"/>
              <w:rPr>
                <w:color w:val="000000"/>
                <w:sz w:val="22"/>
                <w:szCs w:val="22"/>
              </w:rPr>
            </w:pPr>
            <w:r w:rsidRPr="0023367D">
              <w:rPr>
                <w:color w:val="000000"/>
                <w:sz w:val="22"/>
                <w:szCs w:val="22"/>
              </w:rPr>
              <w:t>0.031</w:t>
            </w:r>
          </w:p>
          <w:p w14:paraId="5D83D544" w14:textId="77777777" w:rsidR="00335619" w:rsidRPr="0023367D" w:rsidRDefault="00335619" w:rsidP="00335619">
            <w:pPr>
              <w:jc w:val="center"/>
              <w:rPr>
                <w:color w:val="000000"/>
                <w:sz w:val="22"/>
                <w:szCs w:val="22"/>
              </w:rPr>
            </w:pPr>
            <w:r w:rsidRPr="0023367D">
              <w:rPr>
                <w:color w:val="000000"/>
                <w:sz w:val="22"/>
                <w:szCs w:val="22"/>
              </w:rPr>
              <w:t>(2.13)</w:t>
            </w:r>
            <w:r w:rsidRPr="0023367D">
              <w:rPr>
                <w:color w:val="000000"/>
                <w:sz w:val="22"/>
                <w:szCs w:val="22"/>
                <w:vertAlign w:val="superscript"/>
              </w:rPr>
              <w:t>**</w:t>
            </w:r>
          </w:p>
        </w:tc>
        <w:tc>
          <w:tcPr>
            <w:tcW w:w="1170" w:type="dxa"/>
            <w:tcBorders>
              <w:bottom w:val="nil"/>
            </w:tcBorders>
            <w:vAlign w:val="center"/>
          </w:tcPr>
          <w:p w14:paraId="25997BBB" w14:textId="77777777" w:rsidR="00335619" w:rsidRPr="0023367D" w:rsidRDefault="00335619" w:rsidP="00335619">
            <w:pPr>
              <w:jc w:val="center"/>
              <w:rPr>
                <w:color w:val="000000"/>
                <w:sz w:val="22"/>
                <w:szCs w:val="22"/>
              </w:rPr>
            </w:pPr>
            <w:r w:rsidRPr="0023367D">
              <w:rPr>
                <w:color w:val="000000"/>
                <w:sz w:val="22"/>
                <w:szCs w:val="22"/>
              </w:rPr>
              <w:t>0.025</w:t>
            </w:r>
          </w:p>
          <w:p w14:paraId="0C2C693D" w14:textId="77777777" w:rsidR="00335619" w:rsidRPr="0023367D" w:rsidRDefault="00335619" w:rsidP="00335619">
            <w:pPr>
              <w:jc w:val="center"/>
              <w:rPr>
                <w:color w:val="000000"/>
                <w:sz w:val="22"/>
                <w:szCs w:val="22"/>
              </w:rPr>
            </w:pPr>
            <w:r w:rsidRPr="0023367D">
              <w:rPr>
                <w:color w:val="000000"/>
                <w:sz w:val="22"/>
                <w:szCs w:val="22"/>
              </w:rPr>
              <w:t>(1.60)</w:t>
            </w:r>
          </w:p>
        </w:tc>
        <w:tc>
          <w:tcPr>
            <w:tcW w:w="1170" w:type="dxa"/>
            <w:tcBorders>
              <w:bottom w:val="nil"/>
            </w:tcBorders>
            <w:shd w:val="clear" w:color="auto" w:fill="auto"/>
            <w:vAlign w:val="center"/>
          </w:tcPr>
          <w:p w14:paraId="1ECDF465" w14:textId="77777777" w:rsidR="00335619" w:rsidRPr="0023367D" w:rsidRDefault="00335619" w:rsidP="00335619">
            <w:pPr>
              <w:jc w:val="center"/>
              <w:rPr>
                <w:color w:val="000000"/>
                <w:sz w:val="22"/>
                <w:szCs w:val="22"/>
              </w:rPr>
            </w:pPr>
          </w:p>
        </w:tc>
      </w:tr>
      <w:tr w:rsidR="00335619" w:rsidRPr="0023367D" w14:paraId="482C0080" w14:textId="77777777" w:rsidTr="00245940">
        <w:trPr>
          <w:jc w:val="center"/>
        </w:trPr>
        <w:tc>
          <w:tcPr>
            <w:tcW w:w="2605" w:type="dxa"/>
            <w:tcBorders>
              <w:bottom w:val="nil"/>
            </w:tcBorders>
            <w:shd w:val="clear" w:color="auto" w:fill="auto"/>
            <w:vAlign w:val="center"/>
          </w:tcPr>
          <w:p w14:paraId="636FBFE1" w14:textId="77777777" w:rsidR="00335619" w:rsidRPr="0023367D" w:rsidRDefault="00335619" w:rsidP="00335619">
            <w:pPr>
              <w:rPr>
                <w:sz w:val="22"/>
                <w:lang w:bidi="he-IL"/>
              </w:rPr>
            </w:pPr>
            <w:r w:rsidRPr="0023367D">
              <w:rPr>
                <w:sz w:val="22"/>
              </w:rPr>
              <w:t>∆</w:t>
            </w:r>
            <w:r w:rsidRPr="0023367D">
              <w:rPr>
                <w:color w:val="000000"/>
                <w:sz w:val="22"/>
              </w:rPr>
              <w:t>(</w:t>
            </w:r>
            <w:proofErr w:type="spellStart"/>
            <w:r w:rsidRPr="0023367D">
              <w:rPr>
                <w:color w:val="000000"/>
                <w:sz w:val="22"/>
              </w:rPr>
              <w:t>Liab</w:t>
            </w:r>
            <w:proofErr w:type="spellEnd"/>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 xml:space="preserve"> /Assets</w:t>
            </w:r>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w:t>
            </w:r>
            <w:r w:rsidRPr="0023367D">
              <w:rPr>
                <w:sz w:val="22"/>
                <w:vertAlign w:val="superscript"/>
                <w:lang w:bidi="he-IL"/>
              </w:rPr>
              <w:t xml:space="preserve"> </w:t>
            </w:r>
          </w:p>
        </w:tc>
        <w:tc>
          <w:tcPr>
            <w:tcW w:w="1170" w:type="dxa"/>
            <w:tcBorders>
              <w:bottom w:val="nil"/>
            </w:tcBorders>
            <w:shd w:val="clear" w:color="auto" w:fill="auto"/>
            <w:vAlign w:val="center"/>
          </w:tcPr>
          <w:p w14:paraId="51210C7B" w14:textId="77777777" w:rsidR="00335619" w:rsidRPr="0023367D" w:rsidRDefault="00335619" w:rsidP="00335619">
            <w:pPr>
              <w:jc w:val="center"/>
              <w:rPr>
                <w:color w:val="000000"/>
                <w:sz w:val="22"/>
                <w:szCs w:val="22"/>
              </w:rPr>
            </w:pPr>
            <w:r w:rsidRPr="0023367D">
              <w:rPr>
                <w:color w:val="000000"/>
                <w:sz w:val="22"/>
                <w:szCs w:val="22"/>
              </w:rPr>
              <w:t>-0.191</w:t>
            </w:r>
          </w:p>
          <w:p w14:paraId="7BE89A2E" w14:textId="77777777" w:rsidR="00335619" w:rsidRPr="0023367D" w:rsidRDefault="00335619" w:rsidP="00335619">
            <w:pPr>
              <w:jc w:val="center"/>
              <w:rPr>
                <w:color w:val="000000"/>
                <w:sz w:val="22"/>
                <w:szCs w:val="22"/>
              </w:rPr>
            </w:pPr>
            <w:r w:rsidRPr="0023367D">
              <w:rPr>
                <w:color w:val="000000"/>
                <w:sz w:val="22"/>
                <w:szCs w:val="22"/>
              </w:rPr>
              <w:t>(-10.68)</w:t>
            </w:r>
            <w:r w:rsidRPr="0023367D">
              <w:rPr>
                <w:color w:val="000000"/>
                <w:sz w:val="22"/>
                <w:szCs w:val="22"/>
                <w:vertAlign w:val="superscript"/>
              </w:rPr>
              <w:t>***</w:t>
            </w:r>
          </w:p>
        </w:tc>
        <w:tc>
          <w:tcPr>
            <w:tcW w:w="1350" w:type="dxa"/>
            <w:tcBorders>
              <w:bottom w:val="nil"/>
            </w:tcBorders>
            <w:vAlign w:val="center"/>
          </w:tcPr>
          <w:p w14:paraId="256FCC33" w14:textId="77777777" w:rsidR="00335619" w:rsidRPr="0023367D" w:rsidRDefault="00335619" w:rsidP="00335619">
            <w:pPr>
              <w:jc w:val="center"/>
              <w:rPr>
                <w:color w:val="000000"/>
                <w:sz w:val="22"/>
                <w:szCs w:val="22"/>
              </w:rPr>
            </w:pPr>
            <w:r w:rsidRPr="0023367D">
              <w:rPr>
                <w:color w:val="000000"/>
                <w:sz w:val="22"/>
                <w:szCs w:val="22"/>
              </w:rPr>
              <w:t>-0.234</w:t>
            </w:r>
          </w:p>
          <w:p w14:paraId="4CF9932C" w14:textId="77777777" w:rsidR="00335619" w:rsidRPr="0023367D" w:rsidRDefault="00335619" w:rsidP="00335619">
            <w:pPr>
              <w:jc w:val="center"/>
              <w:rPr>
                <w:color w:val="000000"/>
                <w:sz w:val="22"/>
                <w:szCs w:val="22"/>
              </w:rPr>
            </w:pPr>
            <w:r w:rsidRPr="0023367D">
              <w:rPr>
                <w:color w:val="000000"/>
                <w:sz w:val="22"/>
                <w:szCs w:val="22"/>
              </w:rPr>
              <w:t>(-12.59)</w:t>
            </w:r>
            <w:r w:rsidRPr="0023367D">
              <w:rPr>
                <w:color w:val="000000"/>
                <w:sz w:val="22"/>
                <w:szCs w:val="22"/>
                <w:vertAlign w:val="superscript"/>
              </w:rPr>
              <w:t>***</w:t>
            </w:r>
          </w:p>
        </w:tc>
        <w:tc>
          <w:tcPr>
            <w:tcW w:w="1170" w:type="dxa"/>
            <w:tcBorders>
              <w:bottom w:val="nil"/>
              <w:right w:val="single" w:sz="18" w:space="0" w:color="auto"/>
            </w:tcBorders>
            <w:vAlign w:val="center"/>
          </w:tcPr>
          <w:p w14:paraId="1D8FE63D" w14:textId="77777777" w:rsidR="00335619" w:rsidRPr="0023367D" w:rsidRDefault="00335619" w:rsidP="00335619">
            <w:pPr>
              <w:jc w:val="center"/>
              <w:rPr>
                <w:color w:val="000000"/>
                <w:sz w:val="22"/>
                <w:szCs w:val="22"/>
              </w:rPr>
            </w:pPr>
          </w:p>
        </w:tc>
        <w:tc>
          <w:tcPr>
            <w:tcW w:w="1170" w:type="dxa"/>
            <w:tcBorders>
              <w:left w:val="single" w:sz="18" w:space="0" w:color="auto"/>
              <w:bottom w:val="nil"/>
            </w:tcBorders>
            <w:vAlign w:val="center"/>
          </w:tcPr>
          <w:p w14:paraId="3480712D" w14:textId="77777777" w:rsidR="00335619" w:rsidRPr="0023367D" w:rsidRDefault="00335619" w:rsidP="00335619">
            <w:pPr>
              <w:jc w:val="center"/>
              <w:rPr>
                <w:color w:val="000000"/>
                <w:sz w:val="22"/>
                <w:szCs w:val="22"/>
              </w:rPr>
            </w:pPr>
            <w:r w:rsidRPr="0023367D">
              <w:rPr>
                <w:color w:val="000000"/>
                <w:sz w:val="22"/>
                <w:szCs w:val="22"/>
              </w:rPr>
              <w:t>-0.137</w:t>
            </w:r>
          </w:p>
          <w:p w14:paraId="3E829BF9" w14:textId="77777777" w:rsidR="00335619" w:rsidRPr="0023367D" w:rsidRDefault="00335619" w:rsidP="00335619">
            <w:pPr>
              <w:jc w:val="center"/>
              <w:rPr>
                <w:color w:val="000000"/>
                <w:sz w:val="22"/>
                <w:szCs w:val="22"/>
              </w:rPr>
            </w:pPr>
            <w:r w:rsidRPr="0023367D">
              <w:rPr>
                <w:color w:val="000000"/>
                <w:sz w:val="22"/>
                <w:szCs w:val="22"/>
              </w:rPr>
              <w:t>(-5.53)</w:t>
            </w:r>
            <w:r w:rsidRPr="0023367D">
              <w:rPr>
                <w:color w:val="000000"/>
                <w:sz w:val="22"/>
                <w:szCs w:val="22"/>
                <w:vertAlign w:val="superscript"/>
              </w:rPr>
              <w:t>***</w:t>
            </w:r>
          </w:p>
        </w:tc>
        <w:tc>
          <w:tcPr>
            <w:tcW w:w="1170" w:type="dxa"/>
            <w:tcBorders>
              <w:bottom w:val="nil"/>
            </w:tcBorders>
            <w:vAlign w:val="center"/>
          </w:tcPr>
          <w:p w14:paraId="33A66404" w14:textId="77777777" w:rsidR="00335619" w:rsidRPr="0023367D" w:rsidRDefault="00335619" w:rsidP="00335619">
            <w:pPr>
              <w:jc w:val="center"/>
              <w:rPr>
                <w:color w:val="000000"/>
                <w:sz w:val="22"/>
                <w:szCs w:val="22"/>
              </w:rPr>
            </w:pPr>
            <w:r w:rsidRPr="0023367D">
              <w:rPr>
                <w:color w:val="000000"/>
                <w:sz w:val="22"/>
                <w:szCs w:val="22"/>
              </w:rPr>
              <w:t>-0.183</w:t>
            </w:r>
          </w:p>
          <w:p w14:paraId="1157CF03" w14:textId="77777777" w:rsidR="00335619" w:rsidRPr="0023367D" w:rsidRDefault="00335619" w:rsidP="00335619">
            <w:pPr>
              <w:jc w:val="center"/>
              <w:rPr>
                <w:color w:val="000000"/>
                <w:sz w:val="22"/>
                <w:szCs w:val="22"/>
              </w:rPr>
            </w:pPr>
            <w:r w:rsidRPr="0023367D">
              <w:rPr>
                <w:color w:val="000000"/>
                <w:sz w:val="22"/>
                <w:szCs w:val="22"/>
              </w:rPr>
              <w:t>(-6.80)</w:t>
            </w:r>
            <w:r w:rsidRPr="0023367D">
              <w:rPr>
                <w:color w:val="000000"/>
                <w:sz w:val="22"/>
                <w:szCs w:val="22"/>
                <w:vertAlign w:val="superscript"/>
              </w:rPr>
              <w:t>***</w:t>
            </w:r>
          </w:p>
        </w:tc>
        <w:tc>
          <w:tcPr>
            <w:tcW w:w="1170" w:type="dxa"/>
            <w:tcBorders>
              <w:bottom w:val="nil"/>
            </w:tcBorders>
            <w:shd w:val="clear" w:color="auto" w:fill="auto"/>
            <w:vAlign w:val="center"/>
          </w:tcPr>
          <w:p w14:paraId="70AD6C98" w14:textId="77777777" w:rsidR="00335619" w:rsidRPr="0023367D" w:rsidRDefault="00335619" w:rsidP="00335619">
            <w:pPr>
              <w:jc w:val="center"/>
              <w:rPr>
                <w:color w:val="000000"/>
                <w:sz w:val="22"/>
                <w:szCs w:val="22"/>
              </w:rPr>
            </w:pPr>
          </w:p>
        </w:tc>
      </w:tr>
      <w:tr w:rsidR="00335619" w:rsidRPr="0023367D" w14:paraId="497B0BC4" w14:textId="77777777" w:rsidTr="00245940">
        <w:trPr>
          <w:jc w:val="center"/>
        </w:trPr>
        <w:tc>
          <w:tcPr>
            <w:tcW w:w="2605" w:type="dxa"/>
            <w:tcBorders>
              <w:bottom w:val="nil"/>
            </w:tcBorders>
            <w:shd w:val="clear" w:color="auto" w:fill="auto"/>
            <w:vAlign w:val="center"/>
          </w:tcPr>
          <w:p w14:paraId="5B1BFCF3" w14:textId="77777777" w:rsidR="00335619" w:rsidRPr="0023367D" w:rsidRDefault="00335619" w:rsidP="00335619">
            <w:pPr>
              <w:rPr>
                <w:sz w:val="22"/>
                <w:lang w:bidi="he-IL"/>
              </w:rPr>
            </w:pPr>
            <w:r w:rsidRPr="0023367D">
              <w:rPr>
                <w:color w:val="000000"/>
                <w:sz w:val="22"/>
              </w:rPr>
              <w:t>LOSS</w:t>
            </w:r>
            <w:r w:rsidRPr="0023367D">
              <w:rPr>
                <w:sz w:val="22"/>
                <w:vertAlign w:val="subscript"/>
              </w:rPr>
              <w:t xml:space="preserve"> </w:t>
            </w:r>
            <w:proofErr w:type="spellStart"/>
            <w:r w:rsidRPr="0023367D">
              <w:rPr>
                <w:sz w:val="22"/>
                <w:vertAlign w:val="subscript"/>
              </w:rPr>
              <w:t>j,t</w:t>
            </w:r>
            <w:proofErr w:type="spellEnd"/>
          </w:p>
        </w:tc>
        <w:tc>
          <w:tcPr>
            <w:tcW w:w="1170" w:type="dxa"/>
            <w:tcBorders>
              <w:bottom w:val="nil"/>
            </w:tcBorders>
            <w:shd w:val="clear" w:color="auto" w:fill="auto"/>
            <w:vAlign w:val="center"/>
          </w:tcPr>
          <w:p w14:paraId="5BC3D6EF" w14:textId="77777777" w:rsidR="00335619" w:rsidRPr="0023367D" w:rsidRDefault="00335619" w:rsidP="00335619">
            <w:pPr>
              <w:jc w:val="center"/>
              <w:rPr>
                <w:color w:val="000000"/>
                <w:sz w:val="22"/>
                <w:szCs w:val="22"/>
              </w:rPr>
            </w:pPr>
            <w:r w:rsidRPr="0023367D">
              <w:rPr>
                <w:color w:val="000000"/>
                <w:sz w:val="22"/>
                <w:szCs w:val="22"/>
              </w:rPr>
              <w:t>0.018</w:t>
            </w:r>
          </w:p>
          <w:p w14:paraId="031974CE" w14:textId="77777777" w:rsidR="00335619" w:rsidRPr="0023367D" w:rsidRDefault="00335619" w:rsidP="00335619">
            <w:pPr>
              <w:jc w:val="center"/>
              <w:rPr>
                <w:color w:val="000000"/>
                <w:sz w:val="22"/>
                <w:szCs w:val="22"/>
              </w:rPr>
            </w:pPr>
            <w:r w:rsidRPr="0023367D">
              <w:rPr>
                <w:color w:val="000000"/>
                <w:sz w:val="22"/>
                <w:szCs w:val="22"/>
              </w:rPr>
              <w:t>(4.83)</w:t>
            </w:r>
            <w:r w:rsidRPr="0023367D">
              <w:rPr>
                <w:color w:val="000000"/>
                <w:sz w:val="22"/>
                <w:szCs w:val="22"/>
                <w:vertAlign w:val="superscript"/>
              </w:rPr>
              <w:t>***</w:t>
            </w:r>
          </w:p>
        </w:tc>
        <w:tc>
          <w:tcPr>
            <w:tcW w:w="1350" w:type="dxa"/>
            <w:tcBorders>
              <w:bottom w:val="nil"/>
            </w:tcBorders>
            <w:vAlign w:val="center"/>
          </w:tcPr>
          <w:p w14:paraId="02A2BE7C" w14:textId="77777777" w:rsidR="00335619" w:rsidRPr="0023367D" w:rsidRDefault="00335619" w:rsidP="00335619">
            <w:pPr>
              <w:jc w:val="center"/>
              <w:rPr>
                <w:color w:val="000000"/>
                <w:sz w:val="22"/>
                <w:szCs w:val="22"/>
              </w:rPr>
            </w:pPr>
            <w:r w:rsidRPr="0023367D">
              <w:rPr>
                <w:color w:val="000000"/>
                <w:sz w:val="22"/>
                <w:szCs w:val="22"/>
              </w:rPr>
              <w:t>0.014</w:t>
            </w:r>
          </w:p>
          <w:p w14:paraId="38723EA4" w14:textId="77777777" w:rsidR="00335619" w:rsidRPr="0023367D" w:rsidRDefault="00335619" w:rsidP="00335619">
            <w:pPr>
              <w:jc w:val="center"/>
              <w:rPr>
                <w:color w:val="000000"/>
                <w:sz w:val="22"/>
                <w:szCs w:val="22"/>
              </w:rPr>
            </w:pPr>
            <w:r w:rsidRPr="0023367D">
              <w:rPr>
                <w:color w:val="000000"/>
                <w:sz w:val="22"/>
                <w:szCs w:val="22"/>
              </w:rPr>
              <w:t>(3.42)</w:t>
            </w:r>
            <w:r w:rsidRPr="0023367D">
              <w:rPr>
                <w:color w:val="000000"/>
                <w:sz w:val="22"/>
                <w:szCs w:val="22"/>
                <w:vertAlign w:val="superscript"/>
              </w:rPr>
              <w:t>***</w:t>
            </w:r>
          </w:p>
        </w:tc>
        <w:tc>
          <w:tcPr>
            <w:tcW w:w="1170" w:type="dxa"/>
            <w:tcBorders>
              <w:bottom w:val="nil"/>
              <w:right w:val="single" w:sz="18" w:space="0" w:color="auto"/>
            </w:tcBorders>
            <w:vAlign w:val="center"/>
          </w:tcPr>
          <w:p w14:paraId="11D9EEC5" w14:textId="77777777" w:rsidR="00335619" w:rsidRPr="0023367D" w:rsidRDefault="00335619" w:rsidP="00335619">
            <w:pPr>
              <w:jc w:val="center"/>
              <w:rPr>
                <w:color w:val="000000"/>
                <w:sz w:val="22"/>
                <w:szCs w:val="22"/>
              </w:rPr>
            </w:pPr>
          </w:p>
        </w:tc>
        <w:tc>
          <w:tcPr>
            <w:tcW w:w="1170" w:type="dxa"/>
            <w:tcBorders>
              <w:left w:val="single" w:sz="18" w:space="0" w:color="auto"/>
              <w:bottom w:val="nil"/>
            </w:tcBorders>
            <w:vAlign w:val="center"/>
          </w:tcPr>
          <w:p w14:paraId="70A9BB8D" w14:textId="77777777" w:rsidR="00335619" w:rsidRPr="0023367D" w:rsidRDefault="00335619" w:rsidP="00335619">
            <w:pPr>
              <w:jc w:val="center"/>
              <w:rPr>
                <w:color w:val="000000"/>
                <w:sz w:val="22"/>
                <w:szCs w:val="22"/>
              </w:rPr>
            </w:pPr>
            <w:r w:rsidRPr="0023367D">
              <w:rPr>
                <w:color w:val="000000"/>
                <w:sz w:val="22"/>
                <w:szCs w:val="22"/>
              </w:rPr>
              <w:t>0.035</w:t>
            </w:r>
          </w:p>
          <w:p w14:paraId="3A8D1512" w14:textId="77777777" w:rsidR="00335619" w:rsidRPr="0023367D" w:rsidRDefault="00335619" w:rsidP="00335619">
            <w:pPr>
              <w:jc w:val="center"/>
              <w:rPr>
                <w:color w:val="000000"/>
                <w:sz w:val="22"/>
                <w:szCs w:val="22"/>
              </w:rPr>
            </w:pPr>
            <w:r w:rsidRPr="0023367D">
              <w:rPr>
                <w:color w:val="000000"/>
                <w:sz w:val="22"/>
                <w:szCs w:val="22"/>
              </w:rPr>
              <w:t>(6.67)</w:t>
            </w:r>
            <w:r w:rsidRPr="0023367D">
              <w:rPr>
                <w:color w:val="000000"/>
                <w:sz w:val="22"/>
                <w:szCs w:val="22"/>
                <w:vertAlign w:val="superscript"/>
              </w:rPr>
              <w:t>***</w:t>
            </w:r>
          </w:p>
        </w:tc>
        <w:tc>
          <w:tcPr>
            <w:tcW w:w="1170" w:type="dxa"/>
            <w:tcBorders>
              <w:bottom w:val="nil"/>
            </w:tcBorders>
            <w:vAlign w:val="center"/>
          </w:tcPr>
          <w:p w14:paraId="516E2F53" w14:textId="77777777" w:rsidR="00335619" w:rsidRPr="0023367D" w:rsidRDefault="00335619" w:rsidP="00335619">
            <w:pPr>
              <w:jc w:val="center"/>
              <w:rPr>
                <w:color w:val="000000"/>
                <w:sz w:val="22"/>
                <w:szCs w:val="22"/>
              </w:rPr>
            </w:pPr>
            <w:r w:rsidRPr="0023367D">
              <w:rPr>
                <w:color w:val="000000"/>
                <w:sz w:val="22"/>
                <w:szCs w:val="22"/>
              </w:rPr>
              <w:t>0.027</w:t>
            </w:r>
          </w:p>
          <w:p w14:paraId="0B1A708D" w14:textId="77777777" w:rsidR="00335619" w:rsidRPr="0023367D" w:rsidRDefault="00335619" w:rsidP="00335619">
            <w:pPr>
              <w:jc w:val="center"/>
              <w:rPr>
                <w:color w:val="000000"/>
                <w:sz w:val="22"/>
                <w:szCs w:val="22"/>
              </w:rPr>
            </w:pPr>
            <w:r w:rsidRPr="0023367D">
              <w:rPr>
                <w:color w:val="000000"/>
                <w:sz w:val="22"/>
                <w:szCs w:val="22"/>
              </w:rPr>
              <w:t>(4.70)</w:t>
            </w:r>
            <w:r w:rsidRPr="0023367D">
              <w:rPr>
                <w:color w:val="000000"/>
                <w:sz w:val="22"/>
                <w:szCs w:val="22"/>
                <w:vertAlign w:val="superscript"/>
              </w:rPr>
              <w:t>***</w:t>
            </w:r>
          </w:p>
        </w:tc>
        <w:tc>
          <w:tcPr>
            <w:tcW w:w="1170" w:type="dxa"/>
            <w:tcBorders>
              <w:bottom w:val="nil"/>
            </w:tcBorders>
            <w:shd w:val="clear" w:color="auto" w:fill="auto"/>
            <w:vAlign w:val="center"/>
          </w:tcPr>
          <w:p w14:paraId="105C8C32" w14:textId="77777777" w:rsidR="00335619" w:rsidRPr="0023367D" w:rsidRDefault="00335619" w:rsidP="00335619">
            <w:pPr>
              <w:jc w:val="center"/>
              <w:rPr>
                <w:color w:val="000000"/>
                <w:sz w:val="22"/>
                <w:szCs w:val="22"/>
              </w:rPr>
            </w:pPr>
          </w:p>
        </w:tc>
      </w:tr>
      <w:tr w:rsidR="00335619" w:rsidRPr="0023367D" w14:paraId="069679B8" w14:textId="77777777" w:rsidTr="00245940">
        <w:trPr>
          <w:jc w:val="center"/>
        </w:trPr>
        <w:tc>
          <w:tcPr>
            <w:tcW w:w="2605" w:type="dxa"/>
            <w:tcBorders>
              <w:bottom w:val="nil"/>
            </w:tcBorders>
            <w:shd w:val="clear" w:color="auto" w:fill="auto"/>
            <w:vAlign w:val="center"/>
          </w:tcPr>
          <w:p w14:paraId="107F417D" w14:textId="77777777" w:rsidR="00335619" w:rsidRPr="0023367D" w:rsidRDefault="00335619" w:rsidP="00335619">
            <w:pPr>
              <w:rPr>
                <w:sz w:val="22"/>
                <w:lang w:bidi="he-IL"/>
              </w:rPr>
            </w:pPr>
            <w:r w:rsidRPr="0023367D">
              <w:rPr>
                <w:color w:val="000000"/>
                <w:sz w:val="22"/>
              </w:rPr>
              <w:t>LOSS</w:t>
            </w:r>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 xml:space="preserve"> *</w:t>
            </w:r>
            <w:r w:rsidRPr="0023367D">
              <w:rPr>
                <w:sz w:val="22"/>
              </w:rPr>
              <w:t>∆</w:t>
            </w:r>
            <w:r w:rsidRPr="0023367D">
              <w:rPr>
                <w:color w:val="000000"/>
                <w:sz w:val="22"/>
              </w:rPr>
              <w:t>ROA</w:t>
            </w:r>
            <w:r w:rsidRPr="0023367D">
              <w:rPr>
                <w:sz w:val="22"/>
                <w:vertAlign w:val="subscript"/>
              </w:rPr>
              <w:t xml:space="preserve"> </w:t>
            </w:r>
            <w:proofErr w:type="spellStart"/>
            <w:r w:rsidRPr="0023367D">
              <w:rPr>
                <w:sz w:val="22"/>
                <w:vertAlign w:val="subscript"/>
              </w:rPr>
              <w:t>j,t</w:t>
            </w:r>
            <w:proofErr w:type="spellEnd"/>
          </w:p>
        </w:tc>
        <w:tc>
          <w:tcPr>
            <w:tcW w:w="1170" w:type="dxa"/>
            <w:tcBorders>
              <w:bottom w:val="nil"/>
            </w:tcBorders>
            <w:shd w:val="clear" w:color="auto" w:fill="auto"/>
            <w:vAlign w:val="center"/>
          </w:tcPr>
          <w:p w14:paraId="7CFFFF5F" w14:textId="77777777" w:rsidR="00335619" w:rsidRPr="0023367D" w:rsidRDefault="00335619" w:rsidP="00335619">
            <w:pPr>
              <w:jc w:val="center"/>
              <w:rPr>
                <w:color w:val="000000"/>
                <w:sz w:val="22"/>
                <w:szCs w:val="22"/>
              </w:rPr>
            </w:pPr>
            <w:r w:rsidRPr="0023367D">
              <w:rPr>
                <w:color w:val="000000"/>
                <w:sz w:val="22"/>
                <w:szCs w:val="22"/>
              </w:rPr>
              <w:t>-0.037</w:t>
            </w:r>
          </w:p>
          <w:p w14:paraId="03F4CABD" w14:textId="77777777" w:rsidR="00335619" w:rsidRPr="0023367D" w:rsidRDefault="00335619" w:rsidP="00335619">
            <w:pPr>
              <w:jc w:val="center"/>
              <w:rPr>
                <w:color w:val="000000"/>
                <w:sz w:val="22"/>
                <w:szCs w:val="22"/>
              </w:rPr>
            </w:pPr>
            <w:r w:rsidRPr="0023367D">
              <w:rPr>
                <w:color w:val="000000"/>
                <w:sz w:val="22"/>
                <w:szCs w:val="22"/>
              </w:rPr>
              <w:t>(-2.92)</w:t>
            </w:r>
            <w:r w:rsidRPr="0023367D">
              <w:rPr>
                <w:color w:val="000000"/>
                <w:sz w:val="22"/>
                <w:szCs w:val="22"/>
                <w:vertAlign w:val="superscript"/>
              </w:rPr>
              <w:t>***</w:t>
            </w:r>
          </w:p>
        </w:tc>
        <w:tc>
          <w:tcPr>
            <w:tcW w:w="1350" w:type="dxa"/>
            <w:tcBorders>
              <w:bottom w:val="nil"/>
            </w:tcBorders>
            <w:vAlign w:val="center"/>
          </w:tcPr>
          <w:p w14:paraId="61126570" w14:textId="77777777" w:rsidR="00335619" w:rsidRPr="0023367D" w:rsidRDefault="00335619" w:rsidP="00335619">
            <w:pPr>
              <w:jc w:val="center"/>
              <w:rPr>
                <w:color w:val="000000"/>
                <w:sz w:val="22"/>
                <w:szCs w:val="22"/>
              </w:rPr>
            </w:pPr>
            <w:r w:rsidRPr="0023367D">
              <w:rPr>
                <w:color w:val="000000"/>
                <w:sz w:val="22"/>
                <w:szCs w:val="22"/>
              </w:rPr>
              <w:t>-0.010</w:t>
            </w:r>
          </w:p>
          <w:p w14:paraId="19CA5D0C" w14:textId="77777777" w:rsidR="00335619" w:rsidRPr="0023367D" w:rsidRDefault="00335619" w:rsidP="00335619">
            <w:pPr>
              <w:jc w:val="center"/>
              <w:rPr>
                <w:color w:val="000000"/>
                <w:sz w:val="22"/>
                <w:szCs w:val="22"/>
              </w:rPr>
            </w:pPr>
            <w:r w:rsidRPr="0023367D">
              <w:rPr>
                <w:color w:val="000000"/>
                <w:sz w:val="22"/>
                <w:szCs w:val="22"/>
              </w:rPr>
              <w:t>(-0.76)</w:t>
            </w:r>
          </w:p>
        </w:tc>
        <w:tc>
          <w:tcPr>
            <w:tcW w:w="1170" w:type="dxa"/>
            <w:tcBorders>
              <w:bottom w:val="nil"/>
              <w:right w:val="single" w:sz="18" w:space="0" w:color="auto"/>
            </w:tcBorders>
            <w:vAlign w:val="center"/>
          </w:tcPr>
          <w:p w14:paraId="0360434B" w14:textId="77777777" w:rsidR="00335619" w:rsidRPr="0023367D" w:rsidRDefault="00335619" w:rsidP="00335619">
            <w:pPr>
              <w:jc w:val="center"/>
              <w:rPr>
                <w:color w:val="000000"/>
                <w:sz w:val="22"/>
                <w:szCs w:val="22"/>
              </w:rPr>
            </w:pPr>
          </w:p>
        </w:tc>
        <w:tc>
          <w:tcPr>
            <w:tcW w:w="1170" w:type="dxa"/>
            <w:tcBorders>
              <w:left w:val="single" w:sz="18" w:space="0" w:color="auto"/>
              <w:bottom w:val="nil"/>
            </w:tcBorders>
            <w:vAlign w:val="center"/>
          </w:tcPr>
          <w:p w14:paraId="1F0254FD" w14:textId="77777777" w:rsidR="00335619" w:rsidRPr="0023367D" w:rsidRDefault="00335619" w:rsidP="00335619">
            <w:pPr>
              <w:jc w:val="center"/>
              <w:rPr>
                <w:color w:val="000000"/>
                <w:sz w:val="22"/>
                <w:szCs w:val="22"/>
              </w:rPr>
            </w:pPr>
            <w:r w:rsidRPr="0023367D">
              <w:rPr>
                <w:color w:val="000000"/>
                <w:sz w:val="22"/>
                <w:szCs w:val="22"/>
              </w:rPr>
              <w:t>-0.036</w:t>
            </w:r>
          </w:p>
          <w:p w14:paraId="37831EFD" w14:textId="77777777" w:rsidR="00335619" w:rsidRPr="0023367D" w:rsidRDefault="00335619" w:rsidP="00335619">
            <w:pPr>
              <w:jc w:val="center"/>
              <w:rPr>
                <w:color w:val="000000"/>
                <w:sz w:val="22"/>
                <w:szCs w:val="22"/>
              </w:rPr>
            </w:pPr>
            <w:r w:rsidRPr="0023367D">
              <w:rPr>
                <w:color w:val="000000"/>
                <w:sz w:val="22"/>
                <w:szCs w:val="22"/>
              </w:rPr>
              <w:t>(-0.82)</w:t>
            </w:r>
          </w:p>
        </w:tc>
        <w:tc>
          <w:tcPr>
            <w:tcW w:w="1170" w:type="dxa"/>
            <w:tcBorders>
              <w:bottom w:val="nil"/>
            </w:tcBorders>
            <w:vAlign w:val="center"/>
          </w:tcPr>
          <w:p w14:paraId="3C48A8C7" w14:textId="77777777" w:rsidR="00335619" w:rsidRPr="0023367D" w:rsidRDefault="00335619" w:rsidP="00335619">
            <w:pPr>
              <w:jc w:val="center"/>
              <w:rPr>
                <w:color w:val="000000"/>
                <w:sz w:val="22"/>
                <w:szCs w:val="22"/>
              </w:rPr>
            </w:pPr>
            <w:r w:rsidRPr="0023367D">
              <w:rPr>
                <w:color w:val="000000"/>
                <w:sz w:val="22"/>
                <w:szCs w:val="22"/>
              </w:rPr>
              <w:t>0.003</w:t>
            </w:r>
          </w:p>
          <w:p w14:paraId="4A7F9E1A" w14:textId="77777777" w:rsidR="00335619" w:rsidRPr="0023367D" w:rsidRDefault="00335619" w:rsidP="00335619">
            <w:pPr>
              <w:jc w:val="center"/>
              <w:rPr>
                <w:color w:val="000000"/>
                <w:sz w:val="22"/>
                <w:szCs w:val="22"/>
              </w:rPr>
            </w:pPr>
            <w:r w:rsidRPr="0023367D">
              <w:rPr>
                <w:color w:val="000000"/>
                <w:sz w:val="22"/>
                <w:szCs w:val="22"/>
              </w:rPr>
              <w:t>(0.07)</w:t>
            </w:r>
          </w:p>
        </w:tc>
        <w:tc>
          <w:tcPr>
            <w:tcW w:w="1170" w:type="dxa"/>
            <w:tcBorders>
              <w:bottom w:val="nil"/>
            </w:tcBorders>
            <w:shd w:val="clear" w:color="auto" w:fill="auto"/>
            <w:vAlign w:val="center"/>
          </w:tcPr>
          <w:p w14:paraId="1CE1340C" w14:textId="77777777" w:rsidR="00335619" w:rsidRPr="0023367D" w:rsidRDefault="00335619" w:rsidP="00335619">
            <w:pPr>
              <w:jc w:val="center"/>
              <w:rPr>
                <w:color w:val="000000"/>
                <w:sz w:val="22"/>
                <w:szCs w:val="22"/>
              </w:rPr>
            </w:pPr>
          </w:p>
        </w:tc>
      </w:tr>
      <w:tr w:rsidR="00335619" w:rsidRPr="0023367D" w14:paraId="5A58A097" w14:textId="77777777" w:rsidTr="00245940">
        <w:trPr>
          <w:jc w:val="center"/>
        </w:trPr>
        <w:tc>
          <w:tcPr>
            <w:tcW w:w="2605" w:type="dxa"/>
            <w:tcBorders>
              <w:top w:val="single" w:sz="4" w:space="0" w:color="auto"/>
              <w:bottom w:val="nil"/>
            </w:tcBorders>
            <w:shd w:val="clear" w:color="auto" w:fill="auto"/>
            <w:vAlign w:val="center"/>
          </w:tcPr>
          <w:p w14:paraId="55C834A6" w14:textId="77777777" w:rsidR="00335619" w:rsidRPr="0023367D" w:rsidRDefault="00335619" w:rsidP="00335619">
            <w:pPr>
              <w:rPr>
                <w:color w:val="000000"/>
                <w:sz w:val="22"/>
              </w:rPr>
            </w:pPr>
            <w:r w:rsidRPr="0023367D">
              <w:rPr>
                <w:color w:val="000000"/>
                <w:sz w:val="22"/>
              </w:rPr>
              <w:t>LOSS</w:t>
            </w:r>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 xml:space="preserve"> * </w:t>
            </w:r>
          </w:p>
          <w:p w14:paraId="7C98B5F8" w14:textId="77777777" w:rsidR="00335619" w:rsidRPr="0023367D" w:rsidRDefault="00335619" w:rsidP="00335619">
            <w:pPr>
              <w:rPr>
                <w:sz w:val="22"/>
                <w:lang w:bidi="he-IL"/>
              </w:rPr>
            </w:pPr>
            <w:r w:rsidRPr="0023367D">
              <w:rPr>
                <w:sz w:val="22"/>
              </w:rPr>
              <w:t>∆</w:t>
            </w:r>
            <w:r w:rsidRPr="0023367D">
              <w:rPr>
                <w:color w:val="000000"/>
                <w:sz w:val="22"/>
              </w:rPr>
              <w:t>(EBITDA</w:t>
            </w:r>
            <w:r w:rsidRPr="0023367D">
              <w:rPr>
                <w:sz w:val="22"/>
                <w:vertAlign w:val="subscript"/>
              </w:rPr>
              <w:t xml:space="preserve"> </w:t>
            </w:r>
            <w:proofErr w:type="spellStart"/>
            <w:r w:rsidRPr="0023367D">
              <w:rPr>
                <w:sz w:val="22"/>
                <w:vertAlign w:val="subscript"/>
              </w:rPr>
              <w:t>j,t</w:t>
            </w:r>
            <w:proofErr w:type="spellEnd"/>
            <w:r w:rsidRPr="0023367D">
              <w:rPr>
                <w:color w:val="000000"/>
                <w:sz w:val="22"/>
                <w:vertAlign w:val="subscript"/>
              </w:rPr>
              <w:t xml:space="preserve">  </w:t>
            </w:r>
            <w:r w:rsidRPr="0023367D">
              <w:rPr>
                <w:color w:val="000000"/>
                <w:sz w:val="22"/>
              </w:rPr>
              <w:t xml:space="preserve">/ </w:t>
            </w:r>
            <w:proofErr w:type="spellStart"/>
            <w:r w:rsidRPr="0023367D">
              <w:rPr>
                <w:color w:val="000000"/>
                <w:sz w:val="22"/>
              </w:rPr>
              <w:t>Liab</w:t>
            </w:r>
            <w:proofErr w:type="spellEnd"/>
            <w:r w:rsidRPr="0023367D">
              <w:rPr>
                <w:color w:val="000000"/>
                <w:sz w:val="22"/>
              </w:rPr>
              <w:t xml:space="preserve"> </w:t>
            </w:r>
            <w:proofErr w:type="spellStart"/>
            <w:r w:rsidRPr="0023367D">
              <w:rPr>
                <w:sz w:val="22"/>
                <w:vertAlign w:val="subscript"/>
              </w:rPr>
              <w:t>j,t</w:t>
            </w:r>
            <w:proofErr w:type="spellEnd"/>
            <w:r w:rsidRPr="0023367D">
              <w:rPr>
                <w:color w:val="000000"/>
                <w:sz w:val="22"/>
                <w:vertAlign w:val="subscript"/>
              </w:rPr>
              <w:t xml:space="preserve"> -1</w:t>
            </w:r>
            <w:r w:rsidRPr="0023367D">
              <w:rPr>
                <w:color w:val="000000"/>
                <w:sz w:val="22"/>
              </w:rPr>
              <w:t>)</w:t>
            </w:r>
          </w:p>
        </w:tc>
        <w:tc>
          <w:tcPr>
            <w:tcW w:w="1170" w:type="dxa"/>
            <w:tcBorders>
              <w:top w:val="single" w:sz="4" w:space="0" w:color="auto"/>
              <w:bottom w:val="nil"/>
            </w:tcBorders>
            <w:shd w:val="clear" w:color="auto" w:fill="auto"/>
            <w:vAlign w:val="center"/>
          </w:tcPr>
          <w:p w14:paraId="0989D9FE" w14:textId="77777777" w:rsidR="00335619" w:rsidRPr="0023367D" w:rsidRDefault="00335619" w:rsidP="00335619">
            <w:pPr>
              <w:jc w:val="center"/>
              <w:rPr>
                <w:color w:val="000000"/>
                <w:sz w:val="22"/>
                <w:szCs w:val="22"/>
              </w:rPr>
            </w:pPr>
            <w:r w:rsidRPr="0023367D">
              <w:rPr>
                <w:color w:val="000000"/>
                <w:sz w:val="22"/>
                <w:szCs w:val="22"/>
              </w:rPr>
              <w:t>-0.015</w:t>
            </w:r>
          </w:p>
          <w:p w14:paraId="087C9229" w14:textId="77777777" w:rsidR="00335619" w:rsidRPr="0023367D" w:rsidRDefault="00335619" w:rsidP="00335619">
            <w:pPr>
              <w:jc w:val="center"/>
              <w:rPr>
                <w:color w:val="000000"/>
                <w:sz w:val="22"/>
                <w:szCs w:val="22"/>
              </w:rPr>
            </w:pPr>
            <w:r w:rsidRPr="0023367D">
              <w:rPr>
                <w:color w:val="000000"/>
                <w:sz w:val="22"/>
                <w:szCs w:val="22"/>
              </w:rPr>
              <w:t>(-2.19)</w:t>
            </w:r>
            <w:r w:rsidRPr="0023367D">
              <w:rPr>
                <w:color w:val="000000"/>
                <w:sz w:val="22"/>
                <w:szCs w:val="22"/>
                <w:vertAlign w:val="superscript"/>
              </w:rPr>
              <w:t>**</w:t>
            </w:r>
          </w:p>
        </w:tc>
        <w:tc>
          <w:tcPr>
            <w:tcW w:w="1350" w:type="dxa"/>
            <w:tcBorders>
              <w:top w:val="single" w:sz="4" w:space="0" w:color="auto"/>
              <w:bottom w:val="nil"/>
            </w:tcBorders>
            <w:vAlign w:val="center"/>
          </w:tcPr>
          <w:p w14:paraId="2DFFDACE" w14:textId="77777777" w:rsidR="00335619" w:rsidRPr="0023367D" w:rsidRDefault="00335619" w:rsidP="00335619">
            <w:pPr>
              <w:jc w:val="center"/>
              <w:rPr>
                <w:color w:val="000000"/>
                <w:sz w:val="22"/>
                <w:szCs w:val="22"/>
              </w:rPr>
            </w:pPr>
            <w:r w:rsidRPr="0023367D">
              <w:rPr>
                <w:color w:val="000000"/>
                <w:sz w:val="22"/>
                <w:szCs w:val="22"/>
              </w:rPr>
              <w:t>-0.009</w:t>
            </w:r>
          </w:p>
          <w:p w14:paraId="4B79D53F" w14:textId="77777777" w:rsidR="00335619" w:rsidRPr="0023367D" w:rsidRDefault="00335619" w:rsidP="00335619">
            <w:pPr>
              <w:jc w:val="center"/>
              <w:rPr>
                <w:color w:val="000000"/>
                <w:sz w:val="22"/>
                <w:szCs w:val="22"/>
              </w:rPr>
            </w:pPr>
            <w:r w:rsidRPr="0023367D">
              <w:rPr>
                <w:color w:val="000000"/>
                <w:sz w:val="22"/>
                <w:szCs w:val="22"/>
              </w:rPr>
              <w:t>(-1.14)</w:t>
            </w:r>
          </w:p>
        </w:tc>
        <w:tc>
          <w:tcPr>
            <w:tcW w:w="1170" w:type="dxa"/>
            <w:tcBorders>
              <w:top w:val="single" w:sz="4" w:space="0" w:color="auto"/>
              <w:bottom w:val="nil"/>
              <w:right w:val="single" w:sz="18" w:space="0" w:color="auto"/>
            </w:tcBorders>
            <w:vAlign w:val="center"/>
          </w:tcPr>
          <w:p w14:paraId="1BF6A582" w14:textId="77777777" w:rsidR="00335619" w:rsidRPr="0023367D" w:rsidRDefault="00335619" w:rsidP="00335619">
            <w:pPr>
              <w:jc w:val="center"/>
              <w:rPr>
                <w:color w:val="000000"/>
                <w:sz w:val="22"/>
                <w:szCs w:val="22"/>
              </w:rPr>
            </w:pPr>
          </w:p>
        </w:tc>
        <w:tc>
          <w:tcPr>
            <w:tcW w:w="1170" w:type="dxa"/>
            <w:tcBorders>
              <w:top w:val="single" w:sz="4" w:space="0" w:color="auto"/>
              <w:left w:val="single" w:sz="18" w:space="0" w:color="auto"/>
              <w:bottom w:val="nil"/>
            </w:tcBorders>
            <w:vAlign w:val="center"/>
          </w:tcPr>
          <w:p w14:paraId="60383AF9" w14:textId="77777777" w:rsidR="00335619" w:rsidRPr="0023367D" w:rsidRDefault="00335619" w:rsidP="00335619">
            <w:pPr>
              <w:jc w:val="center"/>
              <w:rPr>
                <w:color w:val="000000"/>
                <w:sz w:val="22"/>
                <w:szCs w:val="22"/>
              </w:rPr>
            </w:pPr>
            <w:r w:rsidRPr="0023367D">
              <w:rPr>
                <w:color w:val="000000"/>
                <w:sz w:val="22"/>
                <w:szCs w:val="22"/>
              </w:rPr>
              <w:t>0.001</w:t>
            </w:r>
          </w:p>
          <w:p w14:paraId="683B5EFC" w14:textId="77777777" w:rsidR="00335619" w:rsidRPr="0023367D" w:rsidRDefault="00335619" w:rsidP="00335619">
            <w:pPr>
              <w:jc w:val="center"/>
              <w:rPr>
                <w:color w:val="000000"/>
                <w:sz w:val="22"/>
                <w:szCs w:val="22"/>
              </w:rPr>
            </w:pPr>
            <w:r w:rsidRPr="0023367D">
              <w:rPr>
                <w:color w:val="000000"/>
                <w:sz w:val="22"/>
                <w:szCs w:val="22"/>
              </w:rPr>
              <w:t>(0.05)</w:t>
            </w:r>
          </w:p>
        </w:tc>
        <w:tc>
          <w:tcPr>
            <w:tcW w:w="1170" w:type="dxa"/>
            <w:tcBorders>
              <w:top w:val="single" w:sz="4" w:space="0" w:color="auto"/>
              <w:bottom w:val="nil"/>
            </w:tcBorders>
            <w:vAlign w:val="center"/>
          </w:tcPr>
          <w:p w14:paraId="48B7E567" w14:textId="77777777" w:rsidR="00335619" w:rsidRPr="0023367D" w:rsidRDefault="00335619" w:rsidP="00335619">
            <w:pPr>
              <w:jc w:val="center"/>
              <w:rPr>
                <w:color w:val="000000"/>
                <w:sz w:val="22"/>
                <w:szCs w:val="22"/>
              </w:rPr>
            </w:pPr>
            <w:r w:rsidRPr="0023367D">
              <w:rPr>
                <w:color w:val="000000"/>
                <w:sz w:val="22"/>
                <w:szCs w:val="22"/>
              </w:rPr>
              <w:t>0.007</w:t>
            </w:r>
          </w:p>
          <w:p w14:paraId="51E883EC" w14:textId="77777777" w:rsidR="00335619" w:rsidRPr="0023367D" w:rsidRDefault="00335619" w:rsidP="00335619">
            <w:pPr>
              <w:jc w:val="center"/>
              <w:rPr>
                <w:color w:val="000000"/>
                <w:sz w:val="22"/>
                <w:szCs w:val="22"/>
              </w:rPr>
            </w:pPr>
            <w:r w:rsidRPr="0023367D">
              <w:rPr>
                <w:color w:val="000000"/>
                <w:sz w:val="22"/>
                <w:szCs w:val="22"/>
              </w:rPr>
              <w:t>(0.37)</w:t>
            </w:r>
          </w:p>
        </w:tc>
        <w:tc>
          <w:tcPr>
            <w:tcW w:w="1170" w:type="dxa"/>
            <w:tcBorders>
              <w:top w:val="single" w:sz="4" w:space="0" w:color="auto"/>
              <w:bottom w:val="nil"/>
            </w:tcBorders>
            <w:shd w:val="clear" w:color="auto" w:fill="auto"/>
            <w:vAlign w:val="center"/>
          </w:tcPr>
          <w:p w14:paraId="6019D6F7" w14:textId="77777777" w:rsidR="00335619" w:rsidRPr="0023367D" w:rsidRDefault="00335619" w:rsidP="00335619">
            <w:pPr>
              <w:jc w:val="center"/>
              <w:rPr>
                <w:color w:val="000000"/>
                <w:sz w:val="22"/>
                <w:szCs w:val="22"/>
              </w:rPr>
            </w:pPr>
          </w:p>
        </w:tc>
      </w:tr>
      <w:tr w:rsidR="00335619" w:rsidRPr="0023367D" w14:paraId="77C9C0F0" w14:textId="77777777" w:rsidTr="00245940">
        <w:trPr>
          <w:jc w:val="center"/>
        </w:trPr>
        <w:tc>
          <w:tcPr>
            <w:tcW w:w="2605" w:type="dxa"/>
            <w:tcBorders>
              <w:top w:val="single" w:sz="4" w:space="0" w:color="auto"/>
              <w:bottom w:val="nil"/>
            </w:tcBorders>
            <w:shd w:val="clear" w:color="auto" w:fill="auto"/>
            <w:vAlign w:val="center"/>
          </w:tcPr>
          <w:p w14:paraId="1515990D" w14:textId="77777777" w:rsidR="00335619" w:rsidRPr="0023367D" w:rsidRDefault="00335619" w:rsidP="00335619">
            <w:pPr>
              <w:rPr>
                <w:color w:val="000000"/>
                <w:sz w:val="22"/>
              </w:rPr>
            </w:pPr>
            <w:r w:rsidRPr="0023367D">
              <w:rPr>
                <w:color w:val="000000"/>
                <w:sz w:val="22"/>
              </w:rPr>
              <w:t>LOSS</w:t>
            </w:r>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 xml:space="preserve"> *</w:t>
            </w:r>
          </w:p>
          <w:p w14:paraId="789D332E" w14:textId="77777777" w:rsidR="00335619" w:rsidRPr="0023367D" w:rsidRDefault="00335619" w:rsidP="00335619">
            <w:pPr>
              <w:rPr>
                <w:sz w:val="22"/>
                <w:lang w:bidi="he-IL"/>
              </w:rPr>
            </w:pPr>
            <w:r w:rsidRPr="0023367D">
              <w:rPr>
                <w:sz w:val="22"/>
              </w:rPr>
              <w:t>∆</w:t>
            </w:r>
            <w:r w:rsidRPr="0023367D">
              <w:rPr>
                <w:color w:val="000000"/>
                <w:sz w:val="22"/>
              </w:rPr>
              <w:t>(</w:t>
            </w:r>
            <w:proofErr w:type="spellStart"/>
            <w:r w:rsidRPr="0023367D">
              <w:rPr>
                <w:color w:val="000000"/>
                <w:sz w:val="22"/>
              </w:rPr>
              <w:t>Liab</w:t>
            </w:r>
            <w:proofErr w:type="spellEnd"/>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 xml:space="preserve"> /Assets</w:t>
            </w:r>
            <w:r w:rsidRPr="0023367D">
              <w:rPr>
                <w:sz w:val="22"/>
                <w:vertAlign w:val="subscript"/>
              </w:rPr>
              <w:t xml:space="preserve"> </w:t>
            </w:r>
            <w:proofErr w:type="spellStart"/>
            <w:r w:rsidRPr="0023367D">
              <w:rPr>
                <w:sz w:val="22"/>
                <w:vertAlign w:val="subscript"/>
              </w:rPr>
              <w:t>j,t</w:t>
            </w:r>
            <w:proofErr w:type="spellEnd"/>
            <w:r w:rsidRPr="0023367D">
              <w:rPr>
                <w:color w:val="000000"/>
                <w:sz w:val="22"/>
              </w:rPr>
              <w:t>)</w:t>
            </w:r>
          </w:p>
        </w:tc>
        <w:tc>
          <w:tcPr>
            <w:tcW w:w="1170" w:type="dxa"/>
            <w:tcBorders>
              <w:top w:val="single" w:sz="4" w:space="0" w:color="auto"/>
              <w:bottom w:val="nil"/>
            </w:tcBorders>
            <w:shd w:val="clear" w:color="auto" w:fill="auto"/>
            <w:vAlign w:val="center"/>
          </w:tcPr>
          <w:p w14:paraId="41C1530A" w14:textId="77777777" w:rsidR="00335619" w:rsidRPr="0023367D" w:rsidRDefault="00335619" w:rsidP="00335619">
            <w:pPr>
              <w:jc w:val="center"/>
              <w:rPr>
                <w:color w:val="000000"/>
                <w:sz w:val="22"/>
                <w:szCs w:val="22"/>
              </w:rPr>
            </w:pPr>
            <w:r w:rsidRPr="0023367D">
              <w:rPr>
                <w:color w:val="000000"/>
                <w:sz w:val="22"/>
                <w:szCs w:val="22"/>
              </w:rPr>
              <w:t>-0.017</w:t>
            </w:r>
          </w:p>
          <w:p w14:paraId="309B6CB1" w14:textId="77777777" w:rsidR="00335619" w:rsidRPr="0023367D" w:rsidRDefault="00335619" w:rsidP="00335619">
            <w:pPr>
              <w:jc w:val="center"/>
              <w:rPr>
                <w:color w:val="000000"/>
                <w:sz w:val="22"/>
                <w:szCs w:val="22"/>
              </w:rPr>
            </w:pPr>
            <w:r w:rsidRPr="0023367D">
              <w:rPr>
                <w:color w:val="000000"/>
                <w:sz w:val="22"/>
                <w:szCs w:val="22"/>
              </w:rPr>
              <w:t>(-0.97)</w:t>
            </w:r>
          </w:p>
        </w:tc>
        <w:tc>
          <w:tcPr>
            <w:tcW w:w="1350" w:type="dxa"/>
            <w:tcBorders>
              <w:top w:val="single" w:sz="4" w:space="0" w:color="auto"/>
              <w:bottom w:val="nil"/>
            </w:tcBorders>
            <w:vAlign w:val="center"/>
          </w:tcPr>
          <w:p w14:paraId="55A595C5" w14:textId="77777777" w:rsidR="00335619" w:rsidRPr="0023367D" w:rsidRDefault="00335619" w:rsidP="00335619">
            <w:pPr>
              <w:jc w:val="center"/>
              <w:rPr>
                <w:color w:val="000000"/>
                <w:sz w:val="22"/>
                <w:szCs w:val="22"/>
              </w:rPr>
            </w:pPr>
            <w:r w:rsidRPr="0023367D">
              <w:rPr>
                <w:color w:val="000000"/>
                <w:sz w:val="22"/>
                <w:szCs w:val="22"/>
              </w:rPr>
              <w:t>-0.109</w:t>
            </w:r>
          </w:p>
          <w:p w14:paraId="4C6F8DBE" w14:textId="77777777" w:rsidR="00335619" w:rsidRPr="0023367D" w:rsidRDefault="00335619" w:rsidP="00335619">
            <w:pPr>
              <w:jc w:val="center"/>
              <w:rPr>
                <w:color w:val="000000"/>
                <w:sz w:val="22"/>
                <w:szCs w:val="22"/>
              </w:rPr>
            </w:pPr>
            <w:r w:rsidRPr="0023367D">
              <w:rPr>
                <w:color w:val="000000"/>
                <w:sz w:val="22"/>
                <w:szCs w:val="22"/>
              </w:rPr>
              <w:t>(-5.76)</w:t>
            </w:r>
            <w:r w:rsidRPr="0023367D">
              <w:rPr>
                <w:color w:val="000000"/>
                <w:sz w:val="22"/>
                <w:szCs w:val="22"/>
                <w:vertAlign w:val="superscript"/>
              </w:rPr>
              <w:t>***</w:t>
            </w:r>
          </w:p>
        </w:tc>
        <w:tc>
          <w:tcPr>
            <w:tcW w:w="1170" w:type="dxa"/>
            <w:tcBorders>
              <w:top w:val="single" w:sz="4" w:space="0" w:color="auto"/>
              <w:bottom w:val="nil"/>
              <w:right w:val="single" w:sz="18" w:space="0" w:color="auto"/>
            </w:tcBorders>
            <w:vAlign w:val="center"/>
          </w:tcPr>
          <w:p w14:paraId="6E9D906E" w14:textId="77777777" w:rsidR="00335619" w:rsidRPr="0023367D" w:rsidRDefault="00335619" w:rsidP="00335619">
            <w:pPr>
              <w:jc w:val="center"/>
              <w:rPr>
                <w:color w:val="000000"/>
                <w:sz w:val="22"/>
                <w:szCs w:val="22"/>
              </w:rPr>
            </w:pPr>
          </w:p>
        </w:tc>
        <w:tc>
          <w:tcPr>
            <w:tcW w:w="1170" w:type="dxa"/>
            <w:tcBorders>
              <w:top w:val="single" w:sz="4" w:space="0" w:color="auto"/>
              <w:left w:val="single" w:sz="18" w:space="0" w:color="auto"/>
              <w:bottom w:val="nil"/>
            </w:tcBorders>
            <w:vAlign w:val="center"/>
          </w:tcPr>
          <w:p w14:paraId="2DBAC712" w14:textId="77777777" w:rsidR="00335619" w:rsidRPr="0023367D" w:rsidRDefault="00335619" w:rsidP="00335619">
            <w:pPr>
              <w:jc w:val="center"/>
              <w:rPr>
                <w:color w:val="000000"/>
                <w:sz w:val="22"/>
                <w:szCs w:val="22"/>
              </w:rPr>
            </w:pPr>
            <w:r w:rsidRPr="0023367D">
              <w:rPr>
                <w:color w:val="000000"/>
                <w:sz w:val="22"/>
                <w:szCs w:val="22"/>
              </w:rPr>
              <w:t>-0.011</w:t>
            </w:r>
          </w:p>
          <w:p w14:paraId="7173C1CC" w14:textId="77777777" w:rsidR="00335619" w:rsidRPr="0023367D" w:rsidRDefault="00335619" w:rsidP="00335619">
            <w:pPr>
              <w:jc w:val="center"/>
              <w:rPr>
                <w:color w:val="000000"/>
                <w:sz w:val="22"/>
                <w:szCs w:val="22"/>
              </w:rPr>
            </w:pPr>
            <w:r w:rsidRPr="0023367D">
              <w:rPr>
                <w:color w:val="000000"/>
                <w:sz w:val="22"/>
                <w:szCs w:val="22"/>
              </w:rPr>
              <w:t>(-0.32)</w:t>
            </w:r>
          </w:p>
        </w:tc>
        <w:tc>
          <w:tcPr>
            <w:tcW w:w="1170" w:type="dxa"/>
            <w:tcBorders>
              <w:top w:val="single" w:sz="4" w:space="0" w:color="auto"/>
              <w:bottom w:val="nil"/>
            </w:tcBorders>
            <w:vAlign w:val="center"/>
          </w:tcPr>
          <w:p w14:paraId="00DE9B29" w14:textId="77777777" w:rsidR="00335619" w:rsidRPr="0023367D" w:rsidRDefault="00335619" w:rsidP="00335619">
            <w:pPr>
              <w:jc w:val="center"/>
              <w:rPr>
                <w:color w:val="000000"/>
                <w:sz w:val="22"/>
                <w:szCs w:val="22"/>
              </w:rPr>
            </w:pPr>
            <w:r w:rsidRPr="0023367D">
              <w:rPr>
                <w:color w:val="000000"/>
                <w:sz w:val="22"/>
                <w:szCs w:val="22"/>
              </w:rPr>
              <w:t>-0.077</w:t>
            </w:r>
          </w:p>
          <w:p w14:paraId="76F324AB" w14:textId="77777777" w:rsidR="00335619" w:rsidRPr="0023367D" w:rsidRDefault="00335619" w:rsidP="00335619">
            <w:pPr>
              <w:jc w:val="center"/>
              <w:rPr>
                <w:color w:val="000000"/>
                <w:sz w:val="22"/>
                <w:szCs w:val="22"/>
              </w:rPr>
            </w:pPr>
            <w:r w:rsidRPr="0023367D">
              <w:rPr>
                <w:color w:val="000000"/>
                <w:sz w:val="22"/>
                <w:szCs w:val="22"/>
              </w:rPr>
              <w:t>(-1.99)</w:t>
            </w:r>
            <w:r w:rsidRPr="0023367D">
              <w:rPr>
                <w:color w:val="000000"/>
                <w:sz w:val="22"/>
                <w:szCs w:val="22"/>
                <w:vertAlign w:val="superscript"/>
              </w:rPr>
              <w:t>**</w:t>
            </w:r>
          </w:p>
        </w:tc>
        <w:tc>
          <w:tcPr>
            <w:tcW w:w="1170" w:type="dxa"/>
            <w:tcBorders>
              <w:top w:val="single" w:sz="4" w:space="0" w:color="auto"/>
              <w:bottom w:val="nil"/>
            </w:tcBorders>
            <w:shd w:val="clear" w:color="auto" w:fill="auto"/>
            <w:vAlign w:val="center"/>
          </w:tcPr>
          <w:p w14:paraId="68D2BDD7" w14:textId="77777777" w:rsidR="00335619" w:rsidRPr="0023367D" w:rsidRDefault="00335619" w:rsidP="00335619">
            <w:pPr>
              <w:jc w:val="center"/>
              <w:rPr>
                <w:color w:val="000000"/>
                <w:sz w:val="22"/>
                <w:szCs w:val="22"/>
              </w:rPr>
            </w:pPr>
          </w:p>
        </w:tc>
      </w:tr>
      <w:tr w:rsidR="00335619" w:rsidRPr="0023367D" w14:paraId="663A857E" w14:textId="77777777" w:rsidTr="00245940">
        <w:trPr>
          <w:jc w:val="center"/>
        </w:trPr>
        <w:tc>
          <w:tcPr>
            <w:tcW w:w="2605" w:type="dxa"/>
            <w:tcBorders>
              <w:top w:val="single" w:sz="4" w:space="0" w:color="auto"/>
              <w:bottom w:val="nil"/>
            </w:tcBorders>
            <w:shd w:val="clear" w:color="auto" w:fill="auto"/>
            <w:vAlign w:val="center"/>
          </w:tcPr>
          <w:p w14:paraId="11FB9D3E" w14:textId="77777777" w:rsidR="00335619" w:rsidRPr="0023367D" w:rsidRDefault="00335619" w:rsidP="00F555BE">
            <w:pPr>
              <w:rPr>
                <w:sz w:val="22"/>
                <w:lang w:bidi="he-IL"/>
              </w:rPr>
            </w:pPr>
            <w:r w:rsidRPr="0023367D">
              <w:rPr>
                <w:sz w:val="22"/>
              </w:rPr>
              <w:t>∆</w:t>
            </w:r>
            <w:r w:rsidRPr="0023367D">
              <w:rPr>
                <w:color w:val="000000"/>
                <w:sz w:val="22"/>
              </w:rPr>
              <w:t>PROB</w:t>
            </w:r>
            <w:r w:rsidRPr="0023367D">
              <w:rPr>
                <w:sz w:val="22"/>
                <w:vertAlign w:val="subscript"/>
              </w:rPr>
              <w:t xml:space="preserve"> </w:t>
            </w:r>
            <w:proofErr w:type="spellStart"/>
            <w:r w:rsidRPr="0023367D">
              <w:rPr>
                <w:sz w:val="22"/>
                <w:vertAlign w:val="subscript"/>
              </w:rPr>
              <w:t>j,t</w:t>
            </w:r>
            <w:proofErr w:type="spellEnd"/>
          </w:p>
        </w:tc>
        <w:tc>
          <w:tcPr>
            <w:tcW w:w="1170" w:type="dxa"/>
            <w:tcBorders>
              <w:top w:val="single" w:sz="4" w:space="0" w:color="auto"/>
              <w:bottom w:val="nil"/>
            </w:tcBorders>
            <w:shd w:val="clear" w:color="auto" w:fill="auto"/>
            <w:vAlign w:val="center"/>
          </w:tcPr>
          <w:p w14:paraId="7CCC1648" w14:textId="77777777" w:rsidR="00335619" w:rsidRPr="0023367D" w:rsidRDefault="00335619" w:rsidP="00335619">
            <w:pPr>
              <w:jc w:val="center"/>
              <w:rPr>
                <w:rFonts w:ascii="Arial" w:hAnsi="Arial" w:cs="Arial"/>
                <w:color w:val="000000"/>
                <w:sz w:val="22"/>
                <w:szCs w:val="22"/>
              </w:rPr>
            </w:pPr>
            <w:r w:rsidRPr="0023367D">
              <w:rPr>
                <w:color w:val="000000"/>
                <w:sz w:val="22"/>
                <w:szCs w:val="22"/>
              </w:rPr>
              <w:t>-0.757</w:t>
            </w:r>
          </w:p>
        </w:tc>
        <w:tc>
          <w:tcPr>
            <w:tcW w:w="1350" w:type="dxa"/>
            <w:tcBorders>
              <w:top w:val="single" w:sz="4" w:space="0" w:color="auto"/>
              <w:bottom w:val="nil"/>
            </w:tcBorders>
            <w:vAlign w:val="center"/>
          </w:tcPr>
          <w:p w14:paraId="3C7FC24A" w14:textId="77777777" w:rsidR="00335619" w:rsidRPr="0023367D" w:rsidRDefault="00335619" w:rsidP="00335619">
            <w:pPr>
              <w:jc w:val="center"/>
              <w:rPr>
                <w:color w:val="000000"/>
                <w:sz w:val="22"/>
                <w:szCs w:val="22"/>
              </w:rPr>
            </w:pPr>
          </w:p>
        </w:tc>
        <w:tc>
          <w:tcPr>
            <w:tcW w:w="1170" w:type="dxa"/>
            <w:tcBorders>
              <w:top w:val="single" w:sz="4" w:space="0" w:color="auto"/>
              <w:bottom w:val="nil"/>
              <w:right w:val="single" w:sz="18" w:space="0" w:color="auto"/>
            </w:tcBorders>
            <w:vAlign w:val="center"/>
          </w:tcPr>
          <w:p w14:paraId="0C4D6DB9" w14:textId="77777777" w:rsidR="00335619" w:rsidRPr="0023367D" w:rsidRDefault="00335619" w:rsidP="00335619">
            <w:pPr>
              <w:jc w:val="center"/>
              <w:rPr>
                <w:rFonts w:ascii="Arial" w:hAnsi="Arial" w:cs="Arial"/>
                <w:color w:val="000000"/>
                <w:sz w:val="22"/>
                <w:szCs w:val="22"/>
              </w:rPr>
            </w:pPr>
            <w:r w:rsidRPr="0023367D">
              <w:rPr>
                <w:color w:val="000000"/>
                <w:sz w:val="22"/>
                <w:szCs w:val="22"/>
              </w:rPr>
              <w:t>-0.829</w:t>
            </w:r>
          </w:p>
        </w:tc>
        <w:tc>
          <w:tcPr>
            <w:tcW w:w="1170" w:type="dxa"/>
            <w:tcBorders>
              <w:top w:val="single" w:sz="4" w:space="0" w:color="auto"/>
              <w:left w:val="single" w:sz="18" w:space="0" w:color="auto"/>
              <w:bottom w:val="nil"/>
            </w:tcBorders>
            <w:vAlign w:val="center"/>
          </w:tcPr>
          <w:p w14:paraId="117707B6" w14:textId="77777777" w:rsidR="00335619" w:rsidRPr="0023367D" w:rsidRDefault="00335619" w:rsidP="00335619">
            <w:pPr>
              <w:jc w:val="center"/>
              <w:rPr>
                <w:rFonts w:ascii="Arial" w:hAnsi="Arial" w:cs="Arial"/>
                <w:color w:val="000000"/>
                <w:sz w:val="22"/>
                <w:szCs w:val="22"/>
              </w:rPr>
            </w:pPr>
            <w:r w:rsidRPr="0023367D">
              <w:rPr>
                <w:color w:val="000000"/>
                <w:sz w:val="22"/>
                <w:szCs w:val="22"/>
              </w:rPr>
              <w:t>-0.771</w:t>
            </w:r>
          </w:p>
        </w:tc>
        <w:tc>
          <w:tcPr>
            <w:tcW w:w="1170" w:type="dxa"/>
            <w:tcBorders>
              <w:top w:val="single" w:sz="4" w:space="0" w:color="auto"/>
              <w:bottom w:val="nil"/>
            </w:tcBorders>
            <w:vAlign w:val="center"/>
          </w:tcPr>
          <w:p w14:paraId="1E6F78C2" w14:textId="77777777" w:rsidR="00335619" w:rsidRPr="0023367D" w:rsidRDefault="00335619" w:rsidP="00335619">
            <w:pPr>
              <w:jc w:val="center"/>
              <w:rPr>
                <w:color w:val="000000"/>
                <w:sz w:val="22"/>
                <w:szCs w:val="22"/>
              </w:rPr>
            </w:pPr>
          </w:p>
        </w:tc>
        <w:tc>
          <w:tcPr>
            <w:tcW w:w="1170" w:type="dxa"/>
            <w:tcBorders>
              <w:top w:val="single" w:sz="4" w:space="0" w:color="auto"/>
              <w:bottom w:val="nil"/>
            </w:tcBorders>
            <w:shd w:val="clear" w:color="auto" w:fill="auto"/>
            <w:vAlign w:val="center"/>
          </w:tcPr>
          <w:p w14:paraId="35786153" w14:textId="77777777" w:rsidR="00335619" w:rsidRPr="0023367D" w:rsidRDefault="00335619" w:rsidP="00335619">
            <w:pPr>
              <w:jc w:val="center"/>
              <w:rPr>
                <w:rFonts w:ascii="Arial" w:hAnsi="Arial" w:cs="Arial"/>
                <w:color w:val="000000"/>
                <w:sz w:val="22"/>
                <w:szCs w:val="22"/>
              </w:rPr>
            </w:pPr>
            <w:r w:rsidRPr="0023367D">
              <w:rPr>
                <w:color w:val="000000"/>
                <w:sz w:val="22"/>
                <w:szCs w:val="22"/>
              </w:rPr>
              <w:t>-0.805</w:t>
            </w:r>
          </w:p>
        </w:tc>
      </w:tr>
      <w:tr w:rsidR="00335619" w:rsidRPr="0023367D" w14:paraId="2C32549F" w14:textId="77777777" w:rsidTr="00245940">
        <w:trPr>
          <w:jc w:val="center"/>
        </w:trPr>
        <w:tc>
          <w:tcPr>
            <w:tcW w:w="2605" w:type="dxa"/>
            <w:tcBorders>
              <w:top w:val="nil"/>
            </w:tcBorders>
            <w:shd w:val="clear" w:color="auto" w:fill="auto"/>
            <w:vAlign w:val="center"/>
          </w:tcPr>
          <w:p w14:paraId="6E201288" w14:textId="77777777" w:rsidR="00335619" w:rsidRPr="0023367D" w:rsidRDefault="00335619" w:rsidP="00335619">
            <w:pPr>
              <w:rPr>
                <w:sz w:val="22"/>
                <w:lang w:bidi="he-IL"/>
              </w:rPr>
            </w:pPr>
          </w:p>
        </w:tc>
        <w:tc>
          <w:tcPr>
            <w:tcW w:w="1170" w:type="dxa"/>
            <w:tcBorders>
              <w:top w:val="nil"/>
            </w:tcBorders>
            <w:shd w:val="clear" w:color="auto" w:fill="auto"/>
            <w:vAlign w:val="center"/>
          </w:tcPr>
          <w:p w14:paraId="5F73CA7D" w14:textId="77777777" w:rsidR="00335619" w:rsidRPr="0023367D" w:rsidRDefault="00335619" w:rsidP="00335619">
            <w:pPr>
              <w:jc w:val="center"/>
              <w:rPr>
                <w:sz w:val="22"/>
                <w:lang w:bidi="he-IL"/>
              </w:rPr>
            </w:pPr>
            <w:r w:rsidRPr="0023367D">
              <w:rPr>
                <w:color w:val="000000"/>
                <w:sz w:val="22"/>
                <w:szCs w:val="22"/>
              </w:rPr>
              <w:t>(-52.69)</w:t>
            </w:r>
            <w:r w:rsidRPr="0023367D">
              <w:rPr>
                <w:color w:val="000000"/>
                <w:sz w:val="22"/>
                <w:szCs w:val="22"/>
                <w:vertAlign w:val="superscript"/>
              </w:rPr>
              <w:t>***</w:t>
            </w:r>
          </w:p>
        </w:tc>
        <w:tc>
          <w:tcPr>
            <w:tcW w:w="1350" w:type="dxa"/>
            <w:tcBorders>
              <w:top w:val="nil"/>
            </w:tcBorders>
            <w:vAlign w:val="center"/>
          </w:tcPr>
          <w:p w14:paraId="782C0A94" w14:textId="77777777" w:rsidR="00335619" w:rsidRPr="0023367D" w:rsidRDefault="00335619" w:rsidP="00335619">
            <w:pPr>
              <w:jc w:val="center"/>
              <w:rPr>
                <w:color w:val="000000"/>
                <w:sz w:val="22"/>
                <w:szCs w:val="22"/>
              </w:rPr>
            </w:pPr>
          </w:p>
        </w:tc>
        <w:tc>
          <w:tcPr>
            <w:tcW w:w="1170" w:type="dxa"/>
            <w:tcBorders>
              <w:top w:val="nil"/>
              <w:right w:val="single" w:sz="18" w:space="0" w:color="auto"/>
            </w:tcBorders>
            <w:vAlign w:val="center"/>
          </w:tcPr>
          <w:p w14:paraId="4C9EC28E" w14:textId="77777777" w:rsidR="00335619" w:rsidRPr="0023367D" w:rsidRDefault="00335619" w:rsidP="00335619">
            <w:pPr>
              <w:jc w:val="center"/>
              <w:rPr>
                <w:sz w:val="22"/>
                <w:lang w:bidi="he-IL"/>
              </w:rPr>
            </w:pPr>
            <w:r w:rsidRPr="0023367D">
              <w:rPr>
                <w:color w:val="000000"/>
                <w:sz w:val="22"/>
                <w:szCs w:val="22"/>
              </w:rPr>
              <w:t>(-58.80)</w:t>
            </w:r>
            <w:r w:rsidRPr="0023367D">
              <w:rPr>
                <w:color w:val="000000"/>
                <w:sz w:val="22"/>
                <w:szCs w:val="22"/>
                <w:vertAlign w:val="superscript"/>
              </w:rPr>
              <w:t>***</w:t>
            </w:r>
          </w:p>
        </w:tc>
        <w:tc>
          <w:tcPr>
            <w:tcW w:w="1170" w:type="dxa"/>
            <w:tcBorders>
              <w:top w:val="nil"/>
              <w:left w:val="single" w:sz="18" w:space="0" w:color="auto"/>
            </w:tcBorders>
            <w:vAlign w:val="center"/>
          </w:tcPr>
          <w:p w14:paraId="019AA5EB" w14:textId="77777777" w:rsidR="00335619" w:rsidRPr="0023367D" w:rsidRDefault="00335619" w:rsidP="00335619">
            <w:pPr>
              <w:jc w:val="center"/>
              <w:rPr>
                <w:sz w:val="22"/>
                <w:lang w:bidi="he-IL"/>
              </w:rPr>
            </w:pPr>
            <w:r w:rsidRPr="0023367D">
              <w:rPr>
                <w:color w:val="000000"/>
                <w:sz w:val="22"/>
                <w:szCs w:val="22"/>
              </w:rPr>
              <w:t>(-34.65)</w:t>
            </w:r>
            <w:r w:rsidRPr="0023367D">
              <w:rPr>
                <w:color w:val="000000"/>
                <w:sz w:val="22"/>
                <w:szCs w:val="22"/>
                <w:vertAlign w:val="superscript"/>
              </w:rPr>
              <w:t>***</w:t>
            </w:r>
          </w:p>
        </w:tc>
        <w:tc>
          <w:tcPr>
            <w:tcW w:w="1170" w:type="dxa"/>
            <w:tcBorders>
              <w:top w:val="nil"/>
            </w:tcBorders>
            <w:vAlign w:val="center"/>
          </w:tcPr>
          <w:p w14:paraId="24DBE42A" w14:textId="77777777" w:rsidR="00335619" w:rsidRPr="0023367D" w:rsidRDefault="00335619" w:rsidP="00335619">
            <w:pPr>
              <w:jc w:val="center"/>
              <w:rPr>
                <w:color w:val="000000"/>
                <w:sz w:val="22"/>
                <w:szCs w:val="22"/>
              </w:rPr>
            </w:pPr>
          </w:p>
        </w:tc>
        <w:tc>
          <w:tcPr>
            <w:tcW w:w="1170" w:type="dxa"/>
            <w:tcBorders>
              <w:top w:val="nil"/>
            </w:tcBorders>
            <w:shd w:val="clear" w:color="auto" w:fill="auto"/>
            <w:vAlign w:val="center"/>
          </w:tcPr>
          <w:p w14:paraId="22CCF727" w14:textId="77777777" w:rsidR="00335619" w:rsidRPr="0023367D" w:rsidRDefault="00335619" w:rsidP="00335619">
            <w:pPr>
              <w:jc w:val="center"/>
              <w:rPr>
                <w:sz w:val="22"/>
                <w:lang w:bidi="he-IL"/>
              </w:rPr>
            </w:pPr>
            <w:r w:rsidRPr="0023367D">
              <w:rPr>
                <w:color w:val="000000"/>
                <w:sz w:val="22"/>
                <w:szCs w:val="22"/>
              </w:rPr>
              <w:t>(-36.97)</w:t>
            </w:r>
            <w:r w:rsidRPr="0023367D">
              <w:rPr>
                <w:color w:val="000000"/>
                <w:sz w:val="22"/>
                <w:szCs w:val="22"/>
                <w:vertAlign w:val="superscript"/>
              </w:rPr>
              <w:t>***</w:t>
            </w:r>
          </w:p>
        </w:tc>
      </w:tr>
      <w:tr w:rsidR="00335619" w:rsidRPr="0023367D" w14:paraId="7940168A" w14:textId="77777777" w:rsidTr="00245940">
        <w:trPr>
          <w:jc w:val="center"/>
        </w:trPr>
        <w:tc>
          <w:tcPr>
            <w:tcW w:w="2605" w:type="dxa"/>
            <w:shd w:val="clear" w:color="auto" w:fill="auto"/>
            <w:vAlign w:val="center"/>
          </w:tcPr>
          <w:p w14:paraId="21E5117F" w14:textId="77777777" w:rsidR="00335619" w:rsidRPr="0023367D" w:rsidRDefault="00335619" w:rsidP="00335619">
            <w:pPr>
              <w:rPr>
                <w:sz w:val="22"/>
                <w:lang w:bidi="he-IL"/>
              </w:rPr>
            </w:pPr>
          </w:p>
        </w:tc>
        <w:tc>
          <w:tcPr>
            <w:tcW w:w="1170" w:type="dxa"/>
            <w:shd w:val="clear" w:color="auto" w:fill="auto"/>
            <w:vAlign w:val="center"/>
          </w:tcPr>
          <w:p w14:paraId="6BDCFA08" w14:textId="77777777" w:rsidR="00335619" w:rsidRPr="0023367D" w:rsidRDefault="00335619" w:rsidP="00335619">
            <w:pPr>
              <w:jc w:val="center"/>
              <w:rPr>
                <w:color w:val="000000"/>
                <w:sz w:val="22"/>
                <w:szCs w:val="22"/>
              </w:rPr>
            </w:pPr>
          </w:p>
        </w:tc>
        <w:tc>
          <w:tcPr>
            <w:tcW w:w="1350" w:type="dxa"/>
            <w:vAlign w:val="center"/>
          </w:tcPr>
          <w:p w14:paraId="1770F2A4" w14:textId="77777777" w:rsidR="00335619" w:rsidRPr="0023367D" w:rsidRDefault="00335619" w:rsidP="00335619">
            <w:pPr>
              <w:jc w:val="center"/>
              <w:rPr>
                <w:color w:val="000000"/>
                <w:sz w:val="22"/>
                <w:szCs w:val="22"/>
              </w:rPr>
            </w:pPr>
          </w:p>
        </w:tc>
        <w:tc>
          <w:tcPr>
            <w:tcW w:w="1170" w:type="dxa"/>
            <w:tcBorders>
              <w:right w:val="single" w:sz="18" w:space="0" w:color="auto"/>
            </w:tcBorders>
            <w:vAlign w:val="center"/>
          </w:tcPr>
          <w:p w14:paraId="631944D5" w14:textId="77777777" w:rsidR="00335619" w:rsidRPr="0023367D" w:rsidRDefault="00335619" w:rsidP="00335619">
            <w:pPr>
              <w:jc w:val="center"/>
              <w:rPr>
                <w:color w:val="000000"/>
                <w:sz w:val="22"/>
                <w:szCs w:val="22"/>
              </w:rPr>
            </w:pPr>
          </w:p>
        </w:tc>
        <w:tc>
          <w:tcPr>
            <w:tcW w:w="1170" w:type="dxa"/>
            <w:tcBorders>
              <w:left w:val="single" w:sz="18" w:space="0" w:color="auto"/>
            </w:tcBorders>
            <w:vAlign w:val="center"/>
          </w:tcPr>
          <w:p w14:paraId="5B72959D" w14:textId="77777777" w:rsidR="00335619" w:rsidRPr="0023367D" w:rsidRDefault="00335619" w:rsidP="00335619">
            <w:pPr>
              <w:jc w:val="center"/>
              <w:rPr>
                <w:color w:val="000000"/>
                <w:sz w:val="22"/>
                <w:szCs w:val="22"/>
              </w:rPr>
            </w:pPr>
          </w:p>
        </w:tc>
        <w:tc>
          <w:tcPr>
            <w:tcW w:w="1170" w:type="dxa"/>
            <w:vAlign w:val="center"/>
          </w:tcPr>
          <w:p w14:paraId="55E29A00" w14:textId="77777777" w:rsidR="00335619" w:rsidRPr="0023367D" w:rsidRDefault="00335619" w:rsidP="00335619">
            <w:pPr>
              <w:jc w:val="center"/>
              <w:rPr>
                <w:color w:val="000000"/>
                <w:sz w:val="22"/>
                <w:szCs w:val="22"/>
              </w:rPr>
            </w:pPr>
          </w:p>
        </w:tc>
        <w:tc>
          <w:tcPr>
            <w:tcW w:w="1170" w:type="dxa"/>
            <w:shd w:val="clear" w:color="auto" w:fill="auto"/>
            <w:vAlign w:val="center"/>
          </w:tcPr>
          <w:p w14:paraId="713AD667" w14:textId="77777777" w:rsidR="00335619" w:rsidRPr="0023367D" w:rsidRDefault="00335619" w:rsidP="00335619">
            <w:pPr>
              <w:jc w:val="center"/>
              <w:rPr>
                <w:color w:val="000000"/>
                <w:sz w:val="22"/>
                <w:szCs w:val="22"/>
              </w:rPr>
            </w:pPr>
          </w:p>
        </w:tc>
      </w:tr>
      <w:tr w:rsidR="00335619" w:rsidRPr="0023367D" w14:paraId="698C90C4" w14:textId="77777777" w:rsidTr="00245940">
        <w:trPr>
          <w:trHeight w:val="432"/>
          <w:jc w:val="center"/>
        </w:trPr>
        <w:tc>
          <w:tcPr>
            <w:tcW w:w="2605" w:type="dxa"/>
            <w:shd w:val="clear" w:color="auto" w:fill="auto"/>
            <w:vAlign w:val="center"/>
          </w:tcPr>
          <w:p w14:paraId="2AADA658" w14:textId="77777777" w:rsidR="00335619" w:rsidRPr="0023367D" w:rsidRDefault="00335619" w:rsidP="00335619">
            <w:pPr>
              <w:rPr>
                <w:sz w:val="22"/>
                <w:lang w:bidi="he-IL"/>
              </w:rPr>
            </w:pPr>
            <w:r w:rsidRPr="0023367D">
              <w:rPr>
                <w:sz w:val="22"/>
                <w:lang w:bidi="he-IL"/>
              </w:rPr>
              <w:t>Adj. R</w:t>
            </w:r>
            <w:r w:rsidRPr="0023367D">
              <w:rPr>
                <w:sz w:val="22"/>
                <w:vertAlign w:val="superscript"/>
                <w:lang w:bidi="he-IL"/>
              </w:rPr>
              <w:t>2</w:t>
            </w:r>
          </w:p>
        </w:tc>
        <w:tc>
          <w:tcPr>
            <w:tcW w:w="1170" w:type="dxa"/>
            <w:shd w:val="clear" w:color="auto" w:fill="auto"/>
            <w:vAlign w:val="center"/>
          </w:tcPr>
          <w:p w14:paraId="62D33B55" w14:textId="77777777" w:rsidR="00335619" w:rsidRPr="0023367D" w:rsidRDefault="00335619" w:rsidP="00335619">
            <w:pPr>
              <w:jc w:val="center"/>
              <w:rPr>
                <w:color w:val="000000"/>
                <w:sz w:val="22"/>
                <w:szCs w:val="22"/>
              </w:rPr>
            </w:pPr>
            <w:r w:rsidRPr="0023367D">
              <w:rPr>
                <w:color w:val="000000"/>
                <w:sz w:val="22"/>
                <w:szCs w:val="22"/>
              </w:rPr>
              <w:t>17.74%</w:t>
            </w:r>
          </w:p>
        </w:tc>
        <w:tc>
          <w:tcPr>
            <w:tcW w:w="1350" w:type="dxa"/>
            <w:vAlign w:val="center"/>
          </w:tcPr>
          <w:p w14:paraId="5C982303" w14:textId="77777777" w:rsidR="00335619" w:rsidRPr="0023367D" w:rsidRDefault="00335619" w:rsidP="00335619">
            <w:pPr>
              <w:jc w:val="center"/>
              <w:rPr>
                <w:color w:val="000000"/>
                <w:sz w:val="22"/>
                <w:szCs w:val="22"/>
              </w:rPr>
            </w:pPr>
            <w:r w:rsidRPr="0023367D">
              <w:rPr>
                <w:color w:val="000000"/>
                <w:sz w:val="22"/>
                <w:szCs w:val="22"/>
              </w:rPr>
              <w:t>6.12%</w:t>
            </w:r>
          </w:p>
        </w:tc>
        <w:tc>
          <w:tcPr>
            <w:tcW w:w="1170" w:type="dxa"/>
            <w:tcBorders>
              <w:right w:val="single" w:sz="18" w:space="0" w:color="auto"/>
            </w:tcBorders>
            <w:vAlign w:val="center"/>
          </w:tcPr>
          <w:p w14:paraId="538422F3" w14:textId="77777777" w:rsidR="00335619" w:rsidRPr="0023367D" w:rsidRDefault="00335619" w:rsidP="00335619">
            <w:pPr>
              <w:jc w:val="center"/>
              <w:rPr>
                <w:color w:val="000000"/>
                <w:sz w:val="22"/>
                <w:szCs w:val="22"/>
              </w:rPr>
            </w:pPr>
            <w:r w:rsidRPr="0023367D">
              <w:rPr>
                <w:color w:val="000000"/>
                <w:sz w:val="22"/>
                <w:szCs w:val="22"/>
              </w:rPr>
              <w:t>14.96%</w:t>
            </w:r>
          </w:p>
        </w:tc>
        <w:tc>
          <w:tcPr>
            <w:tcW w:w="1170" w:type="dxa"/>
            <w:tcBorders>
              <w:left w:val="single" w:sz="18" w:space="0" w:color="auto"/>
            </w:tcBorders>
            <w:vAlign w:val="center"/>
          </w:tcPr>
          <w:p w14:paraId="0F3D9D98" w14:textId="77777777" w:rsidR="00335619" w:rsidRPr="0023367D" w:rsidRDefault="00335619" w:rsidP="00335619">
            <w:pPr>
              <w:jc w:val="center"/>
              <w:rPr>
                <w:color w:val="000000"/>
                <w:sz w:val="22"/>
                <w:szCs w:val="22"/>
              </w:rPr>
            </w:pPr>
            <w:r w:rsidRPr="0023367D">
              <w:rPr>
                <w:color w:val="000000"/>
                <w:sz w:val="22"/>
                <w:szCs w:val="22"/>
              </w:rPr>
              <w:t>19.73%</w:t>
            </w:r>
          </w:p>
        </w:tc>
        <w:tc>
          <w:tcPr>
            <w:tcW w:w="1170" w:type="dxa"/>
            <w:vAlign w:val="center"/>
          </w:tcPr>
          <w:p w14:paraId="49D3977A" w14:textId="77777777" w:rsidR="00335619" w:rsidRPr="0023367D" w:rsidRDefault="00335619" w:rsidP="00335619">
            <w:pPr>
              <w:jc w:val="center"/>
              <w:rPr>
                <w:color w:val="000000"/>
                <w:sz w:val="22"/>
                <w:szCs w:val="22"/>
              </w:rPr>
            </w:pPr>
            <w:r w:rsidRPr="0023367D">
              <w:rPr>
                <w:color w:val="000000"/>
                <w:sz w:val="22"/>
                <w:szCs w:val="22"/>
              </w:rPr>
              <w:t>4.35%</w:t>
            </w:r>
          </w:p>
        </w:tc>
        <w:tc>
          <w:tcPr>
            <w:tcW w:w="1170" w:type="dxa"/>
            <w:shd w:val="clear" w:color="auto" w:fill="auto"/>
            <w:vAlign w:val="center"/>
          </w:tcPr>
          <w:p w14:paraId="5566F331" w14:textId="77777777" w:rsidR="00335619" w:rsidRPr="0023367D" w:rsidRDefault="00335619" w:rsidP="00335619">
            <w:pPr>
              <w:jc w:val="center"/>
              <w:rPr>
                <w:color w:val="000000"/>
                <w:sz w:val="22"/>
                <w:szCs w:val="22"/>
              </w:rPr>
            </w:pPr>
            <w:r w:rsidRPr="0023367D">
              <w:rPr>
                <w:color w:val="000000"/>
                <w:sz w:val="22"/>
                <w:szCs w:val="22"/>
              </w:rPr>
              <w:t>17.89%</w:t>
            </w:r>
          </w:p>
        </w:tc>
      </w:tr>
      <w:tr w:rsidR="00335619" w:rsidRPr="0023367D" w14:paraId="470CEE56" w14:textId="77777777" w:rsidTr="00245940">
        <w:trPr>
          <w:trHeight w:val="432"/>
          <w:jc w:val="center"/>
        </w:trPr>
        <w:tc>
          <w:tcPr>
            <w:tcW w:w="2605" w:type="dxa"/>
            <w:shd w:val="clear" w:color="auto" w:fill="auto"/>
            <w:vAlign w:val="center"/>
          </w:tcPr>
          <w:p w14:paraId="509A939B" w14:textId="77777777" w:rsidR="00335619" w:rsidRPr="0023367D" w:rsidRDefault="00335619" w:rsidP="00335619">
            <w:pPr>
              <w:rPr>
                <w:sz w:val="22"/>
                <w:lang w:bidi="he-IL"/>
              </w:rPr>
            </w:pPr>
            <w:r w:rsidRPr="0023367D">
              <w:rPr>
                <w:sz w:val="22"/>
                <w:lang w:bidi="he-IL"/>
              </w:rPr>
              <w:t>Number of  Obs.</w:t>
            </w:r>
          </w:p>
        </w:tc>
        <w:tc>
          <w:tcPr>
            <w:tcW w:w="1170" w:type="dxa"/>
            <w:shd w:val="clear" w:color="auto" w:fill="auto"/>
            <w:vAlign w:val="center"/>
          </w:tcPr>
          <w:p w14:paraId="551D8A6F" w14:textId="77777777" w:rsidR="00335619" w:rsidRPr="0023367D" w:rsidRDefault="00335619" w:rsidP="00335619">
            <w:pPr>
              <w:jc w:val="center"/>
              <w:rPr>
                <w:color w:val="000000"/>
                <w:sz w:val="22"/>
                <w:szCs w:val="22"/>
              </w:rPr>
            </w:pPr>
            <w:r w:rsidRPr="0023367D">
              <w:rPr>
                <w:color w:val="000000"/>
                <w:sz w:val="22"/>
                <w:szCs w:val="22"/>
              </w:rPr>
              <w:t>19,658</w:t>
            </w:r>
          </w:p>
        </w:tc>
        <w:tc>
          <w:tcPr>
            <w:tcW w:w="1350" w:type="dxa"/>
            <w:vAlign w:val="center"/>
          </w:tcPr>
          <w:p w14:paraId="69549818" w14:textId="77777777" w:rsidR="00335619" w:rsidRPr="0023367D" w:rsidRDefault="00335619" w:rsidP="00335619">
            <w:pPr>
              <w:jc w:val="center"/>
              <w:rPr>
                <w:color w:val="000000"/>
                <w:sz w:val="22"/>
                <w:szCs w:val="22"/>
              </w:rPr>
            </w:pPr>
            <w:r w:rsidRPr="0023367D">
              <w:rPr>
                <w:color w:val="000000"/>
                <w:sz w:val="22"/>
                <w:szCs w:val="22"/>
              </w:rPr>
              <w:t>19,658</w:t>
            </w:r>
          </w:p>
        </w:tc>
        <w:tc>
          <w:tcPr>
            <w:tcW w:w="1170" w:type="dxa"/>
            <w:tcBorders>
              <w:right w:val="single" w:sz="18" w:space="0" w:color="auto"/>
            </w:tcBorders>
            <w:vAlign w:val="center"/>
          </w:tcPr>
          <w:p w14:paraId="6D5BAD67" w14:textId="77777777" w:rsidR="00335619" w:rsidRPr="0023367D" w:rsidRDefault="00335619" w:rsidP="00335619">
            <w:pPr>
              <w:jc w:val="center"/>
              <w:rPr>
                <w:color w:val="000000"/>
                <w:sz w:val="22"/>
                <w:szCs w:val="22"/>
              </w:rPr>
            </w:pPr>
            <w:r w:rsidRPr="0023367D">
              <w:rPr>
                <w:color w:val="000000"/>
                <w:sz w:val="22"/>
                <w:szCs w:val="22"/>
              </w:rPr>
              <w:t>19,658</w:t>
            </w:r>
          </w:p>
        </w:tc>
        <w:tc>
          <w:tcPr>
            <w:tcW w:w="1170" w:type="dxa"/>
            <w:tcBorders>
              <w:left w:val="single" w:sz="18" w:space="0" w:color="auto"/>
            </w:tcBorders>
            <w:vAlign w:val="center"/>
          </w:tcPr>
          <w:p w14:paraId="71183CB4" w14:textId="77777777" w:rsidR="00335619" w:rsidRPr="0023367D" w:rsidRDefault="00335619" w:rsidP="00335619">
            <w:pPr>
              <w:jc w:val="center"/>
              <w:rPr>
                <w:color w:val="000000"/>
                <w:sz w:val="22"/>
                <w:szCs w:val="22"/>
              </w:rPr>
            </w:pPr>
            <w:r w:rsidRPr="0023367D">
              <w:rPr>
                <w:color w:val="000000"/>
                <w:sz w:val="22"/>
                <w:szCs w:val="22"/>
              </w:rPr>
              <w:t>6,271</w:t>
            </w:r>
          </w:p>
        </w:tc>
        <w:tc>
          <w:tcPr>
            <w:tcW w:w="1170" w:type="dxa"/>
            <w:vAlign w:val="center"/>
          </w:tcPr>
          <w:p w14:paraId="49DDC1FF" w14:textId="77777777" w:rsidR="00335619" w:rsidRPr="0023367D" w:rsidRDefault="00335619" w:rsidP="00335619">
            <w:pPr>
              <w:jc w:val="center"/>
              <w:rPr>
                <w:color w:val="000000"/>
                <w:sz w:val="22"/>
                <w:szCs w:val="22"/>
              </w:rPr>
            </w:pPr>
            <w:r w:rsidRPr="0023367D">
              <w:rPr>
                <w:color w:val="000000"/>
                <w:sz w:val="22"/>
                <w:szCs w:val="22"/>
              </w:rPr>
              <w:t>6,271</w:t>
            </w:r>
          </w:p>
        </w:tc>
        <w:tc>
          <w:tcPr>
            <w:tcW w:w="1170" w:type="dxa"/>
            <w:shd w:val="clear" w:color="auto" w:fill="auto"/>
            <w:vAlign w:val="center"/>
          </w:tcPr>
          <w:p w14:paraId="5B68302C" w14:textId="77777777" w:rsidR="00335619" w:rsidRPr="0023367D" w:rsidRDefault="00335619" w:rsidP="00335619">
            <w:pPr>
              <w:jc w:val="center"/>
              <w:rPr>
                <w:color w:val="000000"/>
                <w:sz w:val="22"/>
                <w:szCs w:val="22"/>
              </w:rPr>
            </w:pPr>
            <w:r w:rsidRPr="0023367D">
              <w:rPr>
                <w:color w:val="000000"/>
                <w:sz w:val="22"/>
                <w:szCs w:val="22"/>
              </w:rPr>
              <w:t>6,271</w:t>
            </w:r>
          </w:p>
        </w:tc>
      </w:tr>
    </w:tbl>
    <w:p w14:paraId="562037BA" w14:textId="77777777" w:rsidR="00335619" w:rsidRPr="0023367D" w:rsidRDefault="00335619" w:rsidP="00335619">
      <w:pPr>
        <w:ind w:left="1530"/>
        <w:jc w:val="center"/>
      </w:pPr>
    </w:p>
    <w:p w14:paraId="2D06B649" w14:textId="77777777" w:rsidR="00335619" w:rsidRPr="0023367D" w:rsidRDefault="00335619" w:rsidP="00335619">
      <w:pPr>
        <w:tabs>
          <w:tab w:val="left" w:pos="10260"/>
        </w:tabs>
        <w:ind w:left="-180" w:right="-270"/>
        <w:rPr>
          <w:sz w:val="21"/>
          <w:szCs w:val="21"/>
        </w:rPr>
      </w:pPr>
      <w:r w:rsidRPr="0023367D">
        <w:rPr>
          <w:sz w:val="21"/>
          <w:szCs w:val="21"/>
        </w:rPr>
        <w:t xml:space="preserve">T-statistics are provided in parentheses with asterisks indicating significance at the 10% (*), 5% (**) and 1% (***) levels, respectively, using a two-tailed test. </w:t>
      </w:r>
    </w:p>
    <w:p w14:paraId="758BCE95" w14:textId="77777777" w:rsidR="00335619" w:rsidRPr="0023367D" w:rsidRDefault="00335619" w:rsidP="00335619">
      <w:pPr>
        <w:spacing w:line="276" w:lineRule="auto"/>
      </w:pPr>
    </w:p>
    <w:p w14:paraId="0F810F96" w14:textId="77777777" w:rsidR="00335619" w:rsidRPr="0023367D" w:rsidRDefault="00335619" w:rsidP="00335619">
      <w:pPr>
        <w:spacing w:line="276" w:lineRule="auto"/>
      </w:pPr>
    </w:p>
    <w:p w14:paraId="653F9EDE" w14:textId="77777777" w:rsidR="00335619" w:rsidRPr="0023367D" w:rsidRDefault="00335619" w:rsidP="00335619">
      <w:pPr>
        <w:spacing w:line="276" w:lineRule="auto"/>
      </w:pPr>
    </w:p>
    <w:p w14:paraId="54BE9F63" w14:textId="77777777" w:rsidR="00335619" w:rsidRPr="0023367D" w:rsidRDefault="00335619" w:rsidP="00335619">
      <w:pPr>
        <w:jc w:val="center"/>
        <w:outlineLvl w:val="0"/>
      </w:pPr>
    </w:p>
    <w:p w14:paraId="2FF572A8" w14:textId="77777777" w:rsidR="00335619" w:rsidRPr="0023367D" w:rsidRDefault="00335619" w:rsidP="00335619"/>
    <w:p w14:paraId="763C5AC3" w14:textId="77777777" w:rsidR="00335619" w:rsidRPr="0023367D" w:rsidRDefault="00335619" w:rsidP="00335619">
      <w:pPr>
        <w:jc w:val="center"/>
        <w:outlineLvl w:val="0"/>
      </w:pPr>
    </w:p>
    <w:p w14:paraId="0472F2D7" w14:textId="77777777" w:rsidR="00335619" w:rsidRPr="0023367D" w:rsidRDefault="00335619" w:rsidP="00335619">
      <w:pPr>
        <w:tabs>
          <w:tab w:val="left" w:pos="1395"/>
        </w:tabs>
        <w:outlineLvl w:val="0"/>
        <w:sectPr w:rsidR="00335619" w:rsidRPr="0023367D" w:rsidSect="00335619">
          <w:pgSz w:w="12240" w:h="15840"/>
          <w:pgMar w:top="1440" w:right="1440" w:bottom="1440" w:left="1440" w:header="720" w:footer="720" w:gutter="0"/>
          <w:cols w:space="720"/>
          <w:docGrid w:linePitch="360"/>
        </w:sectPr>
      </w:pPr>
    </w:p>
    <w:p w14:paraId="48DAC94B" w14:textId="77777777" w:rsidR="00335619" w:rsidRPr="0023367D" w:rsidRDefault="00335619" w:rsidP="00335619">
      <w:pPr>
        <w:jc w:val="center"/>
        <w:outlineLvl w:val="0"/>
        <w:rPr>
          <w:b/>
          <w:bCs/>
        </w:rPr>
      </w:pPr>
    </w:p>
    <w:p w14:paraId="0C691C03" w14:textId="77777777" w:rsidR="001A6E53" w:rsidRPr="0023367D" w:rsidRDefault="001A6E53" w:rsidP="001A6E53">
      <w:pPr>
        <w:jc w:val="center"/>
        <w:outlineLvl w:val="0"/>
        <w:rPr>
          <w:b/>
          <w:bCs/>
        </w:rPr>
      </w:pPr>
      <w:r w:rsidRPr="0023367D">
        <w:rPr>
          <w:b/>
          <w:bCs/>
        </w:rPr>
        <w:t>Appendix C</w:t>
      </w:r>
    </w:p>
    <w:p w14:paraId="376469CB" w14:textId="77777777" w:rsidR="001A6E53" w:rsidRPr="0023367D" w:rsidRDefault="001A6E53" w:rsidP="001A6E53">
      <w:pPr>
        <w:spacing w:line="480" w:lineRule="auto"/>
        <w:jc w:val="center"/>
      </w:pPr>
      <w:r w:rsidRPr="0023367D">
        <w:rPr>
          <w:b/>
          <w:bCs/>
        </w:rPr>
        <w:t>Construction of the Variable INFO in Regression (8)</w:t>
      </w:r>
    </w:p>
    <w:p w14:paraId="223B6E42" w14:textId="0259313B" w:rsidR="001A6E53" w:rsidRPr="00BA08B4" w:rsidRDefault="001A6E53" w:rsidP="001A6E53">
      <w:pPr>
        <w:contextualSpacing/>
      </w:pPr>
      <w:r>
        <w:t xml:space="preserve">The variable INFO captures the information content of accounting numbers to bond investors in terms of </w:t>
      </w:r>
      <w:r w:rsidR="00F554D2">
        <w:t xml:space="preserve">the </w:t>
      </w:r>
      <w:r>
        <w:t xml:space="preserve">benefits that could be obtained from </w:t>
      </w:r>
      <w:r w:rsidR="00F554D2">
        <w:t xml:space="preserve">having </w:t>
      </w:r>
      <w:r>
        <w:t xml:space="preserve">a perfect knowledge of these numbers. We use two forms of such benefits – accuracy in predicting bond yield and </w:t>
      </w:r>
      <w:r w:rsidR="00F554D2">
        <w:t xml:space="preserve">the </w:t>
      </w:r>
      <w:r>
        <w:t>return generated from the perfect knowledge of accounting numbers</w:t>
      </w:r>
      <w:r w:rsidR="00F554D2">
        <w:t xml:space="preserve">. </w:t>
      </w:r>
      <w:r w:rsidR="000C20DE">
        <w:t xml:space="preserve">We capture these two forms of benefits by two </w:t>
      </w:r>
      <w:r w:rsidR="00057619">
        <w:t>measures</w:t>
      </w:r>
      <w:r w:rsidR="000C20DE">
        <w:t xml:space="preserve"> of </w:t>
      </w:r>
      <w:r>
        <w:t>information content</w:t>
      </w:r>
      <w:r w:rsidR="00943148">
        <w:t>,</w:t>
      </w:r>
      <w:r>
        <w:t xml:space="preserve"> denoted </w:t>
      </w:r>
      <w:r w:rsidRPr="00BA08B4">
        <w:rPr>
          <w:b/>
          <w:bCs/>
          <w:i/>
          <w:iCs/>
        </w:rPr>
        <w:t>INFO (A)</w:t>
      </w:r>
      <w:r>
        <w:t xml:space="preserve"> and </w:t>
      </w:r>
      <w:r w:rsidRPr="00BA08B4">
        <w:rPr>
          <w:b/>
          <w:bCs/>
          <w:i/>
          <w:iCs/>
        </w:rPr>
        <w:t>INFO (</w:t>
      </w:r>
      <w:r>
        <w:rPr>
          <w:b/>
          <w:bCs/>
          <w:i/>
          <w:iCs/>
        </w:rPr>
        <w:t>B</w:t>
      </w:r>
      <w:r w:rsidRPr="00BA08B4">
        <w:rPr>
          <w:b/>
          <w:bCs/>
          <w:i/>
          <w:iCs/>
        </w:rPr>
        <w:t>)</w:t>
      </w:r>
      <w:r w:rsidRPr="00FB7B63">
        <w:rPr>
          <w:bCs/>
          <w:iCs/>
        </w:rPr>
        <w:t>.</w:t>
      </w:r>
    </w:p>
    <w:p w14:paraId="5D01A7D3" w14:textId="77777777" w:rsidR="001A6E53" w:rsidRDefault="001A6E53" w:rsidP="001A6E53">
      <w:pPr>
        <w:contextualSpacing/>
      </w:pPr>
    </w:p>
    <w:p w14:paraId="23903F4B" w14:textId="77777777" w:rsidR="001A6E53" w:rsidRPr="00C467C0" w:rsidRDefault="001A6E53" w:rsidP="001A6E53">
      <w:pPr>
        <w:spacing w:line="276" w:lineRule="auto"/>
        <w:rPr>
          <w:b/>
          <w:bCs/>
          <w:i/>
          <w:iCs/>
          <w:u w:val="single"/>
        </w:rPr>
      </w:pPr>
      <w:r w:rsidRPr="00C467C0">
        <w:rPr>
          <w:u w:val="single"/>
        </w:rPr>
        <w:t xml:space="preserve">Construction of </w:t>
      </w:r>
      <w:r w:rsidRPr="00C467C0">
        <w:rPr>
          <w:b/>
          <w:bCs/>
          <w:i/>
          <w:iCs/>
          <w:u w:val="single"/>
        </w:rPr>
        <w:t>INFO (A)</w:t>
      </w:r>
    </w:p>
    <w:p w14:paraId="6FD8DA76" w14:textId="345A0D7A" w:rsidR="001A6E53" w:rsidRPr="00CE3D9E" w:rsidRDefault="001A6E53" w:rsidP="001A6E53">
      <w:pPr>
        <w:contextualSpacing/>
        <w:rPr>
          <w:i/>
          <w:iCs/>
          <w:sz w:val="12"/>
        </w:rPr>
      </w:pPr>
      <w:r>
        <w:t xml:space="preserve">This measure captures the accuracy gained from a perfect knowledge of accounting numbers in predicting future bond yield and bond return. </w:t>
      </w:r>
      <w:r w:rsidR="00F554D2">
        <w:t>To construct this measure</w:t>
      </w:r>
      <w:r>
        <w:t xml:space="preserve">, we estimate each year </w:t>
      </w:r>
      <w:proofErr w:type="spellStart"/>
      <w:r>
        <w:t>t</w:t>
      </w:r>
      <w:proofErr w:type="spellEnd"/>
      <w:r>
        <w:t xml:space="preserve"> cross-</w:t>
      </w:r>
      <w:proofErr w:type="spellStart"/>
      <w:r>
        <w:t>sectionally</w:t>
      </w:r>
      <w:proofErr w:type="spellEnd"/>
      <w:r>
        <w:t xml:space="preserve"> the </w:t>
      </w:r>
      <w:r w:rsidR="00C164BB">
        <w:t>bond return</w:t>
      </w:r>
      <w:r w:rsidR="005D7A6A">
        <w:t xml:space="preserve"> </w:t>
      </w:r>
      <w:r>
        <w:t>models (</w:t>
      </w:r>
      <w:r w:rsidR="00057619">
        <w:t>regressions (</w:t>
      </w:r>
      <w:r w:rsidR="005D7A6A">
        <w:t>5</w:t>
      </w:r>
      <w:r w:rsidR="00057619">
        <w:t>)</w:t>
      </w:r>
      <w:r>
        <w:t xml:space="preserve"> and </w:t>
      </w:r>
      <w:r w:rsidR="00057619">
        <w:t>(</w:t>
      </w:r>
      <w:r>
        <w:t>A</w:t>
      </w:r>
      <w:r w:rsidR="005D7A6A">
        <w:t>2</w:t>
      </w:r>
      <w:r w:rsidR="00057619">
        <w:t>)</w:t>
      </w:r>
      <w:r>
        <w:t xml:space="preserve">) and </w:t>
      </w:r>
      <w:r w:rsidR="00C164BB">
        <w:t xml:space="preserve">bond </w:t>
      </w:r>
      <w:r w:rsidR="005D7A6A">
        <w:t xml:space="preserve">valuation </w:t>
      </w:r>
      <w:r>
        <w:t>models (</w:t>
      </w:r>
      <w:r w:rsidR="00057619">
        <w:t>regressions (</w:t>
      </w:r>
      <w:r w:rsidR="005D7A6A">
        <w:t>3</w:t>
      </w:r>
      <w:r w:rsidR="00057619">
        <w:t>)</w:t>
      </w:r>
      <w:r>
        <w:t xml:space="preserve"> and </w:t>
      </w:r>
      <w:r w:rsidR="00057619">
        <w:t>(</w:t>
      </w:r>
      <w:r>
        <w:t>A</w:t>
      </w:r>
      <w:r w:rsidR="005D7A6A">
        <w:t>1</w:t>
      </w:r>
      <w:r w:rsidR="00057619">
        <w:t>)</w:t>
      </w:r>
      <w:r>
        <w:t xml:space="preserve">) based on the realized values of the </w:t>
      </w:r>
      <w:r w:rsidRPr="00E10775">
        <w:rPr>
          <w:iCs/>
        </w:rPr>
        <w:t>accounting</w:t>
      </w:r>
      <w:r>
        <w:t xml:space="preserve"> variables in year t. We use the estimated coefficients from these regressions and the </w:t>
      </w:r>
      <w:r w:rsidRPr="00BA08B4">
        <w:rPr>
          <w:i/>
          <w:iCs/>
        </w:rPr>
        <w:t>realized</w:t>
      </w:r>
      <w:r>
        <w:t xml:space="preserve"> values </w:t>
      </w:r>
      <w:r w:rsidRPr="00C164BB">
        <w:rPr>
          <w:i/>
        </w:rPr>
        <w:t>of the accounting numbers in year t+1</w:t>
      </w:r>
      <w:r>
        <w:t xml:space="preserve"> to “predict” the return for year t+1 for the 12-month period ending with the third month of the following fiscal year</w:t>
      </w:r>
      <w:r w:rsidR="005D7A6A">
        <w:t>,</w:t>
      </w:r>
      <w:r>
        <w:t xml:space="preserve"> and </w:t>
      </w:r>
      <w:r w:rsidR="00057619">
        <w:t xml:space="preserve">to “predict” </w:t>
      </w:r>
      <w:r>
        <w:t>the bond yield at the end of that period. We then compute the forecast errors (FE) for each firm-year j, t as:</w:t>
      </w:r>
      <w:r>
        <w:br/>
      </w:r>
    </w:p>
    <w:p w14:paraId="6D41E63D" w14:textId="77777777" w:rsidR="001A6E53" w:rsidRPr="00BA08B4" w:rsidRDefault="001A6E53" w:rsidP="001A6E53">
      <w:pPr>
        <w:ind w:left="360"/>
        <w:rPr>
          <w:i/>
          <w:iCs/>
        </w:rPr>
      </w:pPr>
      <w:proofErr w:type="spellStart"/>
      <w:r w:rsidRPr="00BA08B4">
        <w:rPr>
          <w:i/>
          <w:iCs/>
        </w:rPr>
        <w:t>FE</w:t>
      </w:r>
      <w:r w:rsidRPr="00BA08B4">
        <w:rPr>
          <w:i/>
          <w:iCs/>
          <w:vertAlign w:val="subscript"/>
        </w:rPr>
        <w:t>return</w:t>
      </w:r>
      <w:proofErr w:type="spellEnd"/>
      <w:r w:rsidRPr="00BA08B4">
        <w:rPr>
          <w:i/>
          <w:iCs/>
        </w:rPr>
        <w:t xml:space="preserve"> </w:t>
      </w:r>
      <w:r w:rsidRPr="00F5710C">
        <w:t>=</w:t>
      </w:r>
      <w:r w:rsidRPr="00BA08B4">
        <w:rPr>
          <w:i/>
          <w:iCs/>
        </w:rPr>
        <w:t xml:space="preserve"> </w:t>
      </w:r>
      <w:r w:rsidRPr="00493A5F">
        <w:t>Absolute value of (predicted –actual) / Absolute value of mean of (predicted, actual).</w:t>
      </w:r>
    </w:p>
    <w:p w14:paraId="142A984A" w14:textId="77777777" w:rsidR="001A6E53" w:rsidRPr="00BA08B4" w:rsidRDefault="001A6E53" w:rsidP="001A6E53">
      <w:pPr>
        <w:ind w:left="360"/>
        <w:rPr>
          <w:i/>
          <w:iCs/>
        </w:rPr>
      </w:pPr>
      <w:proofErr w:type="spellStart"/>
      <w:r w:rsidRPr="00BA08B4">
        <w:rPr>
          <w:i/>
          <w:iCs/>
        </w:rPr>
        <w:t>FE</w:t>
      </w:r>
      <w:r>
        <w:rPr>
          <w:i/>
          <w:iCs/>
          <w:vertAlign w:val="subscript"/>
        </w:rPr>
        <w:t>yiled</w:t>
      </w:r>
      <w:proofErr w:type="spellEnd"/>
      <w:r w:rsidRPr="00BA08B4">
        <w:rPr>
          <w:i/>
          <w:iCs/>
        </w:rPr>
        <w:t xml:space="preserve"> </w:t>
      </w:r>
      <w:r w:rsidRPr="00F5710C">
        <w:t>=</w:t>
      </w:r>
      <w:r w:rsidRPr="00BA08B4">
        <w:rPr>
          <w:i/>
          <w:iCs/>
        </w:rPr>
        <w:t xml:space="preserve"> </w:t>
      </w:r>
      <w:r w:rsidRPr="00493A5F">
        <w:t>Absolute value of (predicted –actual) / Mean of (predicted, actual).</w:t>
      </w:r>
    </w:p>
    <w:p w14:paraId="4121188A" w14:textId="77777777" w:rsidR="001A6E53" w:rsidRDefault="001A6E53" w:rsidP="001A6E53">
      <w:pPr>
        <w:ind w:left="360"/>
      </w:pPr>
      <w:r>
        <w:t xml:space="preserve">We </w:t>
      </w:r>
      <w:proofErr w:type="spellStart"/>
      <w:r>
        <w:t>winsorize</w:t>
      </w:r>
      <w:proofErr w:type="spellEnd"/>
      <w:r>
        <w:t xml:space="preserve"> </w:t>
      </w:r>
      <w:proofErr w:type="spellStart"/>
      <w:r w:rsidRPr="00BA08B4">
        <w:rPr>
          <w:i/>
          <w:iCs/>
        </w:rPr>
        <w:t>FE</w:t>
      </w:r>
      <w:r w:rsidRPr="00BA08B4">
        <w:rPr>
          <w:i/>
          <w:iCs/>
          <w:vertAlign w:val="subscript"/>
        </w:rPr>
        <w:t>return</w:t>
      </w:r>
      <w:proofErr w:type="spellEnd"/>
      <w:r w:rsidRPr="00BA08B4">
        <w:rPr>
          <w:i/>
          <w:iCs/>
        </w:rPr>
        <w:t xml:space="preserve"> </w:t>
      </w:r>
      <w:r>
        <w:t xml:space="preserve">and </w:t>
      </w:r>
      <w:proofErr w:type="spellStart"/>
      <w:r w:rsidRPr="00BA08B4">
        <w:rPr>
          <w:i/>
          <w:iCs/>
        </w:rPr>
        <w:t>FE</w:t>
      </w:r>
      <w:r>
        <w:rPr>
          <w:i/>
          <w:iCs/>
          <w:vertAlign w:val="subscript"/>
        </w:rPr>
        <w:t>yiled</w:t>
      </w:r>
      <w:proofErr w:type="spellEnd"/>
      <w:r w:rsidRPr="00BA08B4">
        <w:rPr>
          <w:i/>
          <w:iCs/>
        </w:rPr>
        <w:t xml:space="preserve"> </w:t>
      </w:r>
      <w:r w:rsidRPr="00532FD1">
        <w:t>a</w:t>
      </w:r>
      <w:r>
        <w:t xml:space="preserve">t 1.0.  </w:t>
      </w:r>
    </w:p>
    <w:p w14:paraId="2DB72ED1" w14:textId="77777777" w:rsidR="001A6E53" w:rsidRDefault="001A6E53" w:rsidP="001A6E53">
      <w:pPr>
        <w:ind w:left="360"/>
      </w:pPr>
      <w:proofErr w:type="spellStart"/>
      <w:r w:rsidRPr="006C2A64">
        <w:rPr>
          <w:b/>
          <w:bCs/>
          <w:i/>
          <w:iCs/>
        </w:rPr>
        <w:t>INFO</w:t>
      </w:r>
      <w:r w:rsidRPr="006C2A64">
        <w:rPr>
          <w:b/>
          <w:bCs/>
          <w:i/>
          <w:iCs/>
          <w:vertAlign w:val="subscript"/>
        </w:rPr>
        <w:t>t</w:t>
      </w:r>
      <w:proofErr w:type="spellEnd"/>
      <w:r w:rsidRPr="006C2A64">
        <w:rPr>
          <w:b/>
          <w:bCs/>
          <w:i/>
          <w:iCs/>
        </w:rPr>
        <w:t xml:space="preserve"> (A)</w:t>
      </w:r>
      <w:r>
        <w:t xml:space="preserve"> </w:t>
      </w:r>
      <w:r w:rsidRPr="00F5710C">
        <w:t>= 1 –</w:t>
      </w:r>
      <w:r w:rsidRPr="00BA08B4">
        <w:rPr>
          <w:i/>
          <w:iCs/>
        </w:rPr>
        <w:t xml:space="preserve"> FE.</w:t>
      </w:r>
    </w:p>
    <w:p w14:paraId="678BC2BE" w14:textId="77777777" w:rsidR="001A6E53" w:rsidRDefault="001A6E53" w:rsidP="001A6E53">
      <w:pPr>
        <w:ind w:left="360"/>
      </w:pPr>
    </w:p>
    <w:p w14:paraId="77BAE36A" w14:textId="77777777" w:rsidR="001A6E53" w:rsidRPr="00BA08B4" w:rsidRDefault="001A6E53" w:rsidP="001A6E53">
      <w:pPr>
        <w:spacing w:line="276" w:lineRule="auto"/>
        <w:rPr>
          <w:b/>
          <w:bCs/>
          <w:i/>
          <w:iCs/>
        </w:rPr>
      </w:pPr>
      <w:r w:rsidRPr="00C467C0">
        <w:rPr>
          <w:u w:val="single"/>
        </w:rPr>
        <w:t xml:space="preserve">Construction of </w:t>
      </w:r>
      <w:r w:rsidRPr="00C467C0">
        <w:rPr>
          <w:b/>
          <w:bCs/>
          <w:i/>
          <w:iCs/>
          <w:u w:val="single"/>
        </w:rPr>
        <w:t>INFO (B</w:t>
      </w:r>
      <w:r w:rsidRPr="00BA08B4">
        <w:rPr>
          <w:b/>
          <w:bCs/>
          <w:i/>
          <w:iCs/>
        </w:rPr>
        <w:t>)</w:t>
      </w:r>
    </w:p>
    <w:p w14:paraId="57B34507" w14:textId="154085B9" w:rsidR="001A6E53" w:rsidRPr="0023367D" w:rsidRDefault="001A6E53" w:rsidP="001A6E53">
      <w:pPr>
        <w:contextualSpacing/>
      </w:pPr>
      <w:r>
        <w:t xml:space="preserve">This measure, which is similar to that used by studies that assess </w:t>
      </w:r>
      <w:r w:rsidRPr="0023367D">
        <w:t xml:space="preserve">the information content of accounting numbers </w:t>
      </w:r>
      <w:r>
        <w:t>for equity holders,</w:t>
      </w:r>
      <w:r>
        <w:rPr>
          <w:rStyle w:val="FootnoteReference"/>
        </w:rPr>
        <w:footnoteReference w:id="32"/>
      </w:r>
      <w:r>
        <w:t xml:space="preserve"> captures the profitability of an investment strategy based on a foreknowledge of accounting numbers. The strategy calls for the formation of a hedge portfolio in which long (short) positions are held each year in bonds for which next year’s expected return (based on a foresight of the relevant accounting numbers for that year) is “high” (“low”). The following procedure, borrowed from the</w:t>
      </w:r>
      <w:r w:rsidR="00F554D2">
        <w:t>se</w:t>
      </w:r>
      <w:r>
        <w:t xml:space="preserve"> studies, is as followed: </w:t>
      </w:r>
    </w:p>
    <w:p w14:paraId="136C1090" w14:textId="77777777" w:rsidR="001A6E53" w:rsidRPr="00F554D2" w:rsidRDefault="001A6E53" w:rsidP="001A6E53">
      <w:pPr>
        <w:spacing w:line="276" w:lineRule="auto"/>
        <w:ind w:firstLine="360"/>
        <w:rPr>
          <w:sz w:val="14"/>
        </w:rPr>
      </w:pPr>
    </w:p>
    <w:p w14:paraId="33C410D2" w14:textId="77777777" w:rsidR="001A6E53" w:rsidRDefault="001A6E53" w:rsidP="00F554D2">
      <w:pPr>
        <w:pStyle w:val="ListParagraph"/>
        <w:numPr>
          <w:ilvl w:val="0"/>
          <w:numId w:val="25"/>
        </w:numPr>
        <w:ind w:left="630" w:hanging="540"/>
      </w:pPr>
      <w:r w:rsidRPr="0023367D">
        <w:t>The bond return model</w:t>
      </w:r>
      <w:r>
        <w:t>s (regressions (5) and (A2))</w:t>
      </w:r>
      <w:r w:rsidRPr="0023367D">
        <w:t xml:space="preserve"> </w:t>
      </w:r>
      <w:r>
        <w:t>are</w:t>
      </w:r>
      <w:r w:rsidRPr="0023367D">
        <w:t xml:space="preserve"> estimated </w:t>
      </w:r>
      <w:r>
        <w:t xml:space="preserve">each year </w:t>
      </w:r>
      <w:proofErr w:type="spellStart"/>
      <w:r>
        <w:t>t</w:t>
      </w:r>
      <w:proofErr w:type="spellEnd"/>
      <w:r>
        <w:t xml:space="preserve"> </w:t>
      </w:r>
      <w:r w:rsidRPr="0023367D">
        <w:t>cross-</w:t>
      </w:r>
      <w:proofErr w:type="spellStart"/>
      <w:r w:rsidRPr="0023367D">
        <w:t>sectionally</w:t>
      </w:r>
      <w:proofErr w:type="spellEnd"/>
      <w:r>
        <w:t xml:space="preserve">, </w:t>
      </w:r>
      <w:r w:rsidRPr="0023367D">
        <w:t xml:space="preserve">using </w:t>
      </w:r>
      <w:r>
        <w:t xml:space="preserve">the realized values of the accounting variables for that year. </w:t>
      </w:r>
    </w:p>
    <w:p w14:paraId="03C61E16" w14:textId="77777777" w:rsidR="001A6E53" w:rsidRPr="0023367D" w:rsidRDefault="001A6E53" w:rsidP="00F554D2">
      <w:pPr>
        <w:pStyle w:val="ListParagraph"/>
        <w:numPr>
          <w:ilvl w:val="0"/>
          <w:numId w:val="25"/>
        </w:numPr>
        <w:ind w:left="630" w:hanging="540"/>
      </w:pPr>
      <w:r>
        <w:t xml:space="preserve">The “expected bond return” for year t+1 using perfect knowledge of the accounting variables for that year is obtained by applying the regression coefficients from the estimation described in (1) above to the </w:t>
      </w:r>
      <w:r w:rsidRPr="00371CC1">
        <w:rPr>
          <w:i/>
          <w:iCs/>
        </w:rPr>
        <w:t>realized</w:t>
      </w:r>
      <w:r>
        <w:t xml:space="preserve"> values of the accounting variables in year t+1.  </w:t>
      </w:r>
    </w:p>
    <w:p w14:paraId="627CE4A4" w14:textId="77777777" w:rsidR="001A6E53" w:rsidRPr="007C303A" w:rsidRDefault="001A6E53" w:rsidP="00F554D2">
      <w:pPr>
        <w:pStyle w:val="ListParagraph"/>
        <w:numPr>
          <w:ilvl w:val="0"/>
          <w:numId w:val="25"/>
        </w:numPr>
        <w:ind w:left="630" w:hanging="540"/>
        <w:rPr>
          <w:sz w:val="10"/>
        </w:rPr>
      </w:pPr>
      <w:r w:rsidRPr="0023367D">
        <w:t xml:space="preserve">Bonds are ranked each year </w:t>
      </w:r>
      <w:r>
        <w:t xml:space="preserve">t+1 </w:t>
      </w:r>
      <w:r w:rsidRPr="0023367D">
        <w:t>according to their expected returns</w:t>
      </w:r>
      <w:r>
        <w:t xml:space="preserve"> and a</w:t>
      </w:r>
      <w:r w:rsidRPr="0023367D">
        <w:t xml:space="preserve"> long (short) position is taken </w:t>
      </w:r>
      <w:r>
        <w:t xml:space="preserve">in the bond </w:t>
      </w:r>
      <w:r w:rsidRPr="0023367D">
        <w:t>for th</w:t>
      </w:r>
      <w:r>
        <w:t>at</w:t>
      </w:r>
      <w:r w:rsidRPr="0023367D">
        <w:t xml:space="preserve"> year if the expected bond return is in the </w:t>
      </w:r>
      <w:r>
        <w:t xml:space="preserve">extreme </w:t>
      </w:r>
      <w:r w:rsidRPr="0023367D">
        <w:t>highest 40% (lowest 40%) of the expected bond return distribution that year</w:t>
      </w:r>
      <w:r>
        <w:t>.</w:t>
      </w:r>
      <w:r>
        <w:rPr>
          <w:rStyle w:val="FootnoteReference"/>
        </w:rPr>
        <w:footnoteReference w:id="33"/>
      </w:r>
      <w:r>
        <w:t xml:space="preserve">  </w:t>
      </w:r>
    </w:p>
    <w:p w14:paraId="6C5C5FB0" w14:textId="77777777" w:rsidR="001A6E53" w:rsidRPr="00371CC1" w:rsidRDefault="001A6E53" w:rsidP="00F554D2">
      <w:pPr>
        <w:pStyle w:val="ListParagraph"/>
        <w:numPr>
          <w:ilvl w:val="0"/>
          <w:numId w:val="25"/>
        </w:numPr>
        <w:ind w:left="630" w:hanging="540"/>
        <w:rPr>
          <w:sz w:val="10"/>
        </w:rPr>
      </w:pPr>
      <w:r w:rsidRPr="0023367D">
        <w:t xml:space="preserve">The position is held for the 12-month period beginning with the fourth month of the fiscal year. </w:t>
      </w:r>
    </w:p>
    <w:p w14:paraId="2ECFC34C" w14:textId="77777777" w:rsidR="001A6E53" w:rsidRPr="00371CC1" w:rsidRDefault="001A6E53" w:rsidP="00F554D2">
      <w:pPr>
        <w:pStyle w:val="ListParagraph"/>
        <w:numPr>
          <w:ilvl w:val="0"/>
          <w:numId w:val="25"/>
        </w:numPr>
        <w:ind w:left="630" w:hanging="540"/>
        <w:rPr>
          <w:sz w:val="10"/>
        </w:rPr>
      </w:pPr>
      <w:r w:rsidRPr="0023367D">
        <w:t>INFO</w:t>
      </w:r>
      <w:r>
        <w:t xml:space="preserve"> (B) = 1 if the position yields a positive return and 0 otherwise. </w:t>
      </w:r>
    </w:p>
    <w:sectPr w:rsidR="001A6E53" w:rsidRPr="00371CC1" w:rsidSect="00335619">
      <w:pgSz w:w="12240" w:h="15840"/>
      <w:pgMar w:top="288" w:right="1440" w:bottom="14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E619C" w14:textId="77777777" w:rsidR="0023240D" w:rsidRDefault="0023240D">
      <w:r>
        <w:separator/>
      </w:r>
    </w:p>
  </w:endnote>
  <w:endnote w:type="continuationSeparator" w:id="0">
    <w:p w14:paraId="577D0B6F" w14:textId="77777777" w:rsidR="0023240D" w:rsidRDefault="0023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New Baskerville">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Baskerville-Roman">
    <w:altName w:val="Times New Roman"/>
    <w:panose1 w:val="00000000000000000000"/>
    <w:charset w:val="00"/>
    <w:family w:val="roman"/>
    <w:notTrueType/>
    <w:pitch w:val="default"/>
  </w:font>
  <w:font w:name="Blackadder ITC">
    <w:altName w:val="Chiller"/>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OPEPHJ+TimesNewRomanPSMT">
    <w:altName w:val="Times New Roman PSMT"/>
    <w:panose1 w:val="00000000000000000000"/>
    <w:charset w:val="00"/>
    <w:family w:val="roman"/>
    <w:notTrueType/>
    <w:pitch w:val="default"/>
    <w:sig w:usb0="00000003" w:usb1="00000000" w:usb2="00000000" w:usb3="00000000" w:csb0="00000001" w:csb1="00000000"/>
  </w:font>
  <w:font w:name="AdvPTimes">
    <w:altName w:val="Cambria"/>
    <w:panose1 w:val="00000000000000000000"/>
    <w:charset w:val="00"/>
    <w:family w:val="auto"/>
    <w:notTrueType/>
    <w:pitch w:val="default"/>
    <w:sig w:usb0="00000003" w:usb1="00000000" w:usb2="00000000" w:usb3="00000000" w:csb0="00000001" w:csb1="00000000"/>
  </w:font>
  <w:font w:name="Times New Roman Bold">
    <w:panose1 w:val="020208030705050203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2DE13" w14:textId="77777777" w:rsidR="006C3F5E" w:rsidRDefault="006C3F5E">
    <w:pPr>
      <w:pStyle w:val="Footer"/>
      <w:jc w:val="center"/>
    </w:pPr>
    <w:r>
      <w:fldChar w:fldCharType="begin"/>
    </w:r>
    <w:r>
      <w:instrText xml:space="preserve"> PAGE   \* MERGEFORMAT </w:instrText>
    </w:r>
    <w:r>
      <w:fldChar w:fldCharType="separate"/>
    </w:r>
    <w:r>
      <w:rPr>
        <w:noProof/>
      </w:rPr>
      <w:t>21</w:t>
    </w:r>
    <w:r>
      <w:fldChar w:fldCharType="end"/>
    </w:r>
  </w:p>
  <w:p w14:paraId="283E6D6C" w14:textId="77777777" w:rsidR="006C3F5E" w:rsidRDefault="006C3F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935ED" w14:textId="77777777" w:rsidR="00943148" w:rsidRDefault="00943148">
    <w:pPr>
      <w:pStyle w:val="Footer"/>
      <w:jc w:val="center"/>
    </w:pPr>
    <w:r>
      <w:fldChar w:fldCharType="begin"/>
    </w:r>
    <w:r>
      <w:instrText xml:space="preserve"> PAGE   \* MERGEFORMAT </w:instrText>
    </w:r>
    <w:r>
      <w:fldChar w:fldCharType="separate"/>
    </w:r>
    <w:r w:rsidR="00BB5160">
      <w:rPr>
        <w:noProof/>
      </w:rPr>
      <w:t>20</w:t>
    </w:r>
    <w:r>
      <w:fldChar w:fldCharType="end"/>
    </w:r>
  </w:p>
  <w:p w14:paraId="68C679FF" w14:textId="77777777" w:rsidR="00943148" w:rsidRDefault="009431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68077" w14:textId="77777777" w:rsidR="00943148" w:rsidRDefault="00943148">
    <w:pPr>
      <w:pStyle w:val="Footer"/>
      <w:jc w:val="center"/>
    </w:pPr>
    <w:r>
      <w:fldChar w:fldCharType="begin"/>
    </w:r>
    <w:r>
      <w:instrText xml:space="preserve"> PAGE   \* MERGEFORMAT </w:instrText>
    </w:r>
    <w:r>
      <w:fldChar w:fldCharType="separate"/>
    </w:r>
    <w:r w:rsidR="00BB5160">
      <w:rPr>
        <w:noProof/>
      </w:rPr>
      <w:t>43</w:t>
    </w:r>
    <w:r>
      <w:fldChar w:fldCharType="end"/>
    </w:r>
  </w:p>
  <w:p w14:paraId="141B4148" w14:textId="77777777" w:rsidR="00943148" w:rsidRDefault="0094314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42EF" w14:textId="77777777" w:rsidR="00943148" w:rsidRDefault="00943148">
    <w:pPr>
      <w:pStyle w:val="Footer"/>
      <w:jc w:val="center"/>
    </w:pPr>
    <w:r>
      <w:fldChar w:fldCharType="begin"/>
    </w:r>
    <w:r>
      <w:instrText xml:space="preserve"> PAGE   \* MERGEFORMAT </w:instrText>
    </w:r>
    <w:r>
      <w:fldChar w:fldCharType="separate"/>
    </w:r>
    <w:r w:rsidR="00BB5160">
      <w:rPr>
        <w:noProof/>
      </w:rPr>
      <w:t>48</w:t>
    </w:r>
    <w:r>
      <w:fldChar w:fldCharType="end"/>
    </w:r>
  </w:p>
  <w:p w14:paraId="59C5A689" w14:textId="77777777" w:rsidR="00943148" w:rsidRDefault="00943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279ED" w14:textId="77777777" w:rsidR="0023240D" w:rsidRDefault="0023240D">
      <w:r>
        <w:separator/>
      </w:r>
    </w:p>
  </w:footnote>
  <w:footnote w:type="continuationSeparator" w:id="0">
    <w:p w14:paraId="25E123FD" w14:textId="77777777" w:rsidR="0023240D" w:rsidRDefault="0023240D">
      <w:r>
        <w:continuationSeparator/>
      </w:r>
    </w:p>
  </w:footnote>
  <w:footnote w:id="1">
    <w:p w14:paraId="024017FE" w14:textId="23432264" w:rsidR="00943148" w:rsidRDefault="00943148" w:rsidP="00BE7680">
      <w:pPr>
        <w:pStyle w:val="FootnoteText"/>
      </w:pPr>
      <w:r>
        <w:rPr>
          <w:rStyle w:val="FootnoteReference"/>
        </w:rPr>
        <w:footnoteRef/>
      </w:r>
      <w:r>
        <w:t xml:space="preserve"> </w:t>
      </w:r>
      <w:r>
        <w:rPr>
          <w:lang w:val="en-US"/>
        </w:rPr>
        <w:t>At the end of 2014, the</w:t>
      </w:r>
      <w:r w:rsidRPr="00FD3153">
        <w:t xml:space="preserve"> </w:t>
      </w:r>
      <w:r>
        <w:rPr>
          <w:lang w:val="en-US"/>
        </w:rPr>
        <w:t>U.S. corporate bond market value was $7.8 trillion (</w:t>
      </w:r>
      <w:r w:rsidRPr="00FD3153">
        <w:t>Securities Industry and Financial Markets Association</w:t>
      </w:r>
      <w:r>
        <w:rPr>
          <w:lang w:val="en-US"/>
        </w:rPr>
        <w:t>; see</w:t>
      </w:r>
      <w:r w:rsidRPr="00FD3153">
        <w:t xml:space="preserve"> </w:t>
      </w:r>
      <w:hyperlink r:id="rId1" w:history="1">
        <w:r w:rsidRPr="00FD3153">
          <w:rPr>
            <w:rStyle w:val="Hyperlink"/>
          </w:rPr>
          <w:t>http://www.sifma.org/research/statistics.aspx</w:t>
        </w:r>
      </w:hyperlink>
      <w:r w:rsidRPr="00FD3153">
        <w:t>)</w:t>
      </w:r>
      <w:r>
        <w:rPr>
          <w:lang w:val="en-US"/>
        </w:rPr>
        <w:t xml:space="preserve"> and the </w:t>
      </w:r>
      <w:r w:rsidRPr="00FD3153">
        <w:t xml:space="preserve">private debt market </w:t>
      </w:r>
      <w:r>
        <w:rPr>
          <w:lang w:val="en-US"/>
        </w:rPr>
        <w:t>was</w:t>
      </w:r>
      <w:r w:rsidRPr="00FD3153">
        <w:t xml:space="preserve"> </w:t>
      </w:r>
      <w:r>
        <w:t xml:space="preserve">estimated </w:t>
      </w:r>
      <w:r>
        <w:rPr>
          <w:lang w:val="en-US"/>
        </w:rPr>
        <w:t>at</w:t>
      </w:r>
      <w:r w:rsidRPr="00FD3153">
        <w:t xml:space="preserve"> $11 trillion</w:t>
      </w:r>
      <w:r>
        <w:rPr>
          <w:lang w:val="en-US"/>
        </w:rPr>
        <w:t xml:space="preserve"> (</w:t>
      </w:r>
      <w:r>
        <w:t>Thomson One</w:t>
      </w:r>
      <w:r>
        <w:rPr>
          <w:lang w:val="en-US"/>
        </w:rPr>
        <w:t>)</w:t>
      </w:r>
      <w:r>
        <w:t xml:space="preserve">. </w:t>
      </w:r>
      <w:r w:rsidRPr="00FD3153">
        <w:t>Combined, the total market value of debt is thus approximately $18.8 trillion</w:t>
      </w:r>
      <w:r>
        <w:rPr>
          <w:lang w:val="en-US"/>
        </w:rPr>
        <w:t>,</w:t>
      </w:r>
      <w:r>
        <w:t xml:space="preserve"> </w:t>
      </w:r>
      <w:r w:rsidRPr="00FD3153">
        <w:t>more than 70% of the market value of equity</w:t>
      </w:r>
      <w:r>
        <w:t xml:space="preserve"> which was estimated </w:t>
      </w:r>
      <w:r>
        <w:rPr>
          <w:lang w:val="en-US"/>
        </w:rPr>
        <w:t>to be</w:t>
      </w:r>
      <w:r w:rsidRPr="00FD3153">
        <w:t xml:space="preserve"> $26.3 trillion </w:t>
      </w:r>
      <w:r>
        <w:t>(</w:t>
      </w:r>
      <w:r>
        <w:rPr>
          <w:lang w:val="en-US"/>
        </w:rPr>
        <w:t>see</w:t>
      </w:r>
      <w:r w:rsidRPr="00FD3153">
        <w:t xml:space="preserve"> the World Federation of Exchanges report on the aggregate market value of shares traded on the NYSE and NASDAQ OMX</w:t>
      </w:r>
      <w:r>
        <w:rPr>
          <w:lang w:val="en-US"/>
        </w:rPr>
        <w:t>;</w:t>
      </w:r>
      <w:r w:rsidRPr="00FD3153">
        <w:t xml:space="preserve"> see </w:t>
      </w:r>
      <w:hyperlink r:id="rId2" w:history="1">
        <w:r w:rsidRPr="00FD3153">
          <w:rPr>
            <w:rStyle w:val="Hyperlink"/>
          </w:rPr>
          <w:t>http://www.world-exchanges.org/statistics</w:t>
        </w:r>
      </w:hyperlink>
      <w:r>
        <w:t>)</w:t>
      </w:r>
      <w:r w:rsidRPr="00FD3153">
        <w:t>.</w:t>
      </w:r>
    </w:p>
  </w:footnote>
  <w:footnote w:id="2">
    <w:p w14:paraId="6FE52BB6" w14:textId="2ED5CC12" w:rsidR="00943148" w:rsidRPr="00E56DFD" w:rsidRDefault="00943148" w:rsidP="005F5363">
      <w:pPr>
        <w:pStyle w:val="FootnoteText"/>
        <w:rPr>
          <w:lang w:val="en-US"/>
        </w:rPr>
      </w:pPr>
      <w:r>
        <w:rPr>
          <w:rStyle w:val="FootnoteReference"/>
        </w:rPr>
        <w:footnoteRef/>
      </w:r>
      <w:r>
        <w:rPr>
          <w:lang w:val="en-US"/>
        </w:rPr>
        <w:t xml:space="preserve"> See</w:t>
      </w:r>
      <w:r>
        <w:t xml:space="preserve"> FASB </w:t>
      </w:r>
      <w:r w:rsidRPr="00252199">
        <w:rPr>
          <w:i/>
        </w:rPr>
        <w:t xml:space="preserve">Statement of Financial Accounting Concepts </w:t>
      </w:r>
      <w:r w:rsidRPr="00252199">
        <w:rPr>
          <w:i/>
          <w:lang w:val="en-US"/>
        </w:rPr>
        <w:t>No. 8</w:t>
      </w:r>
      <w:r>
        <w:rPr>
          <w:lang w:val="en-US"/>
        </w:rPr>
        <w:t xml:space="preserve"> 2010, paragraph OB2. A similar objective is expressed in the conceptual framework of the IAS (1989) – </w:t>
      </w:r>
      <w:r w:rsidRPr="00FD5FAD">
        <w:rPr>
          <w:i/>
          <w:iCs/>
          <w:lang w:val="en-US"/>
        </w:rPr>
        <w:t>The Conceptual Framework for Financial Reporting</w:t>
      </w:r>
      <w:r>
        <w:rPr>
          <w:i/>
          <w:iCs/>
          <w:lang w:val="en-US"/>
        </w:rPr>
        <w:t>.</w:t>
      </w:r>
      <w:r>
        <w:rPr>
          <w:lang w:val="en-US"/>
        </w:rPr>
        <w:t xml:space="preserve"> </w:t>
      </w:r>
    </w:p>
  </w:footnote>
  <w:footnote w:id="3">
    <w:p w14:paraId="45CAC70D" w14:textId="0B1A3B6E" w:rsidR="00943148" w:rsidRDefault="00943148" w:rsidP="00576741">
      <w:pPr>
        <w:pStyle w:val="FootnoteText"/>
        <w:ind w:right="-270"/>
      </w:pPr>
      <w:r>
        <w:rPr>
          <w:rStyle w:val="FootnoteReference"/>
        </w:rPr>
        <w:footnoteRef/>
      </w:r>
      <w:r>
        <w:t xml:space="preserve"> </w:t>
      </w:r>
      <w:r>
        <w:t xml:space="preserve">Among the few studies that </w:t>
      </w:r>
      <w:r>
        <w:rPr>
          <w:lang w:val="en-US"/>
        </w:rPr>
        <w:t>adopt</w:t>
      </w:r>
      <w:r>
        <w:t xml:space="preserve"> the </w:t>
      </w:r>
      <w:r>
        <w:rPr>
          <w:lang w:val="en-US"/>
        </w:rPr>
        <w:t>debt holders’</w:t>
      </w:r>
      <w:r>
        <w:t xml:space="preserve"> </w:t>
      </w:r>
      <w:r>
        <w:rPr>
          <w:lang w:val="en-US"/>
        </w:rPr>
        <w:t>perspective</w:t>
      </w:r>
      <w:r>
        <w:t xml:space="preserve"> are Plummer and Tse</w:t>
      </w:r>
      <w:r>
        <w:rPr>
          <w:lang w:val="en-US"/>
        </w:rPr>
        <w:t xml:space="preserve"> (1999), </w:t>
      </w:r>
      <w:r>
        <w:t>Shi (2003)</w:t>
      </w:r>
      <w:r>
        <w:rPr>
          <w:lang w:val="en-US"/>
        </w:rPr>
        <w:t xml:space="preserve">, </w:t>
      </w:r>
      <w:r>
        <w:t>Ball et al. (2008</w:t>
      </w:r>
      <w:r>
        <w:rPr>
          <w:lang w:val="en-US"/>
        </w:rPr>
        <w:t>a</w:t>
      </w:r>
      <w:r>
        <w:t>)</w:t>
      </w:r>
      <w:r>
        <w:rPr>
          <w:lang w:val="en-US"/>
        </w:rPr>
        <w:t xml:space="preserve">, </w:t>
      </w:r>
      <w:r>
        <w:t>Easton et al. (2009), Elliott et al.</w:t>
      </w:r>
      <w:r w:rsidDel="00BC2C50">
        <w:t xml:space="preserve"> </w:t>
      </w:r>
      <w:r>
        <w:t xml:space="preserve">(2010), </w:t>
      </w:r>
      <w:proofErr w:type="spellStart"/>
      <w:r>
        <w:t>Sridharan</w:t>
      </w:r>
      <w:proofErr w:type="spellEnd"/>
      <w:r>
        <w:t xml:space="preserve"> (2011)</w:t>
      </w:r>
      <w:r>
        <w:rPr>
          <w:lang w:val="en-US"/>
        </w:rPr>
        <w:t xml:space="preserve">, </w:t>
      </w:r>
      <w:proofErr w:type="spellStart"/>
      <w:r>
        <w:t>Gkougkousi</w:t>
      </w:r>
      <w:proofErr w:type="spellEnd"/>
      <w:r>
        <w:t xml:space="preserve"> (201</w:t>
      </w:r>
      <w:r>
        <w:rPr>
          <w:lang w:val="en-US"/>
        </w:rPr>
        <w:t>2</w:t>
      </w:r>
      <w:r>
        <w:t xml:space="preserve">) </w:t>
      </w:r>
      <w:r>
        <w:rPr>
          <w:lang w:val="en-US"/>
        </w:rPr>
        <w:t xml:space="preserve">and </w:t>
      </w:r>
      <w:proofErr w:type="spellStart"/>
      <w:r>
        <w:rPr>
          <w:lang w:val="en-US"/>
        </w:rPr>
        <w:t>DeFond</w:t>
      </w:r>
      <w:proofErr w:type="spellEnd"/>
      <w:r>
        <w:t xml:space="preserve"> </w:t>
      </w:r>
      <w:r>
        <w:rPr>
          <w:lang w:val="en-US"/>
        </w:rPr>
        <w:t>and Zhang</w:t>
      </w:r>
      <w:r>
        <w:t xml:space="preserve"> (20</w:t>
      </w:r>
      <w:r>
        <w:rPr>
          <w:lang w:val="en-US"/>
        </w:rPr>
        <w:t>14</w:t>
      </w:r>
      <w:r>
        <w:t>)</w:t>
      </w:r>
      <w:r>
        <w:rPr>
          <w:lang w:val="en-US"/>
        </w:rPr>
        <w:t>.</w:t>
      </w:r>
    </w:p>
  </w:footnote>
  <w:footnote w:id="4">
    <w:p w14:paraId="0F4317B7" w14:textId="77777777" w:rsidR="00943148" w:rsidRPr="009F3261" w:rsidRDefault="00943148" w:rsidP="00BD7182">
      <w:pPr>
        <w:pStyle w:val="FootnoteText"/>
        <w:rPr>
          <w:lang w:val="en-US"/>
        </w:rPr>
      </w:pPr>
      <w:r>
        <w:rPr>
          <w:rStyle w:val="FootnoteReference"/>
        </w:rPr>
        <w:footnoteRef/>
      </w:r>
      <w:r>
        <w:t xml:space="preserve"> </w:t>
      </w:r>
      <w:r>
        <w:rPr>
          <w:lang w:val="en-US"/>
        </w:rPr>
        <w:t xml:space="preserve">For a summary of these concerns see Francis and </w:t>
      </w:r>
      <w:proofErr w:type="spellStart"/>
      <w:r>
        <w:rPr>
          <w:lang w:val="en-US"/>
        </w:rPr>
        <w:t>Schipper</w:t>
      </w:r>
      <w:proofErr w:type="spellEnd"/>
      <w:r>
        <w:rPr>
          <w:lang w:val="en-US"/>
        </w:rPr>
        <w:t xml:space="preserve"> (1999).</w:t>
      </w:r>
    </w:p>
  </w:footnote>
  <w:footnote w:id="5">
    <w:p w14:paraId="1BF180BA" w14:textId="77777777" w:rsidR="00943148" w:rsidRPr="0025730F" w:rsidRDefault="00943148" w:rsidP="00F31FF3">
      <w:r w:rsidRPr="0025730F">
        <w:rPr>
          <w:rStyle w:val="FootnoteReference"/>
          <w:sz w:val="20"/>
        </w:rPr>
        <w:footnoteRef/>
      </w:r>
      <w:r w:rsidRPr="0025730F">
        <w:rPr>
          <w:sz w:val="20"/>
        </w:rPr>
        <w:t xml:space="preserve"> Stock </w:t>
      </w:r>
      <w:r>
        <w:rPr>
          <w:sz w:val="20"/>
        </w:rPr>
        <w:t>data has</w:t>
      </w:r>
      <w:r w:rsidRPr="0025730F">
        <w:rPr>
          <w:sz w:val="20"/>
        </w:rPr>
        <w:t xml:space="preserve"> been easy </w:t>
      </w:r>
      <w:r>
        <w:rPr>
          <w:sz w:val="20"/>
        </w:rPr>
        <w:t xml:space="preserve">to </w:t>
      </w:r>
      <w:r w:rsidRPr="0025730F">
        <w:rPr>
          <w:sz w:val="20"/>
        </w:rPr>
        <w:t>obtain since the advent of the Center for Research in Security Prices (CRSP) in 1960</w:t>
      </w:r>
      <w:r>
        <w:rPr>
          <w:sz w:val="20"/>
        </w:rPr>
        <w:t>, with return data available for years as early as 1925 (for NYSE firms)</w:t>
      </w:r>
      <w:r w:rsidRPr="0025730F">
        <w:rPr>
          <w:sz w:val="20"/>
        </w:rPr>
        <w:t xml:space="preserve">. </w:t>
      </w:r>
      <w:r>
        <w:rPr>
          <w:sz w:val="20"/>
        </w:rPr>
        <w:t>B</w:t>
      </w:r>
      <w:r w:rsidRPr="0025730F">
        <w:rPr>
          <w:sz w:val="20"/>
        </w:rPr>
        <w:t xml:space="preserve">ond data </w:t>
      </w:r>
      <w:r>
        <w:rPr>
          <w:sz w:val="20"/>
        </w:rPr>
        <w:t xml:space="preserve">availability </w:t>
      </w:r>
      <w:r w:rsidRPr="0025730F">
        <w:rPr>
          <w:sz w:val="20"/>
        </w:rPr>
        <w:t xml:space="preserve">is more limited. The </w:t>
      </w:r>
      <w:proofErr w:type="spellStart"/>
      <w:r w:rsidRPr="0025730F">
        <w:rPr>
          <w:sz w:val="20"/>
        </w:rPr>
        <w:t>Mergent</w:t>
      </w:r>
      <w:proofErr w:type="spellEnd"/>
      <w:r w:rsidRPr="0025730F">
        <w:rPr>
          <w:sz w:val="20"/>
        </w:rPr>
        <w:t xml:space="preserve"> Fixed Income Securities Database (FISD) contains bond exchange transactions beginning </w:t>
      </w:r>
      <w:r>
        <w:rPr>
          <w:sz w:val="20"/>
        </w:rPr>
        <w:t xml:space="preserve">in </w:t>
      </w:r>
      <w:r w:rsidRPr="0025730F">
        <w:rPr>
          <w:sz w:val="20"/>
        </w:rPr>
        <w:t>1994 but only for insurance companies</w:t>
      </w:r>
      <w:r>
        <w:rPr>
          <w:sz w:val="20"/>
        </w:rPr>
        <w:t xml:space="preserve">. </w:t>
      </w:r>
      <w:r w:rsidRPr="0025730F">
        <w:rPr>
          <w:sz w:val="20"/>
        </w:rPr>
        <w:t>The Trade Reporting and Compliance Engine</w:t>
      </w:r>
      <w:r>
        <w:rPr>
          <w:sz w:val="20"/>
        </w:rPr>
        <w:t>’s</w:t>
      </w:r>
      <w:r w:rsidRPr="0025730F">
        <w:rPr>
          <w:sz w:val="20"/>
        </w:rPr>
        <w:t xml:space="preserve"> (TRACE) Corporate Bond Database </w:t>
      </w:r>
      <w:r>
        <w:rPr>
          <w:sz w:val="20"/>
        </w:rPr>
        <w:t>provides</w:t>
      </w:r>
      <w:r w:rsidRPr="0025730F">
        <w:rPr>
          <w:sz w:val="20"/>
        </w:rPr>
        <w:t xml:space="preserve"> bond prices beginning </w:t>
      </w:r>
      <w:r>
        <w:rPr>
          <w:sz w:val="20"/>
        </w:rPr>
        <w:t xml:space="preserve">in </w:t>
      </w:r>
      <w:r w:rsidRPr="0025730F">
        <w:rPr>
          <w:sz w:val="20"/>
        </w:rPr>
        <w:t xml:space="preserve">2002 with more comprehensive data available </w:t>
      </w:r>
      <w:r>
        <w:rPr>
          <w:sz w:val="20"/>
        </w:rPr>
        <w:t xml:space="preserve">beginning </w:t>
      </w:r>
      <w:r w:rsidRPr="0025730F">
        <w:rPr>
          <w:sz w:val="20"/>
        </w:rPr>
        <w:t xml:space="preserve">only </w:t>
      </w:r>
      <w:r>
        <w:rPr>
          <w:sz w:val="20"/>
        </w:rPr>
        <w:t xml:space="preserve">in </w:t>
      </w:r>
      <w:r w:rsidRPr="0025730F">
        <w:rPr>
          <w:sz w:val="20"/>
        </w:rPr>
        <w:t>2005</w:t>
      </w:r>
      <w:r>
        <w:rPr>
          <w:sz w:val="20"/>
        </w:rPr>
        <w:t xml:space="preserve">. </w:t>
      </w:r>
    </w:p>
  </w:footnote>
  <w:footnote w:id="6">
    <w:p w14:paraId="1AE430B8" w14:textId="77777777" w:rsidR="00943148" w:rsidRPr="00F47741" w:rsidRDefault="00943148" w:rsidP="00335619">
      <w:pPr>
        <w:rPr>
          <w:sz w:val="20"/>
          <w:szCs w:val="20"/>
        </w:rPr>
      </w:pPr>
      <w:r w:rsidRPr="00F47741">
        <w:rPr>
          <w:rStyle w:val="FootnoteReference"/>
          <w:sz w:val="20"/>
          <w:szCs w:val="20"/>
        </w:rPr>
        <w:footnoteRef/>
      </w:r>
      <w:r w:rsidRPr="00F47741">
        <w:rPr>
          <w:sz w:val="20"/>
          <w:szCs w:val="20"/>
        </w:rPr>
        <w:t xml:space="preserve"> The frequency of losses and earnings declines could mirror reporting factors</w:t>
      </w:r>
      <w:r>
        <w:rPr>
          <w:sz w:val="20"/>
          <w:szCs w:val="20"/>
        </w:rPr>
        <w:t xml:space="preserve">. </w:t>
      </w:r>
      <w:r w:rsidRPr="00F47741">
        <w:rPr>
          <w:sz w:val="20"/>
          <w:szCs w:val="20"/>
        </w:rPr>
        <w:t xml:space="preserve">In particular, accounting conservatism in the form of a more timely recognition of losses has been shown to affect earnings variability and skewness (see </w:t>
      </w:r>
      <w:proofErr w:type="spellStart"/>
      <w:r w:rsidRPr="00F47741">
        <w:rPr>
          <w:sz w:val="20"/>
          <w:szCs w:val="20"/>
        </w:rPr>
        <w:t>Givoly</w:t>
      </w:r>
      <w:proofErr w:type="spellEnd"/>
      <w:r w:rsidRPr="00F47741">
        <w:rPr>
          <w:sz w:val="20"/>
          <w:szCs w:val="20"/>
        </w:rPr>
        <w:t xml:space="preserve"> and </w:t>
      </w:r>
      <w:proofErr w:type="spellStart"/>
      <w:r w:rsidRPr="00F47741">
        <w:rPr>
          <w:sz w:val="20"/>
          <w:szCs w:val="20"/>
        </w:rPr>
        <w:t>Hayn</w:t>
      </w:r>
      <w:proofErr w:type="spellEnd"/>
      <w:r w:rsidRPr="00F47741">
        <w:rPr>
          <w:sz w:val="20"/>
          <w:szCs w:val="20"/>
        </w:rPr>
        <w:t xml:space="preserve"> 2000). </w:t>
      </w:r>
    </w:p>
  </w:footnote>
  <w:footnote w:id="7">
    <w:p w14:paraId="3F2DD1D2" w14:textId="77777777" w:rsidR="00943148" w:rsidRPr="002B79FD" w:rsidRDefault="00943148" w:rsidP="00335619">
      <w:pPr>
        <w:rPr>
          <w:sz w:val="20"/>
          <w:szCs w:val="20"/>
        </w:rPr>
      </w:pPr>
      <w:r w:rsidRPr="008200D8">
        <w:rPr>
          <w:rStyle w:val="FootnoteReference"/>
          <w:sz w:val="20"/>
          <w:szCs w:val="20"/>
        </w:rPr>
        <w:footnoteRef/>
      </w:r>
      <w:r w:rsidRPr="008200D8">
        <w:rPr>
          <w:sz w:val="20"/>
          <w:szCs w:val="20"/>
        </w:rPr>
        <w:t xml:space="preserve"> </w:t>
      </w:r>
      <w:r w:rsidRPr="002B79FD">
        <w:rPr>
          <w:sz w:val="20"/>
          <w:szCs w:val="20"/>
        </w:rPr>
        <w:t xml:space="preserve">Uncertainty </w:t>
      </w:r>
      <w:r>
        <w:rPr>
          <w:sz w:val="20"/>
          <w:szCs w:val="20"/>
        </w:rPr>
        <w:t xml:space="preserve">of </w:t>
      </w:r>
      <w:r w:rsidRPr="002B79FD">
        <w:rPr>
          <w:sz w:val="20"/>
          <w:szCs w:val="20"/>
        </w:rPr>
        <w:t>the intangible</w:t>
      </w:r>
      <w:r>
        <w:rPr>
          <w:sz w:val="20"/>
          <w:szCs w:val="20"/>
        </w:rPr>
        <w:t xml:space="preserve"> investments’</w:t>
      </w:r>
      <w:r w:rsidRPr="002B79FD">
        <w:rPr>
          <w:sz w:val="20"/>
          <w:szCs w:val="20"/>
        </w:rPr>
        <w:t xml:space="preserve"> value exists regardless of whether they are capitalized or </w:t>
      </w:r>
      <w:r>
        <w:rPr>
          <w:sz w:val="20"/>
          <w:szCs w:val="20"/>
        </w:rPr>
        <w:t xml:space="preserve">not. If </w:t>
      </w:r>
      <w:r w:rsidRPr="002B79FD">
        <w:rPr>
          <w:sz w:val="20"/>
          <w:szCs w:val="20"/>
        </w:rPr>
        <w:t>capitalized, their cost is unlikely to represent their fair value</w:t>
      </w:r>
      <w:r>
        <w:rPr>
          <w:sz w:val="20"/>
          <w:szCs w:val="20"/>
        </w:rPr>
        <w:t xml:space="preserve"> </w:t>
      </w:r>
      <w:r w:rsidRPr="002B79FD">
        <w:rPr>
          <w:sz w:val="20"/>
          <w:szCs w:val="20"/>
        </w:rPr>
        <w:t xml:space="preserve">except, perhaps, immediately following their acquisition or </w:t>
      </w:r>
      <w:r>
        <w:rPr>
          <w:sz w:val="20"/>
          <w:szCs w:val="20"/>
        </w:rPr>
        <w:t xml:space="preserve">recognition of </w:t>
      </w:r>
      <w:r w:rsidRPr="002B79FD">
        <w:rPr>
          <w:sz w:val="20"/>
          <w:szCs w:val="20"/>
        </w:rPr>
        <w:t>their impairment</w:t>
      </w:r>
      <w:r>
        <w:rPr>
          <w:sz w:val="20"/>
          <w:szCs w:val="20"/>
        </w:rPr>
        <w:t xml:space="preserve">. </w:t>
      </w:r>
      <w:r w:rsidRPr="002B79FD">
        <w:rPr>
          <w:sz w:val="20"/>
          <w:szCs w:val="20"/>
        </w:rPr>
        <w:t>Whether capitalization is beneficial to creditors is an open question</w:t>
      </w:r>
      <w:r>
        <w:rPr>
          <w:sz w:val="20"/>
          <w:szCs w:val="20"/>
        </w:rPr>
        <w:t xml:space="preserve">. </w:t>
      </w:r>
      <w:r w:rsidRPr="002B79FD">
        <w:rPr>
          <w:sz w:val="20"/>
          <w:szCs w:val="20"/>
        </w:rPr>
        <w:t>There is some evidence that capitalization of intangibles may reduce the rate of false prediction</w:t>
      </w:r>
      <w:r>
        <w:rPr>
          <w:sz w:val="20"/>
          <w:szCs w:val="20"/>
        </w:rPr>
        <w:t>s</w:t>
      </w:r>
      <w:r w:rsidRPr="002B79FD">
        <w:rPr>
          <w:sz w:val="20"/>
          <w:szCs w:val="20"/>
        </w:rPr>
        <w:t xml:space="preserve"> of bankruptcy (see </w:t>
      </w:r>
      <w:proofErr w:type="spellStart"/>
      <w:r w:rsidRPr="002B79FD">
        <w:rPr>
          <w:sz w:val="20"/>
          <w:szCs w:val="20"/>
        </w:rPr>
        <w:t>Franzen</w:t>
      </w:r>
      <w:proofErr w:type="spellEnd"/>
      <w:r w:rsidRPr="002B79FD">
        <w:rPr>
          <w:sz w:val="20"/>
          <w:szCs w:val="20"/>
        </w:rPr>
        <w:t xml:space="preserve"> et al. 2007)</w:t>
      </w:r>
      <w:r>
        <w:rPr>
          <w:sz w:val="20"/>
          <w:szCs w:val="20"/>
        </w:rPr>
        <w:t xml:space="preserve">. </w:t>
      </w:r>
      <w:r w:rsidRPr="002B79FD">
        <w:rPr>
          <w:sz w:val="20"/>
          <w:szCs w:val="20"/>
        </w:rPr>
        <w:t>Yet, Shi’s (2003) findings suggest that the added risk conveyed by capitalized R&amp;D overshadows the benefits to bond holders</w:t>
      </w:r>
      <w:r>
        <w:rPr>
          <w:sz w:val="20"/>
          <w:szCs w:val="20"/>
        </w:rPr>
        <w:t>.</w:t>
      </w:r>
    </w:p>
  </w:footnote>
  <w:footnote w:id="8">
    <w:p w14:paraId="5BD729FF" w14:textId="5793F534" w:rsidR="00943148" w:rsidRPr="00F47741" w:rsidRDefault="00943148" w:rsidP="00335619">
      <w:pPr>
        <w:pStyle w:val="FootnoteText"/>
        <w:rPr>
          <w:lang w:val="en-US"/>
        </w:rPr>
      </w:pPr>
      <w:r>
        <w:rPr>
          <w:rStyle w:val="FootnoteReference"/>
        </w:rPr>
        <w:footnoteRef/>
      </w:r>
      <w:r>
        <w:t xml:space="preserve"> </w:t>
      </w:r>
      <w:r>
        <w:rPr>
          <w:lang w:val="en-US"/>
        </w:rPr>
        <w:t xml:space="preserve">Matching by coupon rate and years-to-maturity as done by Easton et al. (2009) leads to very similar results. </w:t>
      </w:r>
    </w:p>
  </w:footnote>
  <w:footnote w:id="9">
    <w:p w14:paraId="68730B21" w14:textId="107950B7" w:rsidR="00943148" w:rsidRPr="006E5CE9" w:rsidRDefault="00943148">
      <w:pPr>
        <w:pStyle w:val="FootnoteText"/>
        <w:rPr>
          <w:lang w:val="en-US"/>
        </w:rPr>
      </w:pPr>
      <w:r>
        <w:rPr>
          <w:rStyle w:val="FootnoteReference"/>
        </w:rPr>
        <w:footnoteRef/>
      </w:r>
      <w:r>
        <w:t xml:space="preserve"> </w:t>
      </w:r>
      <w:r>
        <w:rPr>
          <w:lang w:val="en-US"/>
        </w:rPr>
        <w:t xml:space="preserve">An alternative derivation whereby the expected return is measured from the market model yields similar inferences. </w:t>
      </w:r>
    </w:p>
  </w:footnote>
  <w:footnote w:id="10">
    <w:p w14:paraId="207ED59F" w14:textId="77777777" w:rsidR="00943148" w:rsidRPr="007F2F03" w:rsidRDefault="00943148" w:rsidP="00335619">
      <w:pPr>
        <w:pStyle w:val="FootnoteText"/>
        <w:rPr>
          <w:lang w:val="en-US"/>
        </w:rPr>
      </w:pPr>
      <w:r>
        <w:rPr>
          <w:rStyle w:val="FootnoteReference"/>
        </w:rPr>
        <w:footnoteRef/>
      </w:r>
      <w:r>
        <w:t xml:space="preserve"> </w:t>
      </w:r>
      <w:r>
        <w:t xml:space="preserve">Equation (2) is similar to that used by Francis and </w:t>
      </w:r>
      <w:proofErr w:type="spellStart"/>
      <w:r>
        <w:t>Schipper</w:t>
      </w:r>
      <w:proofErr w:type="spellEnd"/>
      <w:r>
        <w:t xml:space="preserve"> (1999). </w:t>
      </w:r>
      <w:r>
        <w:rPr>
          <w:lang w:val="en-US"/>
        </w:rPr>
        <w:t>A</w:t>
      </w:r>
      <w:r w:rsidRPr="007F2F03">
        <w:rPr>
          <w:lang w:val="en-US"/>
        </w:rPr>
        <w:t xml:space="preserve">lternative equity valuation specifications used in the literature (including those in which the variables are deflated by </w:t>
      </w:r>
      <w:r>
        <w:rPr>
          <w:lang w:val="en-US"/>
        </w:rPr>
        <w:t xml:space="preserve">the </w:t>
      </w:r>
      <w:r w:rsidRPr="007F2F03">
        <w:rPr>
          <w:lang w:val="en-US"/>
        </w:rPr>
        <w:t>market value of equity) produce</w:t>
      </w:r>
      <w:r>
        <w:rPr>
          <w:lang w:val="en-US"/>
        </w:rPr>
        <w:t xml:space="preserve"> similar results.</w:t>
      </w:r>
    </w:p>
  </w:footnote>
  <w:footnote w:id="11">
    <w:p w14:paraId="3CD5E611" w14:textId="77777777" w:rsidR="00943148" w:rsidRPr="00B07BAC" w:rsidRDefault="00943148" w:rsidP="00335619">
      <w:r w:rsidRPr="008200D8">
        <w:rPr>
          <w:rStyle w:val="FootnoteReference"/>
          <w:sz w:val="20"/>
          <w:szCs w:val="20"/>
        </w:rPr>
        <w:footnoteRef/>
      </w:r>
      <w:r w:rsidRPr="008200D8">
        <w:rPr>
          <w:sz w:val="20"/>
          <w:szCs w:val="20"/>
        </w:rPr>
        <w:t xml:space="preserve"> </w:t>
      </w:r>
      <w:r>
        <w:rPr>
          <w:sz w:val="20"/>
          <w:szCs w:val="20"/>
        </w:rPr>
        <w:t>E</w:t>
      </w:r>
      <w:r w:rsidRPr="001D20F1">
        <w:rPr>
          <w:sz w:val="20"/>
          <w:szCs w:val="20"/>
        </w:rPr>
        <w:t xml:space="preserve">xtreme observations </w:t>
      </w:r>
      <w:r>
        <w:rPr>
          <w:sz w:val="20"/>
          <w:szCs w:val="20"/>
        </w:rPr>
        <w:t xml:space="preserve">are handled </w:t>
      </w:r>
      <w:r w:rsidRPr="001D20F1">
        <w:rPr>
          <w:sz w:val="20"/>
          <w:szCs w:val="20"/>
        </w:rPr>
        <w:t>using two alternative approaches</w:t>
      </w:r>
      <w:r>
        <w:rPr>
          <w:sz w:val="20"/>
          <w:szCs w:val="20"/>
        </w:rPr>
        <w:t xml:space="preserve"> (see Francis and </w:t>
      </w:r>
      <w:proofErr w:type="spellStart"/>
      <w:r>
        <w:rPr>
          <w:sz w:val="20"/>
          <w:szCs w:val="20"/>
        </w:rPr>
        <w:t>Schipper</w:t>
      </w:r>
      <w:proofErr w:type="spellEnd"/>
      <w:r>
        <w:rPr>
          <w:sz w:val="20"/>
          <w:szCs w:val="20"/>
        </w:rPr>
        <w:t xml:space="preserve">, 1999). </w:t>
      </w:r>
      <w:r w:rsidRPr="001D20F1">
        <w:rPr>
          <w:sz w:val="20"/>
          <w:szCs w:val="20"/>
        </w:rPr>
        <w:t>In one,</w:t>
      </w:r>
      <w:r w:rsidRPr="001D20F1">
        <w:t xml:space="preserve"> </w:t>
      </w:r>
      <w:r w:rsidRPr="001D20F1">
        <w:rPr>
          <w:sz w:val="20"/>
          <w:szCs w:val="20"/>
        </w:rPr>
        <w:t xml:space="preserve">each of the stock regressions is estimated from data in which all variables are truncated at the </w:t>
      </w:r>
      <w:r>
        <w:rPr>
          <w:sz w:val="20"/>
          <w:szCs w:val="20"/>
        </w:rPr>
        <w:t>tails of the distributions</w:t>
      </w:r>
      <w:r w:rsidRPr="001D20F1">
        <w:rPr>
          <w:sz w:val="20"/>
          <w:szCs w:val="20"/>
        </w:rPr>
        <w:t xml:space="preserve"> (</w:t>
      </w:r>
      <w:r>
        <w:rPr>
          <w:sz w:val="20"/>
          <w:szCs w:val="20"/>
        </w:rPr>
        <w:t xml:space="preserve">at </w:t>
      </w:r>
      <w:r w:rsidRPr="001D20F1">
        <w:rPr>
          <w:sz w:val="20"/>
          <w:szCs w:val="20"/>
        </w:rPr>
        <w:t xml:space="preserve">1% and 99%). Alternatively, observations </w:t>
      </w:r>
      <w:r>
        <w:rPr>
          <w:sz w:val="20"/>
          <w:szCs w:val="20"/>
        </w:rPr>
        <w:t xml:space="preserve">identified as influential by </w:t>
      </w:r>
      <w:r w:rsidRPr="001D20F1">
        <w:rPr>
          <w:sz w:val="20"/>
          <w:szCs w:val="20"/>
        </w:rPr>
        <w:t xml:space="preserve">the </w:t>
      </w:r>
      <w:proofErr w:type="spellStart"/>
      <w:r w:rsidRPr="001D20F1">
        <w:rPr>
          <w:sz w:val="20"/>
          <w:szCs w:val="20"/>
        </w:rPr>
        <w:t>Belsley</w:t>
      </w:r>
      <w:proofErr w:type="spellEnd"/>
      <w:r w:rsidRPr="001D20F1">
        <w:rPr>
          <w:sz w:val="20"/>
          <w:szCs w:val="20"/>
        </w:rPr>
        <w:t xml:space="preserve">, </w:t>
      </w:r>
      <w:proofErr w:type="spellStart"/>
      <w:r w:rsidRPr="001D20F1">
        <w:rPr>
          <w:sz w:val="20"/>
          <w:szCs w:val="20"/>
        </w:rPr>
        <w:t>Kuh</w:t>
      </w:r>
      <w:proofErr w:type="spellEnd"/>
      <w:r w:rsidRPr="001D20F1">
        <w:rPr>
          <w:sz w:val="20"/>
          <w:szCs w:val="20"/>
        </w:rPr>
        <w:t xml:space="preserve"> and </w:t>
      </w:r>
      <w:proofErr w:type="spellStart"/>
      <w:r w:rsidRPr="001D20F1">
        <w:rPr>
          <w:sz w:val="20"/>
          <w:szCs w:val="20"/>
        </w:rPr>
        <w:t>Welsch</w:t>
      </w:r>
      <w:proofErr w:type="spellEnd"/>
      <w:r w:rsidRPr="001D20F1">
        <w:rPr>
          <w:sz w:val="20"/>
          <w:szCs w:val="20"/>
        </w:rPr>
        <w:t xml:space="preserve"> (1980) diagnostic analysis (i.e., a </w:t>
      </w:r>
      <w:proofErr w:type="spellStart"/>
      <w:r w:rsidRPr="001D20F1">
        <w:rPr>
          <w:sz w:val="20"/>
          <w:szCs w:val="20"/>
        </w:rPr>
        <w:t>Studentized</w:t>
      </w:r>
      <w:proofErr w:type="spellEnd"/>
      <w:r w:rsidRPr="001D20F1">
        <w:rPr>
          <w:sz w:val="20"/>
          <w:szCs w:val="20"/>
        </w:rPr>
        <w:t xml:space="preserve"> residual greater than 3 or </w:t>
      </w:r>
      <w:r>
        <w:rPr>
          <w:sz w:val="20"/>
          <w:szCs w:val="20"/>
        </w:rPr>
        <w:t xml:space="preserve">a </w:t>
      </w:r>
      <w:r w:rsidRPr="001D20F1">
        <w:rPr>
          <w:sz w:val="20"/>
          <w:szCs w:val="20"/>
        </w:rPr>
        <w:t>Cook’s D Statistic greater than 1)</w:t>
      </w:r>
      <w:r>
        <w:rPr>
          <w:sz w:val="20"/>
          <w:szCs w:val="20"/>
        </w:rPr>
        <w:t xml:space="preserve"> are removed</w:t>
      </w:r>
      <w:r w:rsidRPr="001D20F1">
        <w:rPr>
          <w:sz w:val="20"/>
          <w:szCs w:val="20"/>
        </w:rPr>
        <w:t xml:space="preserve">. </w:t>
      </w:r>
      <w:r>
        <w:rPr>
          <w:sz w:val="20"/>
          <w:szCs w:val="20"/>
        </w:rPr>
        <w:t>Both approaches produce similar results.</w:t>
      </w:r>
    </w:p>
  </w:footnote>
  <w:footnote w:id="12">
    <w:p w14:paraId="74E7E194" w14:textId="77777777" w:rsidR="00943148" w:rsidRPr="004923F7" w:rsidRDefault="00943148" w:rsidP="00335619">
      <w:pPr>
        <w:autoSpaceDE w:val="0"/>
        <w:autoSpaceDN w:val="0"/>
        <w:adjustRightInd w:val="0"/>
      </w:pPr>
      <w:r w:rsidRPr="00EA2BF3">
        <w:rPr>
          <w:rStyle w:val="FootnoteReference"/>
          <w:sz w:val="20"/>
          <w:szCs w:val="20"/>
        </w:rPr>
        <w:footnoteRef/>
      </w:r>
      <w:r w:rsidRPr="00EA2BF3">
        <w:rPr>
          <w:sz w:val="20"/>
          <w:szCs w:val="20"/>
        </w:rPr>
        <w:t xml:space="preserve"> </w:t>
      </w:r>
      <w:r>
        <w:rPr>
          <w:sz w:val="20"/>
          <w:szCs w:val="20"/>
        </w:rPr>
        <w:t xml:space="preserve">To estimate </w:t>
      </w:r>
      <w:r w:rsidRPr="004923F7">
        <w:rPr>
          <w:sz w:val="20"/>
          <w:szCs w:val="20"/>
        </w:rPr>
        <w:t>PROB</w:t>
      </w:r>
      <w:r>
        <w:rPr>
          <w:sz w:val="20"/>
          <w:szCs w:val="20"/>
        </w:rPr>
        <w:t xml:space="preserve">, we follow </w:t>
      </w:r>
      <w:r w:rsidRPr="004923F7">
        <w:rPr>
          <w:sz w:val="20"/>
          <w:szCs w:val="20"/>
        </w:rPr>
        <w:t xml:space="preserve">the procedure developed by </w:t>
      </w:r>
      <w:proofErr w:type="spellStart"/>
      <w:r w:rsidRPr="004923F7">
        <w:rPr>
          <w:sz w:val="20"/>
          <w:szCs w:val="20"/>
        </w:rPr>
        <w:t>Hillegeist</w:t>
      </w:r>
      <w:proofErr w:type="spellEnd"/>
      <w:r w:rsidRPr="004923F7">
        <w:rPr>
          <w:sz w:val="20"/>
          <w:szCs w:val="20"/>
        </w:rPr>
        <w:t xml:space="preserve"> et al. (2004) and used by </w:t>
      </w:r>
      <w:proofErr w:type="spellStart"/>
      <w:r w:rsidRPr="004923F7">
        <w:rPr>
          <w:sz w:val="20"/>
          <w:szCs w:val="20"/>
        </w:rPr>
        <w:t>Vassalou</w:t>
      </w:r>
      <w:proofErr w:type="spellEnd"/>
      <w:r w:rsidRPr="004923F7">
        <w:rPr>
          <w:sz w:val="20"/>
          <w:szCs w:val="20"/>
        </w:rPr>
        <w:t xml:space="preserve"> and Xing (2004). The primary variables in the estimation of PROB are the market value of equity, the standard deviation of equity returns and total debt. </w:t>
      </w:r>
    </w:p>
  </w:footnote>
  <w:footnote w:id="13">
    <w:p w14:paraId="7EC5EEF0" w14:textId="6232C2CD" w:rsidR="00943148" w:rsidRPr="004923F7" w:rsidRDefault="00943148">
      <w:pPr>
        <w:pStyle w:val="FootnoteText"/>
      </w:pPr>
      <w:r>
        <w:rPr>
          <w:rStyle w:val="FootnoteReference"/>
        </w:rPr>
        <w:footnoteRef/>
      </w:r>
      <w:r>
        <w:t xml:space="preserve"> </w:t>
      </w:r>
      <w:r>
        <w:rPr>
          <w:lang w:val="en-US"/>
        </w:rPr>
        <w:t>Other research that uses models</w:t>
      </w:r>
      <w:r>
        <w:t xml:space="preserve"> </w:t>
      </w:r>
      <w:r>
        <w:rPr>
          <w:lang w:val="en-US"/>
        </w:rPr>
        <w:t>with</w:t>
      </w:r>
      <w:r>
        <w:t xml:space="preserve"> similar accounting variables </w:t>
      </w:r>
      <w:r>
        <w:rPr>
          <w:lang w:val="en-US"/>
        </w:rPr>
        <w:t>includes</w:t>
      </w:r>
      <w:r>
        <w:t xml:space="preserve"> Ball et al. (2008a), Dou (2014) and </w:t>
      </w:r>
      <w:proofErr w:type="spellStart"/>
      <w:r>
        <w:t>Kovner</w:t>
      </w:r>
      <w:proofErr w:type="spellEnd"/>
      <w:r>
        <w:t xml:space="preserve"> and Wei (2012). </w:t>
      </w:r>
    </w:p>
  </w:footnote>
  <w:footnote w:id="14">
    <w:p w14:paraId="0A6C56EA" w14:textId="581637E7" w:rsidR="00943148" w:rsidRPr="00BC580C" w:rsidRDefault="00943148" w:rsidP="00335619">
      <w:pPr>
        <w:pStyle w:val="FootnoteText"/>
      </w:pPr>
      <w:r>
        <w:rPr>
          <w:rStyle w:val="FootnoteReference"/>
        </w:rPr>
        <w:footnoteRef/>
      </w:r>
      <w:r>
        <w:t xml:space="preserve"> </w:t>
      </w:r>
      <w:r>
        <w:t xml:space="preserve">This return regression is similar to that used by Francis and </w:t>
      </w:r>
      <w:proofErr w:type="spellStart"/>
      <w:r>
        <w:t>Schipper</w:t>
      </w:r>
      <w:proofErr w:type="spellEnd"/>
      <w:r>
        <w:t xml:space="preserve"> (1999) except that </w:t>
      </w:r>
      <w:r>
        <w:rPr>
          <w:lang w:val="en-US"/>
        </w:rPr>
        <w:t xml:space="preserve">we measure unexpected earnings using analyst forecasts rather than a mechanical model and do not </w:t>
      </w:r>
      <w:r>
        <w:t>include the book value of equity as an explanatory variable. Inclusion of this variable</w:t>
      </w:r>
      <w:r>
        <w:rPr>
          <w:lang w:val="en-US"/>
        </w:rPr>
        <w:t xml:space="preserve"> in our regression</w:t>
      </w:r>
      <w:r>
        <w:t xml:space="preserve"> does not affect the results.</w:t>
      </w:r>
    </w:p>
  </w:footnote>
  <w:footnote w:id="15">
    <w:p w14:paraId="794F0DDF" w14:textId="77777777" w:rsidR="00943148" w:rsidRPr="00DC5B9E" w:rsidRDefault="00943148" w:rsidP="00D958BD">
      <w:pPr>
        <w:pStyle w:val="FootnoteText"/>
      </w:pPr>
      <w:r>
        <w:rPr>
          <w:rStyle w:val="FootnoteReference"/>
        </w:rPr>
        <w:footnoteRef/>
      </w:r>
      <w:r>
        <w:t xml:space="preserve"> </w:t>
      </w:r>
      <w:r>
        <w:t>Interactive Data provides</w:t>
      </w:r>
      <w:r w:rsidRPr="00665D1C">
        <w:t xml:space="preserve"> third-party bond prices and other financial services</w:t>
      </w:r>
      <w:r>
        <w:rPr>
          <w:lang w:val="en-US"/>
        </w:rPr>
        <w:t>. Its</w:t>
      </w:r>
      <w:r w:rsidRPr="00665D1C">
        <w:t xml:space="preserve"> subscribers include thousands of financial institutions worldwide ranging from central banks to large investment banks.</w:t>
      </w:r>
      <w:r>
        <w:rPr>
          <w:lang w:val="en-US"/>
        </w:rPr>
        <w:t xml:space="preserve"> Other research using this database includes </w:t>
      </w:r>
      <w:r w:rsidRPr="007B69A8">
        <w:rPr>
          <w:bCs/>
        </w:rPr>
        <w:t xml:space="preserve">Hancock and </w:t>
      </w:r>
      <w:proofErr w:type="spellStart"/>
      <w:r w:rsidRPr="007B69A8">
        <w:rPr>
          <w:bCs/>
        </w:rPr>
        <w:t>Kwast</w:t>
      </w:r>
      <w:proofErr w:type="spellEnd"/>
      <w:r w:rsidRPr="007B69A8">
        <w:rPr>
          <w:bCs/>
        </w:rPr>
        <w:t xml:space="preserve"> (2001</w:t>
      </w:r>
      <w:r>
        <w:rPr>
          <w:bCs/>
          <w:lang w:val="en-US"/>
        </w:rPr>
        <w:t>),</w:t>
      </w:r>
      <w:r w:rsidRPr="007B69A8">
        <w:rPr>
          <w:bCs/>
          <w:lang w:val="en-US"/>
        </w:rPr>
        <w:t xml:space="preserve"> </w:t>
      </w:r>
      <w:r w:rsidRPr="007B69A8">
        <w:rPr>
          <w:bCs/>
        </w:rPr>
        <w:t>Hand</w:t>
      </w:r>
      <w:r>
        <w:rPr>
          <w:bCs/>
          <w:lang w:val="en-US"/>
        </w:rPr>
        <w:t xml:space="preserve"> et al.</w:t>
      </w:r>
      <w:r w:rsidRPr="007B69A8">
        <w:rPr>
          <w:bCs/>
        </w:rPr>
        <w:t xml:space="preserve"> (1992</w:t>
      </w:r>
      <w:r w:rsidRPr="007B69A8">
        <w:t>)</w:t>
      </w:r>
      <w:r w:rsidRPr="007B69A8">
        <w:rPr>
          <w:lang w:val="en-US"/>
        </w:rPr>
        <w:t>,</w:t>
      </w:r>
      <w:r w:rsidRPr="007B69A8">
        <w:t xml:space="preserve"> </w:t>
      </w:r>
      <w:proofErr w:type="spellStart"/>
      <w:r w:rsidRPr="007B69A8">
        <w:t>Hemler</w:t>
      </w:r>
      <w:proofErr w:type="spellEnd"/>
      <w:r w:rsidRPr="007B69A8">
        <w:t xml:space="preserve"> (1990)</w:t>
      </w:r>
      <w:r w:rsidRPr="007B69A8">
        <w:rPr>
          <w:lang w:val="en-US"/>
        </w:rPr>
        <w:t xml:space="preserve">, </w:t>
      </w:r>
      <w:proofErr w:type="spellStart"/>
      <w:r w:rsidRPr="007B69A8">
        <w:t>Dudney</w:t>
      </w:r>
      <w:proofErr w:type="spellEnd"/>
      <w:r w:rsidRPr="007B69A8">
        <w:t xml:space="preserve"> and </w:t>
      </w:r>
      <w:proofErr w:type="spellStart"/>
      <w:r w:rsidRPr="007B69A8">
        <w:t>Geppert</w:t>
      </w:r>
      <w:proofErr w:type="spellEnd"/>
      <w:r w:rsidRPr="007B69A8">
        <w:t xml:space="preserve"> (2008)</w:t>
      </w:r>
      <w:r>
        <w:rPr>
          <w:lang w:val="en-US"/>
        </w:rPr>
        <w:t xml:space="preserve">, </w:t>
      </w:r>
      <w:r w:rsidRPr="007B69A8">
        <w:t xml:space="preserve">Cooper and Shulman (1994), Shulman, and Bayless (1993) and Gay and </w:t>
      </w:r>
      <w:proofErr w:type="spellStart"/>
      <w:r w:rsidRPr="007B69A8">
        <w:t>Manaster</w:t>
      </w:r>
      <w:proofErr w:type="spellEnd"/>
      <w:r w:rsidRPr="007B69A8">
        <w:t xml:space="preserve"> (1991)</w:t>
      </w:r>
      <w:r>
        <w:rPr>
          <w:lang w:val="en-US"/>
        </w:rPr>
        <w:t>.</w:t>
      </w:r>
    </w:p>
  </w:footnote>
  <w:footnote w:id="16">
    <w:p w14:paraId="68D40D0F" w14:textId="77777777" w:rsidR="00943148" w:rsidRPr="003002E2" w:rsidRDefault="00943148" w:rsidP="00636E55">
      <w:pPr>
        <w:pStyle w:val="CommentText"/>
        <w:rPr>
          <w:lang w:val="en-US"/>
        </w:rPr>
      </w:pPr>
      <w:r w:rsidRPr="001E3D51">
        <w:rPr>
          <w:rStyle w:val="FootnoteReference"/>
        </w:rPr>
        <w:footnoteRef/>
      </w:r>
      <w:r w:rsidRPr="001E3D51">
        <w:t xml:space="preserve"> </w:t>
      </w:r>
      <w:r w:rsidRPr="001E3D51">
        <w:rPr>
          <w:lang w:val="en-US"/>
        </w:rPr>
        <w:t>The decline in the number of bond issues in 2007 is also likely due to the shift of issuers towards (high yield) bonds through private placement (144A</w:t>
      </w:r>
      <w:r>
        <w:rPr>
          <w:lang w:val="en-US"/>
        </w:rPr>
        <w:t xml:space="preserve"> offerings</w:t>
      </w:r>
      <w:r w:rsidRPr="001E3D51">
        <w:rPr>
          <w:lang w:val="en-US"/>
        </w:rPr>
        <w:t xml:space="preserve">). These bonds are not included in our sample. </w:t>
      </w:r>
    </w:p>
  </w:footnote>
  <w:footnote w:id="17">
    <w:p w14:paraId="2A05EBC4" w14:textId="77777777" w:rsidR="00943148" w:rsidRPr="00CF5759" w:rsidRDefault="00943148" w:rsidP="00335619">
      <w:pPr>
        <w:pStyle w:val="FootnoteText"/>
        <w:rPr>
          <w:lang w:val="en-US"/>
        </w:rPr>
      </w:pPr>
      <w:r>
        <w:rPr>
          <w:rStyle w:val="FootnoteReference"/>
        </w:rPr>
        <w:footnoteRef/>
      </w:r>
      <w:r>
        <w:t xml:space="preserve"> </w:t>
      </w:r>
      <w:r>
        <w:rPr>
          <w:lang w:val="en-US"/>
        </w:rPr>
        <w:t xml:space="preserve">These cut-off points reflect the tradeoff between the need for a minimum sample size each year </w:t>
      </w:r>
      <w:r w:rsidRPr="00CF5759">
        <w:rPr>
          <w:lang w:val="en-US"/>
        </w:rPr>
        <w:t xml:space="preserve">and the </w:t>
      </w:r>
      <w:r>
        <w:rPr>
          <w:lang w:val="en-US"/>
        </w:rPr>
        <w:t>objective of having</w:t>
      </w:r>
      <w:r w:rsidRPr="00CF5759">
        <w:rPr>
          <w:lang w:val="en-US"/>
        </w:rPr>
        <w:t xml:space="preserve"> </w:t>
      </w:r>
      <w:r>
        <w:rPr>
          <w:lang w:val="en-US"/>
        </w:rPr>
        <w:t xml:space="preserve">a </w:t>
      </w:r>
      <w:r w:rsidRPr="00CF5759">
        <w:rPr>
          <w:lang w:val="en-US"/>
        </w:rPr>
        <w:t xml:space="preserve">sample of bonds that have similar characteristics and </w:t>
      </w:r>
      <w:r>
        <w:rPr>
          <w:lang w:val="en-US"/>
        </w:rPr>
        <w:t xml:space="preserve">are </w:t>
      </w:r>
      <w:r w:rsidRPr="00CF5759">
        <w:rPr>
          <w:lang w:val="en-US"/>
        </w:rPr>
        <w:t xml:space="preserve">of relatively high liquidity. </w:t>
      </w:r>
    </w:p>
  </w:footnote>
  <w:footnote w:id="18">
    <w:p w14:paraId="40328696" w14:textId="77777777" w:rsidR="00943148" w:rsidRPr="00CF5759" w:rsidRDefault="00943148" w:rsidP="00335619">
      <w:pPr>
        <w:pStyle w:val="FootnoteText"/>
        <w:rPr>
          <w:lang w:val="en-US"/>
        </w:rPr>
      </w:pPr>
      <w:r w:rsidRPr="00CF5759">
        <w:rPr>
          <w:rStyle w:val="FootnoteReference"/>
        </w:rPr>
        <w:footnoteRef/>
      </w:r>
      <w:r w:rsidRPr="00CF5759">
        <w:t xml:space="preserve"> </w:t>
      </w:r>
      <w:r>
        <w:rPr>
          <w:lang w:val="en-US"/>
        </w:rPr>
        <w:t>A</w:t>
      </w:r>
      <w:r w:rsidRPr="005F7E0F">
        <w:rPr>
          <w:lang w:val="en-US"/>
        </w:rPr>
        <w:t xml:space="preserve">dditional cutoff points </w:t>
      </w:r>
      <w:r>
        <w:rPr>
          <w:lang w:val="en-US"/>
        </w:rPr>
        <w:t xml:space="preserve">were applied </w:t>
      </w:r>
      <w:r w:rsidRPr="005F7E0F">
        <w:rPr>
          <w:lang w:val="en-US"/>
        </w:rPr>
        <w:t>to those years in which</w:t>
      </w:r>
      <w:r w:rsidRPr="005F7E0F">
        <w:t xml:space="preserve"> the mean or median value of one or more of the bond characteristics deviate</w:t>
      </w:r>
      <w:r w:rsidRPr="005F7E0F">
        <w:rPr>
          <w:lang w:val="en-US"/>
        </w:rPr>
        <w:t>d</w:t>
      </w:r>
      <w:r w:rsidRPr="005F7E0F">
        <w:t xml:space="preserve"> considerably from other years</w:t>
      </w:r>
      <w:r>
        <w:rPr>
          <w:lang w:val="en-US"/>
        </w:rPr>
        <w:t xml:space="preserve"> as follows: </w:t>
      </w:r>
      <w:r w:rsidRPr="00FE190C">
        <w:rPr>
          <w:lang w:val="en-US"/>
        </w:rPr>
        <w:t xml:space="preserve">the issue size for years after 1999 </w:t>
      </w:r>
      <w:r>
        <w:rPr>
          <w:lang w:val="en-US"/>
        </w:rPr>
        <w:t xml:space="preserve">was limited </w:t>
      </w:r>
      <w:r w:rsidRPr="00FE190C">
        <w:rPr>
          <w:lang w:val="en-US"/>
        </w:rPr>
        <w:t xml:space="preserve">to a maximum value of $450 million (in 2013 dollars) and the values of duration and maturity </w:t>
      </w:r>
      <w:r>
        <w:rPr>
          <w:lang w:val="en-US"/>
        </w:rPr>
        <w:t>were capped at</w:t>
      </w:r>
      <w:r w:rsidRPr="00FE190C">
        <w:rPr>
          <w:lang w:val="en-US"/>
        </w:rPr>
        <w:t xml:space="preserve"> the 20% extreme values of the res</w:t>
      </w:r>
      <w:r>
        <w:rPr>
          <w:lang w:val="en-US"/>
        </w:rPr>
        <w:t>pective</w:t>
      </w:r>
      <w:r w:rsidRPr="00FE190C">
        <w:rPr>
          <w:lang w:val="en-US"/>
        </w:rPr>
        <w:t xml:space="preserve"> distributions</w:t>
      </w:r>
      <w:r>
        <w:rPr>
          <w:lang w:val="en-US"/>
        </w:rPr>
        <w:t xml:space="preserve"> </w:t>
      </w:r>
      <w:r w:rsidRPr="00FE190C">
        <w:rPr>
          <w:lang w:val="en-US"/>
        </w:rPr>
        <w:t xml:space="preserve">for years </w:t>
      </w:r>
      <w:r>
        <w:rPr>
          <w:lang w:val="en-US"/>
        </w:rPr>
        <w:t>before</w:t>
      </w:r>
      <w:r w:rsidRPr="00FE190C">
        <w:rPr>
          <w:lang w:val="en-US"/>
        </w:rPr>
        <w:t xml:space="preserve"> 1984 and 1988, respectively</w:t>
      </w:r>
      <w:r>
        <w:rPr>
          <w:lang w:val="en-US"/>
        </w:rPr>
        <w:t xml:space="preserve">. </w:t>
      </w:r>
      <w:r w:rsidRPr="00FE190C">
        <w:rPr>
          <w:lang w:val="en-US"/>
        </w:rPr>
        <w:t>The results are similar to those obtained without these</w:t>
      </w:r>
      <w:r>
        <w:rPr>
          <w:lang w:val="en-US"/>
        </w:rPr>
        <w:t xml:space="preserve"> restrictions</w:t>
      </w:r>
      <w:r w:rsidRPr="00FE190C">
        <w:rPr>
          <w:lang w:val="en-US"/>
        </w:rPr>
        <w:t xml:space="preserve"> (see discussion in the robustness </w:t>
      </w:r>
      <w:r w:rsidRPr="00511534">
        <w:rPr>
          <w:lang w:val="en-US"/>
        </w:rPr>
        <w:t xml:space="preserve">test </w:t>
      </w:r>
      <w:r w:rsidRPr="00636E55">
        <w:rPr>
          <w:lang w:val="en-US"/>
        </w:rPr>
        <w:t xml:space="preserve">in section </w:t>
      </w:r>
      <w:r w:rsidRPr="008141C7">
        <w:rPr>
          <w:lang w:val="en-US"/>
        </w:rPr>
        <w:t>7.2).</w:t>
      </w:r>
      <w:r>
        <w:rPr>
          <w:lang w:val="en-US"/>
        </w:rPr>
        <w:t xml:space="preserve"> </w:t>
      </w:r>
    </w:p>
  </w:footnote>
  <w:footnote w:id="19">
    <w:p w14:paraId="6D61EDCC" w14:textId="77777777" w:rsidR="00943148" w:rsidRPr="00D30E1A" w:rsidRDefault="00943148" w:rsidP="00335619">
      <w:pPr>
        <w:pStyle w:val="FootnoteText"/>
        <w:rPr>
          <w:lang w:val="en-US"/>
        </w:rPr>
      </w:pPr>
      <w:r w:rsidRPr="00CF5759">
        <w:rPr>
          <w:rStyle w:val="FootnoteReference"/>
        </w:rPr>
        <w:footnoteRef/>
      </w:r>
      <w:r w:rsidRPr="00CF5759">
        <w:t xml:space="preserve"> </w:t>
      </w:r>
      <w:r w:rsidRPr="00CF5759">
        <w:rPr>
          <w:lang w:val="en-US"/>
        </w:rPr>
        <w:t>The estimated parameters of the bond valuation and return models are presented in Appendix B</w:t>
      </w:r>
      <w:r>
        <w:rPr>
          <w:lang w:val="en-US"/>
        </w:rPr>
        <w:t xml:space="preserve">. </w:t>
      </w:r>
    </w:p>
  </w:footnote>
  <w:footnote w:id="20">
    <w:p w14:paraId="60ECABFC" w14:textId="77777777" w:rsidR="00943148" w:rsidRDefault="00943148" w:rsidP="00335619">
      <w:pPr>
        <w:pStyle w:val="FootnoteText"/>
        <w:rPr>
          <w:lang w:val="en-US"/>
        </w:rPr>
      </w:pPr>
      <w:r>
        <w:rPr>
          <w:rStyle w:val="FootnoteReference"/>
        </w:rPr>
        <w:footnoteRef/>
      </w:r>
      <w:r>
        <w:t xml:space="preserve"> </w:t>
      </w:r>
      <w:r>
        <w:rPr>
          <w:lang w:val="en-US"/>
        </w:rPr>
        <w:t xml:space="preserve">This trend line regression is similar to </w:t>
      </w:r>
      <w:r w:rsidRPr="00DD73F7">
        <w:rPr>
          <w:lang w:val="en-US"/>
        </w:rPr>
        <w:t xml:space="preserve">Francis and </w:t>
      </w:r>
      <w:proofErr w:type="spellStart"/>
      <w:r w:rsidRPr="00DD73F7">
        <w:rPr>
          <w:lang w:val="en-US"/>
        </w:rPr>
        <w:t>Schipper</w:t>
      </w:r>
      <w:proofErr w:type="spellEnd"/>
      <w:r w:rsidRPr="00DD73F7">
        <w:rPr>
          <w:lang w:val="en-US"/>
        </w:rPr>
        <w:t xml:space="preserve"> (1999)</w:t>
      </w:r>
      <w:r>
        <w:rPr>
          <w:lang w:val="en-US"/>
        </w:rPr>
        <w:t xml:space="preserve">. It is estimated as </w:t>
      </w:r>
      <w:r w:rsidRPr="00EE02FE">
        <w:t>β</w:t>
      </w:r>
      <w:r>
        <w:rPr>
          <w:vertAlign w:val="subscript"/>
          <w:lang w:val="en-US"/>
        </w:rPr>
        <w:t xml:space="preserve">1 </w:t>
      </w:r>
      <w:r>
        <w:rPr>
          <w:lang w:val="en-US"/>
        </w:rPr>
        <w:t xml:space="preserve">in the regression: </w:t>
      </w:r>
    </w:p>
    <w:p w14:paraId="728ECC91" w14:textId="77777777" w:rsidR="00943148" w:rsidRPr="000220A0" w:rsidRDefault="00943148" w:rsidP="00335619">
      <w:pPr>
        <w:pStyle w:val="FootnoteText"/>
        <w:rPr>
          <w:lang w:val="en-US"/>
        </w:rPr>
      </w:pPr>
      <w:r>
        <w:rPr>
          <w:lang w:val="en-US"/>
        </w:rPr>
        <w:t xml:space="preserve">Adj. </w:t>
      </w:r>
      <w:r>
        <w:t>R</w:t>
      </w:r>
      <w:r>
        <w:rPr>
          <w:vertAlign w:val="superscript"/>
        </w:rPr>
        <w:t>2</w:t>
      </w:r>
      <w:r>
        <w:rPr>
          <w:vertAlign w:val="superscript"/>
          <w:lang w:val="en-US"/>
        </w:rPr>
        <w:t xml:space="preserve"> </w:t>
      </w:r>
      <w:r>
        <w:rPr>
          <w:lang w:val="en-US"/>
        </w:rPr>
        <w:t xml:space="preserve">= </w:t>
      </w:r>
      <w:r w:rsidRPr="00EE02FE">
        <w:t>β</w:t>
      </w:r>
      <w:r w:rsidRPr="00EE02FE">
        <w:rPr>
          <w:vertAlign w:val="subscript"/>
        </w:rPr>
        <w:t>0</w:t>
      </w:r>
      <w:r>
        <w:rPr>
          <w:vertAlign w:val="subscript"/>
          <w:lang w:val="en-US"/>
        </w:rPr>
        <w:t xml:space="preserve"> + </w:t>
      </w:r>
      <w:r w:rsidRPr="00EE02FE">
        <w:t>β</w:t>
      </w:r>
      <w:r>
        <w:rPr>
          <w:vertAlign w:val="subscript"/>
          <w:lang w:val="en-US"/>
        </w:rPr>
        <w:t>1</w:t>
      </w:r>
      <w:r>
        <w:rPr>
          <w:lang w:val="en-US"/>
        </w:rPr>
        <w:t xml:space="preserve">t + </w:t>
      </w:r>
      <w:proofErr w:type="spellStart"/>
      <w:proofErr w:type="gramStart"/>
      <w:r>
        <w:rPr>
          <w:lang w:val="en-US"/>
        </w:rPr>
        <w:t>v</w:t>
      </w:r>
      <w:r>
        <w:rPr>
          <w:vertAlign w:val="subscript"/>
          <w:lang w:val="en-US"/>
        </w:rPr>
        <w:t>t</w:t>
      </w:r>
      <w:proofErr w:type="spellEnd"/>
      <w:proofErr w:type="gramEnd"/>
      <w:r>
        <w:rPr>
          <w:lang w:val="en-US"/>
        </w:rPr>
        <w:t>, with t= 1 to 39 (corresponding to the 39 sample years 1975-2013). As a robustness check, we estimate a rank regression replacing the values of the dependent and independent variables with their ranks. The results from the two specifications are qualitatively similar.</w:t>
      </w:r>
    </w:p>
  </w:footnote>
  <w:footnote w:id="21">
    <w:p w14:paraId="6B4AD7B3" w14:textId="4947F3CA" w:rsidR="00943148" w:rsidRPr="000F5921" w:rsidRDefault="00943148" w:rsidP="009A5623">
      <w:pPr>
        <w:contextualSpacing/>
        <w:rPr>
          <w:sz w:val="20"/>
          <w:szCs w:val="20"/>
        </w:rPr>
      </w:pPr>
      <w:r w:rsidRPr="0061653C">
        <w:rPr>
          <w:rStyle w:val="FootnoteReference"/>
          <w:sz w:val="20"/>
          <w:szCs w:val="20"/>
        </w:rPr>
        <w:footnoteRef/>
      </w:r>
      <w:r w:rsidRPr="0061653C">
        <w:rPr>
          <w:sz w:val="20"/>
          <w:szCs w:val="20"/>
        </w:rPr>
        <w:t xml:space="preserve"> </w:t>
      </w:r>
      <w:r>
        <w:rPr>
          <w:sz w:val="20"/>
          <w:szCs w:val="20"/>
        </w:rPr>
        <w:t xml:space="preserve">Similar to past research on the change over time in the </w:t>
      </w:r>
      <w:proofErr w:type="spellStart"/>
      <w:r>
        <w:rPr>
          <w:sz w:val="20"/>
          <w:szCs w:val="20"/>
        </w:rPr>
        <w:t>informativeness</w:t>
      </w:r>
      <w:proofErr w:type="spellEnd"/>
      <w:r>
        <w:rPr>
          <w:sz w:val="20"/>
          <w:szCs w:val="20"/>
        </w:rPr>
        <w:t xml:space="preserve"> of accounting numbers, t</w:t>
      </w:r>
      <w:r w:rsidRPr="000F5921">
        <w:rPr>
          <w:sz w:val="20"/>
          <w:szCs w:val="20"/>
        </w:rPr>
        <w:t>he above analyses are based on annual observations</w:t>
      </w:r>
      <w:r>
        <w:rPr>
          <w:sz w:val="20"/>
          <w:szCs w:val="20"/>
        </w:rPr>
        <w:t xml:space="preserve">. The results obtained from the use of </w:t>
      </w:r>
      <w:r w:rsidRPr="00F62549">
        <w:rPr>
          <w:sz w:val="20"/>
          <w:szCs w:val="20"/>
        </w:rPr>
        <w:t>quarterly data for the full sample (not tabulated) are essentially the same. In particular, using a trend line over the 156 quarters we find a significant upward trend over the time-series of quarters in the association of accounting information with bond valuation and return</w:t>
      </w:r>
      <w:r>
        <w:rPr>
          <w:sz w:val="20"/>
          <w:szCs w:val="20"/>
        </w:rPr>
        <w:t>s</w:t>
      </w:r>
      <w:r w:rsidRPr="00F62549">
        <w:rPr>
          <w:sz w:val="20"/>
          <w:szCs w:val="20"/>
        </w:rPr>
        <w:t>, and a significant decline with equity valuation and return</w:t>
      </w:r>
      <w:r>
        <w:rPr>
          <w:sz w:val="20"/>
          <w:szCs w:val="20"/>
        </w:rPr>
        <w:t>s</w:t>
      </w:r>
      <w:r w:rsidRPr="00F62549">
        <w:rPr>
          <w:sz w:val="20"/>
          <w:szCs w:val="20"/>
        </w:rPr>
        <w:t>. However, the level of association between accounting information and bond valuation and returns in any given period tends to be somewhat lower when estimated from quarterly data as compared with annual data.</w:t>
      </w:r>
      <w:r w:rsidRPr="000F5921">
        <w:rPr>
          <w:sz w:val="20"/>
          <w:szCs w:val="20"/>
        </w:rPr>
        <w:t xml:space="preserve"> </w:t>
      </w:r>
    </w:p>
    <w:p w14:paraId="3141E623" w14:textId="77777777" w:rsidR="00943148" w:rsidRPr="000F5921" w:rsidRDefault="00943148" w:rsidP="000769FC">
      <w:pPr>
        <w:rPr>
          <w:sz w:val="20"/>
          <w:szCs w:val="20"/>
        </w:rPr>
      </w:pPr>
    </w:p>
    <w:p w14:paraId="4826AD26" w14:textId="77777777" w:rsidR="00943148" w:rsidRPr="006E5CE9" w:rsidRDefault="00943148">
      <w:pPr>
        <w:pStyle w:val="FootnoteText"/>
        <w:rPr>
          <w:lang w:val="en-US"/>
        </w:rPr>
      </w:pPr>
    </w:p>
  </w:footnote>
  <w:footnote w:id="22">
    <w:p w14:paraId="0ECD5BE1" w14:textId="77777777" w:rsidR="00943148" w:rsidRPr="001222ED" w:rsidRDefault="00943148" w:rsidP="00335619">
      <w:pPr>
        <w:pStyle w:val="FootnoteText"/>
        <w:rPr>
          <w:lang w:val="en-US"/>
        </w:rPr>
      </w:pPr>
      <w:r w:rsidRPr="0010556C">
        <w:rPr>
          <w:rStyle w:val="FootnoteReference"/>
        </w:rPr>
        <w:footnoteRef/>
      </w:r>
      <w:r w:rsidRPr="0010556C">
        <w:t xml:space="preserve"> </w:t>
      </w:r>
      <w:r>
        <w:rPr>
          <w:lang w:val="en-US"/>
        </w:rPr>
        <w:t>S</w:t>
      </w:r>
      <w:r w:rsidRPr="0010556C">
        <w:rPr>
          <w:lang w:val="en-US"/>
        </w:rPr>
        <w:t xml:space="preserve">imilar results are obtained </w:t>
      </w:r>
      <w:r>
        <w:rPr>
          <w:lang w:val="en-US"/>
        </w:rPr>
        <w:t>using</w:t>
      </w:r>
      <w:r w:rsidRPr="0010556C">
        <w:rPr>
          <w:lang w:val="en-US"/>
        </w:rPr>
        <w:t xml:space="preserve"> an alternative</w:t>
      </w:r>
      <w:r>
        <w:rPr>
          <w:lang w:val="en-US"/>
        </w:rPr>
        <w:t xml:space="preserve"> measure of default, Moody’s annual aggregated default rates. </w:t>
      </w:r>
    </w:p>
  </w:footnote>
  <w:footnote w:id="23">
    <w:p w14:paraId="774A8EBE" w14:textId="77777777" w:rsidR="00943148" w:rsidRPr="00310A53" w:rsidRDefault="00943148" w:rsidP="00335619">
      <w:pPr>
        <w:pStyle w:val="FootnoteText"/>
      </w:pPr>
      <w:r>
        <w:rPr>
          <w:rStyle w:val="FootnoteReference"/>
        </w:rPr>
        <w:footnoteRef/>
      </w:r>
      <w:r>
        <w:t xml:space="preserve"> </w:t>
      </w:r>
      <w:r>
        <w:rPr>
          <w:lang w:val="en-US"/>
        </w:rPr>
        <w:t>Estimating regression (6) using a measure of NI that includes extraordinary items produces similar results.</w:t>
      </w:r>
    </w:p>
  </w:footnote>
  <w:footnote w:id="24">
    <w:p w14:paraId="0252FE39" w14:textId="77777777" w:rsidR="00943148" w:rsidRPr="00D862EB" w:rsidRDefault="00943148" w:rsidP="00335619">
      <w:pPr>
        <w:autoSpaceDE w:val="0"/>
        <w:autoSpaceDN w:val="0"/>
        <w:adjustRightInd w:val="0"/>
      </w:pPr>
      <w:r w:rsidRPr="00D862EB">
        <w:rPr>
          <w:rStyle w:val="FootnoteReference"/>
          <w:sz w:val="20"/>
        </w:rPr>
        <w:footnoteRef/>
      </w:r>
      <w:r w:rsidRPr="00D862EB">
        <w:rPr>
          <w:sz w:val="20"/>
        </w:rPr>
        <w:t xml:space="preserve"> </w:t>
      </w:r>
      <w:r>
        <w:rPr>
          <w:sz w:val="20"/>
        </w:rPr>
        <w:t xml:space="preserve">Following </w:t>
      </w:r>
      <w:proofErr w:type="spellStart"/>
      <w:r>
        <w:rPr>
          <w:sz w:val="20"/>
        </w:rPr>
        <w:t>Demerjian</w:t>
      </w:r>
      <w:proofErr w:type="spellEnd"/>
      <w:r>
        <w:rPr>
          <w:sz w:val="20"/>
        </w:rPr>
        <w:t xml:space="preserve"> (2011), </w:t>
      </w:r>
      <w:proofErr w:type="spellStart"/>
      <w:r w:rsidRPr="005D6182">
        <w:rPr>
          <w:sz w:val="20"/>
        </w:rPr>
        <w:t>VRatio</w:t>
      </w:r>
      <w:proofErr w:type="spellEnd"/>
      <w:r w:rsidRPr="005D6182">
        <w:rPr>
          <w:sz w:val="20"/>
        </w:rPr>
        <w:t xml:space="preserve"> is defined as the ratio between Book Value Volatility and Adjusted Net Income Volatility. </w:t>
      </w:r>
      <w:r w:rsidRPr="005D6182">
        <w:rPr>
          <w:sz w:val="20"/>
          <w:szCs w:val="19"/>
        </w:rPr>
        <w:t>Book Value Volatility is the five-year standard deviation of changes in retained earnings plus dividends. Adjusted Net Income Volatility is the five-year standard deviation of net income minus special items and non-operating income and expenses</w:t>
      </w:r>
      <w:r>
        <w:rPr>
          <w:sz w:val="20"/>
          <w:szCs w:val="19"/>
        </w:rPr>
        <w:t xml:space="preserve">. </w:t>
      </w:r>
      <w:r w:rsidRPr="005D6182">
        <w:rPr>
          <w:sz w:val="20"/>
        </w:rPr>
        <w:t xml:space="preserve">Assuming independence between the changes in core income and changes in AOCI, </w:t>
      </w:r>
      <w:proofErr w:type="spellStart"/>
      <w:r w:rsidRPr="005D6182">
        <w:rPr>
          <w:sz w:val="20"/>
        </w:rPr>
        <w:t>VRatio</w:t>
      </w:r>
      <w:proofErr w:type="spellEnd"/>
      <w:r w:rsidRPr="005D6182">
        <w:rPr>
          <w:sz w:val="20"/>
        </w:rPr>
        <w:t xml:space="preserve"> equals 1+ (variance of adjustments/variance of core net income). </w:t>
      </w:r>
    </w:p>
  </w:footnote>
  <w:footnote w:id="25">
    <w:p w14:paraId="44EF7319" w14:textId="77777777" w:rsidR="00943148" w:rsidRPr="00830D08" w:rsidRDefault="00943148" w:rsidP="00335619">
      <w:pPr>
        <w:pStyle w:val="FootnoteText"/>
        <w:rPr>
          <w:lang w:val="en-US"/>
        </w:rPr>
      </w:pPr>
      <w:r>
        <w:rPr>
          <w:rStyle w:val="FootnoteReference"/>
        </w:rPr>
        <w:footnoteRef/>
      </w:r>
      <w:r>
        <w:t xml:space="preserve"> </w:t>
      </w:r>
      <w:r>
        <w:rPr>
          <w:lang w:val="en-US"/>
        </w:rPr>
        <w:t xml:space="preserve">This estimate assumes a steady state and straight-line amortization over a five-year period. The resulting multiplier, 2.5, is based on the benefit period of R&amp;D expenditures documented by Lev and </w:t>
      </w:r>
      <w:proofErr w:type="spellStart"/>
      <w:r>
        <w:rPr>
          <w:lang w:val="en-US"/>
        </w:rPr>
        <w:t>Sougiannis</w:t>
      </w:r>
      <w:proofErr w:type="spellEnd"/>
      <w:r>
        <w:rPr>
          <w:lang w:val="en-US"/>
        </w:rPr>
        <w:t xml:space="preserve"> (1996). </w:t>
      </w:r>
    </w:p>
  </w:footnote>
  <w:footnote w:id="26">
    <w:p w14:paraId="311F6E3C" w14:textId="5068166D" w:rsidR="00943148" w:rsidRPr="006E5CE9" w:rsidRDefault="00943148">
      <w:pPr>
        <w:pStyle w:val="FootnoteText"/>
        <w:rPr>
          <w:lang w:val="en-US"/>
        </w:rPr>
      </w:pPr>
      <w:r>
        <w:rPr>
          <w:rStyle w:val="FootnoteReference"/>
        </w:rPr>
        <w:footnoteRef/>
      </w:r>
      <w:r>
        <w:t xml:space="preserve"> </w:t>
      </w:r>
      <w:r>
        <w:rPr>
          <w:lang w:val="en-US"/>
        </w:rPr>
        <w:t xml:space="preserve">Cramer’s (1987) Z statistic is used to test the significance of the differences, with the standard deviation of the difference being estimated based on its large sample approximation, as developed by </w:t>
      </w:r>
      <w:proofErr w:type="spellStart"/>
      <w:r>
        <w:rPr>
          <w:lang w:val="en-US"/>
        </w:rPr>
        <w:t>Olkin</w:t>
      </w:r>
      <w:proofErr w:type="spellEnd"/>
      <w:r>
        <w:rPr>
          <w:lang w:val="en-US"/>
        </w:rPr>
        <w:t xml:space="preserve"> and Finn (1995). These statistics are also used by Harris et al. (1994) and Van der </w:t>
      </w:r>
      <w:proofErr w:type="spellStart"/>
      <w:r>
        <w:rPr>
          <w:lang w:val="en-US"/>
        </w:rPr>
        <w:t>Muelen</w:t>
      </w:r>
      <w:proofErr w:type="spellEnd"/>
      <w:r>
        <w:rPr>
          <w:lang w:val="en-US"/>
        </w:rPr>
        <w:t xml:space="preserve"> et al. (2007), among others.</w:t>
      </w:r>
    </w:p>
  </w:footnote>
  <w:footnote w:id="27">
    <w:p w14:paraId="1DD4D0B6" w14:textId="77777777" w:rsidR="00943148" w:rsidRPr="006053B3" w:rsidRDefault="00943148" w:rsidP="007040E0">
      <w:pPr>
        <w:autoSpaceDE w:val="0"/>
        <w:autoSpaceDN w:val="0"/>
        <w:adjustRightInd w:val="0"/>
      </w:pPr>
      <w:r w:rsidRPr="0082623B">
        <w:rPr>
          <w:rStyle w:val="FootnoteReference"/>
          <w:sz w:val="20"/>
          <w:szCs w:val="20"/>
        </w:rPr>
        <w:footnoteRef/>
      </w:r>
      <w:r w:rsidRPr="0082623B">
        <w:rPr>
          <w:sz w:val="20"/>
          <w:szCs w:val="20"/>
        </w:rPr>
        <w:t xml:space="preserve"> </w:t>
      </w:r>
      <w:r w:rsidRPr="006053B3">
        <w:rPr>
          <w:sz w:val="20"/>
          <w:lang w:bidi="he-IL"/>
        </w:rPr>
        <w:t>As explained in section 6.1, the default risk premium</w:t>
      </w:r>
      <w:r>
        <w:rPr>
          <w:sz w:val="20"/>
          <w:lang w:bidi="he-IL"/>
        </w:rPr>
        <w:t xml:space="preserve">, a factor that does not appear in regression (7), </w:t>
      </w:r>
      <w:r w:rsidRPr="006053B3">
        <w:rPr>
          <w:sz w:val="20"/>
          <w:lang w:bidi="he-IL"/>
        </w:rPr>
        <w:t xml:space="preserve">could affect the relevance of accounting numbers to bond holders. </w:t>
      </w:r>
      <w:r>
        <w:rPr>
          <w:sz w:val="20"/>
          <w:lang w:bidi="he-IL"/>
        </w:rPr>
        <w:t xml:space="preserve">When added as an independent variable to regression (7), </w:t>
      </w:r>
      <w:r w:rsidRPr="006053B3">
        <w:rPr>
          <w:sz w:val="20"/>
          <w:lang w:bidi="he-IL"/>
        </w:rPr>
        <w:t xml:space="preserve">the default risk premium (measured as the difference between the yields on Moody’s Baa and </w:t>
      </w:r>
      <w:proofErr w:type="spellStart"/>
      <w:proofErr w:type="gramStart"/>
      <w:r w:rsidRPr="006053B3">
        <w:rPr>
          <w:sz w:val="20"/>
          <w:lang w:bidi="he-IL"/>
        </w:rPr>
        <w:t>Aaa</w:t>
      </w:r>
      <w:proofErr w:type="spellEnd"/>
      <w:proofErr w:type="gramEnd"/>
      <w:r w:rsidRPr="006053B3">
        <w:rPr>
          <w:sz w:val="20"/>
          <w:lang w:bidi="he-IL"/>
        </w:rPr>
        <w:t xml:space="preserve"> corporate bonds) </w:t>
      </w:r>
      <w:r>
        <w:rPr>
          <w:sz w:val="20"/>
          <w:lang w:bidi="he-IL"/>
        </w:rPr>
        <w:t xml:space="preserve">has an insignificant coefficient and a </w:t>
      </w:r>
      <w:r w:rsidRPr="006053B3">
        <w:rPr>
          <w:sz w:val="20"/>
          <w:lang w:bidi="he-IL"/>
        </w:rPr>
        <w:t xml:space="preserve">minor effect on the slope coefficients </w:t>
      </w:r>
      <w:r>
        <w:rPr>
          <w:sz w:val="20"/>
          <w:lang w:bidi="he-IL"/>
        </w:rPr>
        <w:t xml:space="preserve">of the other variables, </w:t>
      </w:r>
      <w:r w:rsidRPr="006053B3">
        <w:rPr>
          <w:sz w:val="20"/>
          <w:lang w:bidi="he-IL"/>
        </w:rPr>
        <w:t xml:space="preserve">and no effect on the statistical inferences. </w:t>
      </w:r>
    </w:p>
  </w:footnote>
  <w:footnote w:id="28">
    <w:p w14:paraId="08579297" w14:textId="77777777" w:rsidR="00943148" w:rsidRPr="00DC4CD5" w:rsidRDefault="00943148" w:rsidP="00364CE6">
      <w:pPr>
        <w:pStyle w:val="FootnoteText"/>
        <w:rPr>
          <w:lang w:val="en-US"/>
        </w:rPr>
      </w:pPr>
      <w:r>
        <w:rPr>
          <w:rStyle w:val="FootnoteReference"/>
        </w:rPr>
        <w:footnoteRef/>
      </w:r>
      <w:r>
        <w:t xml:space="preserve"> </w:t>
      </w:r>
      <w:r>
        <w:rPr>
          <w:lang w:bidi="he-IL"/>
        </w:rPr>
        <w:t xml:space="preserve">The insignificant results from using the return models </w:t>
      </w:r>
      <w:r w:rsidRPr="00364CE6">
        <w:rPr>
          <w:lang w:bidi="he-IL"/>
        </w:rPr>
        <w:t xml:space="preserve">are likely related to the lower descriptive power of the bond return models as compared with the bond valuation models. </w:t>
      </w:r>
      <w:r w:rsidRPr="00F62549">
        <w:rPr>
          <w:lang w:bidi="he-IL"/>
        </w:rPr>
        <w:t xml:space="preserve">The </w:t>
      </w:r>
      <w:r w:rsidRPr="00F62549">
        <w:rPr>
          <w:lang w:val="en-US" w:bidi="he-IL"/>
        </w:rPr>
        <w:t>A</w:t>
      </w:r>
      <w:proofErr w:type="spellStart"/>
      <w:r w:rsidRPr="00F62549">
        <w:rPr>
          <w:lang w:bidi="he-IL"/>
        </w:rPr>
        <w:t>dj</w:t>
      </w:r>
      <w:proofErr w:type="spellEnd"/>
      <w:r w:rsidRPr="00F62549">
        <w:rPr>
          <w:lang w:val="en-US" w:bidi="he-IL"/>
        </w:rPr>
        <w:t>,</w:t>
      </w:r>
      <w:r w:rsidRPr="00F62549">
        <w:rPr>
          <w:lang w:bidi="he-IL"/>
        </w:rPr>
        <w:t xml:space="preserve"> R</w:t>
      </w:r>
      <w:r w:rsidRPr="00F62549">
        <w:rPr>
          <w:vertAlign w:val="superscript"/>
          <w:lang w:bidi="he-IL"/>
        </w:rPr>
        <w:t>2</w:t>
      </w:r>
      <w:r w:rsidRPr="00F62549">
        <w:rPr>
          <w:vertAlign w:val="subscript"/>
          <w:lang w:val="en-US" w:bidi="he-IL"/>
        </w:rPr>
        <w:t>ACCT</w:t>
      </w:r>
      <w:r w:rsidRPr="00364CE6">
        <w:rPr>
          <w:lang w:bidi="he-IL"/>
        </w:rPr>
        <w:t xml:space="preserve"> values for return models (5) and (A2) are  only </w:t>
      </w:r>
      <w:r w:rsidRPr="00364CE6">
        <w:rPr>
          <w:lang w:val="en-US" w:bidi="he-IL"/>
        </w:rPr>
        <w:t>6.1</w:t>
      </w:r>
      <w:r w:rsidRPr="00364CE6">
        <w:rPr>
          <w:lang w:bidi="he-IL"/>
        </w:rPr>
        <w:t xml:space="preserve">%  and </w:t>
      </w:r>
      <w:r w:rsidRPr="00364CE6">
        <w:rPr>
          <w:lang w:val="en-US" w:bidi="he-IL"/>
        </w:rPr>
        <w:t>5</w:t>
      </w:r>
      <w:r w:rsidRPr="00364CE6">
        <w:rPr>
          <w:lang w:bidi="he-IL"/>
        </w:rPr>
        <w:t>.2%, respectively</w:t>
      </w:r>
      <w:r w:rsidRPr="00364CE6">
        <w:rPr>
          <w:lang w:val="en-US" w:bidi="he-IL"/>
        </w:rPr>
        <w:t xml:space="preserve">, </w:t>
      </w:r>
      <w:r w:rsidRPr="00364CE6">
        <w:rPr>
          <w:lang w:bidi="he-IL"/>
        </w:rPr>
        <w:t xml:space="preserve"> as compared with </w:t>
      </w:r>
      <w:r w:rsidRPr="00364CE6">
        <w:rPr>
          <w:lang w:val="en-US" w:bidi="he-IL"/>
        </w:rPr>
        <w:t>Adj.</w:t>
      </w:r>
      <w:r w:rsidRPr="00364CE6">
        <w:rPr>
          <w:lang w:bidi="he-IL"/>
        </w:rPr>
        <w:t xml:space="preserve"> R</w:t>
      </w:r>
      <w:r w:rsidRPr="00364CE6">
        <w:rPr>
          <w:vertAlign w:val="superscript"/>
          <w:lang w:bidi="he-IL"/>
        </w:rPr>
        <w:t xml:space="preserve">2 </w:t>
      </w:r>
      <w:r w:rsidRPr="00364CE6">
        <w:rPr>
          <w:lang w:bidi="he-IL"/>
        </w:rPr>
        <w:t xml:space="preserve">values of </w:t>
      </w:r>
      <w:r w:rsidRPr="00364CE6">
        <w:rPr>
          <w:lang w:val="en-US" w:bidi="he-IL"/>
        </w:rPr>
        <w:t>24</w:t>
      </w:r>
      <w:r w:rsidRPr="00364CE6">
        <w:rPr>
          <w:lang w:bidi="he-IL"/>
        </w:rPr>
        <w:t xml:space="preserve">.0% and </w:t>
      </w:r>
      <w:r w:rsidRPr="00364CE6">
        <w:rPr>
          <w:lang w:val="en-US" w:bidi="he-IL"/>
        </w:rPr>
        <w:t>30</w:t>
      </w:r>
      <w:r w:rsidRPr="00364CE6">
        <w:rPr>
          <w:lang w:bidi="he-IL"/>
        </w:rPr>
        <w:t>.1%, respectively, for valuation models (3) and (A1). The low explanatory power of the return models suggests that important variables are omitted from these models. To the extent that these omitted variables are correlated with factors hypothesized to affect the information content of accounting numbers, the e</w:t>
      </w:r>
      <w:r>
        <w:rPr>
          <w:lang w:bidi="he-IL"/>
        </w:rPr>
        <w:t>rror in measuring the</w:t>
      </w:r>
      <w:r>
        <w:rPr>
          <w:lang w:val="en-US" w:bidi="he-IL"/>
        </w:rPr>
        <w:t xml:space="preserve"> effects of these factors may be</w:t>
      </w:r>
      <w:r>
        <w:rPr>
          <w:lang w:bidi="he-IL"/>
        </w:rPr>
        <w:t xml:space="preserve"> large</w:t>
      </w:r>
      <w:r>
        <w:rPr>
          <w:lang w:val="en-US" w:bidi="he-IL"/>
        </w:rPr>
        <w:t>.</w:t>
      </w:r>
    </w:p>
  </w:footnote>
  <w:footnote w:id="29">
    <w:p w14:paraId="229F4E60" w14:textId="44313947" w:rsidR="00943148" w:rsidRPr="00F62549" w:rsidRDefault="00943148">
      <w:pPr>
        <w:pStyle w:val="FootnoteText"/>
        <w:rPr>
          <w:lang w:val="en-US"/>
        </w:rPr>
      </w:pPr>
      <w:r>
        <w:rPr>
          <w:rStyle w:val="FootnoteReference"/>
        </w:rPr>
        <w:footnoteRef/>
      </w:r>
      <w:r>
        <w:t xml:space="preserve"> </w:t>
      </w:r>
      <w:r>
        <w:rPr>
          <w:lang w:val="en-US"/>
        </w:rPr>
        <w:t xml:space="preserve">The only exception is PROB, which has a negative (but insignificant) negative coefficient for model (3). </w:t>
      </w:r>
    </w:p>
  </w:footnote>
  <w:footnote w:id="30">
    <w:p w14:paraId="548E7019" w14:textId="55024489" w:rsidR="00943148" w:rsidRPr="00594D69" w:rsidRDefault="00943148" w:rsidP="00335619">
      <w:pPr>
        <w:pStyle w:val="FootnoteText"/>
        <w:rPr>
          <w:lang w:val="en-US"/>
        </w:rPr>
      </w:pPr>
      <w:r>
        <w:rPr>
          <w:rStyle w:val="FootnoteReference"/>
        </w:rPr>
        <w:footnoteRef/>
      </w:r>
      <w:r>
        <w:t xml:space="preserve"> </w:t>
      </w:r>
      <w:r>
        <w:rPr>
          <w:lang w:val="en-US"/>
        </w:rPr>
        <w:t xml:space="preserve">For example, the pairwise correlation coefficients computed over the 39 years between variables such as LOSS, </w:t>
      </w:r>
      <w:proofErr w:type="spellStart"/>
      <w:r>
        <w:rPr>
          <w:lang w:val="en-US"/>
        </w:rPr>
        <w:t>NegCFO</w:t>
      </w:r>
      <w:proofErr w:type="spellEnd"/>
      <w:r>
        <w:rPr>
          <w:lang w:val="en-US"/>
        </w:rPr>
        <w:t>, and PROB range from 0.57</w:t>
      </w:r>
      <w:r w:rsidRPr="00DE176E">
        <w:rPr>
          <w:lang w:val="en-US"/>
        </w:rPr>
        <w:t xml:space="preserve"> </w:t>
      </w:r>
      <w:r>
        <w:rPr>
          <w:lang w:val="en-US"/>
        </w:rPr>
        <w:t>to</w:t>
      </w:r>
      <w:r w:rsidRPr="00DE176E">
        <w:rPr>
          <w:lang w:val="en-US"/>
        </w:rPr>
        <w:t xml:space="preserve"> 0.76.</w:t>
      </w:r>
      <w:r>
        <w:rPr>
          <w:lang w:val="en-US"/>
        </w:rPr>
        <w:t xml:space="preserve"> </w:t>
      </w:r>
    </w:p>
  </w:footnote>
  <w:footnote w:id="31">
    <w:p w14:paraId="776F43E6" w14:textId="77777777" w:rsidR="00943148" w:rsidRDefault="00943148" w:rsidP="00156800">
      <w:pPr>
        <w:pStyle w:val="FootnoteText"/>
      </w:pPr>
      <w:r>
        <w:rPr>
          <w:rStyle w:val="FootnoteReference"/>
        </w:rPr>
        <w:footnoteRef/>
      </w:r>
      <w:r>
        <w:t xml:space="preserve"> </w:t>
      </w:r>
      <w:r w:rsidRPr="00D862EB">
        <w:t xml:space="preserve">The clearest manifestation of these </w:t>
      </w:r>
      <w:r>
        <w:rPr>
          <w:lang w:val="en-US"/>
        </w:rPr>
        <w:t>increased</w:t>
      </w:r>
      <w:r>
        <w:t xml:space="preserve"> </w:t>
      </w:r>
      <w:r w:rsidRPr="00D862EB">
        <w:t xml:space="preserve">disclosures is the </w:t>
      </w:r>
      <w:r>
        <w:rPr>
          <w:lang w:val="en-US"/>
        </w:rPr>
        <w:t xml:space="preserve">expanded </w:t>
      </w:r>
      <w:r w:rsidRPr="00D862EB">
        <w:t>length of the 10</w:t>
      </w:r>
      <w:r>
        <w:t>-</w:t>
      </w:r>
      <w:r w:rsidRPr="00D862EB">
        <w:t>K over the examined period.</w:t>
      </w:r>
      <w:r>
        <w:t xml:space="preserve"> </w:t>
      </w:r>
      <w:r>
        <w:rPr>
          <w:lang w:val="en-US"/>
        </w:rPr>
        <w:t xml:space="preserve">A recent article in the WSJ (“The 109,894-Word Annual Report,” June 1, 2015) notes that the average number of words in a 10-K increased by 40% from 1997 to 2014. To illustrate, the size of the General Motors’ 10-K file on the CAPITAL IQ database rose during that period from 0.5 MB to 46 MB. Similar findings on the steady increase in the length of the 10K and, in particular, the MD&amp;A and the notes sections is provided by Li (2008). </w:t>
      </w:r>
    </w:p>
  </w:footnote>
  <w:footnote w:id="32">
    <w:p w14:paraId="028CC013" w14:textId="77777777" w:rsidR="00943148" w:rsidRDefault="00943148" w:rsidP="001A6E53">
      <w:pPr>
        <w:pStyle w:val="FootnoteText"/>
      </w:pPr>
      <w:r>
        <w:rPr>
          <w:rStyle w:val="FootnoteReference"/>
        </w:rPr>
        <w:footnoteRef/>
      </w:r>
      <w:r>
        <w:t xml:space="preserve"> </w:t>
      </w:r>
      <w:r>
        <w:t xml:space="preserve">See </w:t>
      </w:r>
      <w:r w:rsidRPr="0023367D">
        <w:t xml:space="preserve">Alford et al. (1993), Francis and </w:t>
      </w:r>
      <w:proofErr w:type="spellStart"/>
      <w:r w:rsidRPr="0023367D">
        <w:t>Schipper</w:t>
      </w:r>
      <w:proofErr w:type="spellEnd"/>
      <w:r w:rsidRPr="0023367D">
        <w:t xml:space="preserve"> (1999), and Hanlon et al. (2005)</w:t>
      </w:r>
      <w:r>
        <w:t>.</w:t>
      </w:r>
    </w:p>
  </w:footnote>
  <w:footnote w:id="33">
    <w:p w14:paraId="6CB15392" w14:textId="75219AC0" w:rsidR="00943148" w:rsidRDefault="00943148" w:rsidP="001A6E53">
      <w:pPr>
        <w:pStyle w:val="FootnoteText"/>
      </w:pPr>
      <w:r>
        <w:rPr>
          <w:rStyle w:val="FootnoteReference"/>
        </w:rPr>
        <w:footnoteRef/>
      </w:r>
      <w:r>
        <w:t xml:space="preserve"> </w:t>
      </w:r>
      <w:r>
        <w:t xml:space="preserve">We use only 80% of the observations (the extreme 40% at either side of the expected return distribution) to render the results comparable to the previous studies </w:t>
      </w:r>
      <w:r>
        <w:rPr>
          <w:lang w:val="en-US"/>
        </w:rPr>
        <w:t xml:space="preserve">that use this approach to assess </w:t>
      </w:r>
      <w:r>
        <w:t xml:space="preserve">the information content of accounting numbers to equity holders. </w:t>
      </w:r>
      <w:r>
        <w:rPr>
          <w:lang w:val="en-US"/>
        </w:rPr>
        <w:t>U</w:t>
      </w:r>
      <w:r>
        <w:t>se of the entire sample of firm-year observations leads to essentially the same results.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593F" w14:textId="77777777" w:rsidR="006C3F5E" w:rsidRDefault="006C3F5E" w:rsidP="003356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F88F2A" w14:textId="77777777" w:rsidR="006C3F5E" w:rsidRDefault="006C3F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CD2BA" w14:textId="77777777" w:rsidR="00943148" w:rsidRDefault="00943148" w:rsidP="003356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7D1D09" w14:textId="77777777" w:rsidR="00943148" w:rsidRDefault="009431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9B37" w14:textId="77777777" w:rsidR="00943148" w:rsidRDefault="00943148" w:rsidP="003356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136252" w14:textId="77777777" w:rsidR="00943148" w:rsidRDefault="0094314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14F70" w14:textId="77777777" w:rsidR="00943148" w:rsidRDefault="00943148" w:rsidP="003356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C15839" w14:textId="77777777" w:rsidR="00943148" w:rsidRDefault="009431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B9213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8487B"/>
    <w:multiLevelType w:val="hybridMultilevel"/>
    <w:tmpl w:val="4C048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A3633"/>
    <w:multiLevelType w:val="hybridMultilevel"/>
    <w:tmpl w:val="F5D462F4"/>
    <w:lvl w:ilvl="0" w:tplc="6B08997E">
      <w:start w:val="1"/>
      <w:numFmt w:val="lowerLetter"/>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3" w15:restartNumberingAfterBreak="0">
    <w:nsid w:val="06466CF7"/>
    <w:multiLevelType w:val="hybridMultilevel"/>
    <w:tmpl w:val="2FFC2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962AE"/>
    <w:multiLevelType w:val="hybridMultilevel"/>
    <w:tmpl w:val="1EB6AFE2"/>
    <w:lvl w:ilvl="0" w:tplc="D38A122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06D2E"/>
    <w:multiLevelType w:val="hybridMultilevel"/>
    <w:tmpl w:val="941A29E4"/>
    <w:lvl w:ilvl="0" w:tplc="9F169C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065B88"/>
    <w:multiLevelType w:val="hybridMultilevel"/>
    <w:tmpl w:val="FAA63B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D1874"/>
    <w:multiLevelType w:val="hybridMultilevel"/>
    <w:tmpl w:val="2AF44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81362"/>
    <w:multiLevelType w:val="hybridMultilevel"/>
    <w:tmpl w:val="0284F3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1623D"/>
    <w:multiLevelType w:val="hybridMultilevel"/>
    <w:tmpl w:val="B2D2BE02"/>
    <w:lvl w:ilvl="0" w:tplc="B44A2206">
      <w:start w:val="1"/>
      <w:numFmt w:val="low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0" w15:restartNumberingAfterBreak="0">
    <w:nsid w:val="1E8760F4"/>
    <w:multiLevelType w:val="hybridMultilevel"/>
    <w:tmpl w:val="D748A1F8"/>
    <w:lvl w:ilvl="0" w:tplc="3F24DA1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C0378"/>
    <w:multiLevelType w:val="hybridMultilevel"/>
    <w:tmpl w:val="08A4F60C"/>
    <w:lvl w:ilvl="0" w:tplc="D6B691E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E726E2"/>
    <w:multiLevelType w:val="hybridMultilevel"/>
    <w:tmpl w:val="E26014B6"/>
    <w:lvl w:ilvl="0" w:tplc="B84E37E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AE5218"/>
    <w:multiLevelType w:val="hybridMultilevel"/>
    <w:tmpl w:val="56240E14"/>
    <w:lvl w:ilvl="0" w:tplc="332CA9E6">
      <w:start w:val="82"/>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17AF9"/>
    <w:multiLevelType w:val="hybridMultilevel"/>
    <w:tmpl w:val="DE5292B2"/>
    <w:lvl w:ilvl="0" w:tplc="A45A90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84030"/>
    <w:multiLevelType w:val="hybridMultilevel"/>
    <w:tmpl w:val="FA3C88D4"/>
    <w:lvl w:ilvl="0" w:tplc="D6C031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C1428D"/>
    <w:multiLevelType w:val="hybridMultilevel"/>
    <w:tmpl w:val="D818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A7959"/>
    <w:multiLevelType w:val="hybridMultilevel"/>
    <w:tmpl w:val="D542FB68"/>
    <w:lvl w:ilvl="0" w:tplc="A58A4928">
      <w:start w:val="82"/>
      <w:numFmt w:val="decimal"/>
      <w:lvlText w:val="%1."/>
      <w:lvlJc w:val="left"/>
      <w:pPr>
        <w:ind w:left="720" w:hanging="360"/>
      </w:pPr>
      <w:rPr>
        <w:rFonts w:eastAsia="Times New Roman"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D018B"/>
    <w:multiLevelType w:val="hybridMultilevel"/>
    <w:tmpl w:val="C1D0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B190E"/>
    <w:multiLevelType w:val="hybridMultilevel"/>
    <w:tmpl w:val="A90813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3016B"/>
    <w:multiLevelType w:val="hybridMultilevel"/>
    <w:tmpl w:val="CF56B0DC"/>
    <w:lvl w:ilvl="0" w:tplc="69E02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73A37"/>
    <w:multiLevelType w:val="hybridMultilevel"/>
    <w:tmpl w:val="18143F36"/>
    <w:lvl w:ilvl="0" w:tplc="58A64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E48C9"/>
    <w:multiLevelType w:val="hybridMultilevel"/>
    <w:tmpl w:val="9992F1F0"/>
    <w:lvl w:ilvl="0" w:tplc="1D64FF5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D7D62"/>
    <w:multiLevelType w:val="hybridMultilevel"/>
    <w:tmpl w:val="2FFC2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845B0"/>
    <w:multiLevelType w:val="hybridMultilevel"/>
    <w:tmpl w:val="7C74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B64F0"/>
    <w:multiLevelType w:val="hybridMultilevel"/>
    <w:tmpl w:val="776E5C12"/>
    <w:lvl w:ilvl="0" w:tplc="95C881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4"/>
  </w:num>
  <w:num w:numId="3">
    <w:abstractNumId w:val="21"/>
  </w:num>
  <w:num w:numId="4">
    <w:abstractNumId w:val="7"/>
  </w:num>
  <w:num w:numId="5">
    <w:abstractNumId w:val="8"/>
  </w:num>
  <w:num w:numId="6">
    <w:abstractNumId w:val="18"/>
  </w:num>
  <w:num w:numId="7">
    <w:abstractNumId w:val="1"/>
  </w:num>
  <w:num w:numId="8">
    <w:abstractNumId w:val="0"/>
  </w:num>
  <w:num w:numId="9">
    <w:abstractNumId w:val="5"/>
  </w:num>
  <w:num w:numId="10">
    <w:abstractNumId w:val="23"/>
  </w:num>
  <w:num w:numId="11">
    <w:abstractNumId w:val="14"/>
  </w:num>
  <w:num w:numId="12">
    <w:abstractNumId w:val="20"/>
  </w:num>
  <w:num w:numId="13">
    <w:abstractNumId w:val="15"/>
  </w:num>
  <w:num w:numId="14">
    <w:abstractNumId w:val="16"/>
  </w:num>
  <w:num w:numId="15">
    <w:abstractNumId w:val="3"/>
  </w:num>
  <w:num w:numId="16">
    <w:abstractNumId w:val="12"/>
  </w:num>
  <w:num w:numId="17">
    <w:abstractNumId w:val="19"/>
  </w:num>
  <w:num w:numId="18">
    <w:abstractNumId w:val="25"/>
  </w:num>
  <w:num w:numId="19">
    <w:abstractNumId w:val="9"/>
  </w:num>
  <w:num w:numId="20">
    <w:abstractNumId w:val="2"/>
  </w:num>
  <w:num w:numId="21">
    <w:abstractNumId w:val="10"/>
  </w:num>
  <w:num w:numId="22">
    <w:abstractNumId w:val="22"/>
  </w:num>
  <w:num w:numId="23">
    <w:abstractNumId w:val="17"/>
  </w:num>
  <w:num w:numId="24">
    <w:abstractNumId w:val="13"/>
  </w:num>
  <w:num w:numId="25">
    <w:abstractNumId w:val="4"/>
  </w:num>
  <w:num w:numId="2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E43"/>
    <w:rsid w:val="00001085"/>
    <w:rsid w:val="00007E13"/>
    <w:rsid w:val="00010259"/>
    <w:rsid w:val="00010353"/>
    <w:rsid w:val="000127B3"/>
    <w:rsid w:val="00014101"/>
    <w:rsid w:val="000207EE"/>
    <w:rsid w:val="00027983"/>
    <w:rsid w:val="00030748"/>
    <w:rsid w:val="00031C7E"/>
    <w:rsid w:val="00037B83"/>
    <w:rsid w:val="000443F3"/>
    <w:rsid w:val="00044825"/>
    <w:rsid w:val="0005154B"/>
    <w:rsid w:val="000516BC"/>
    <w:rsid w:val="0005570C"/>
    <w:rsid w:val="00057619"/>
    <w:rsid w:val="000617BA"/>
    <w:rsid w:val="00061CE5"/>
    <w:rsid w:val="0006408D"/>
    <w:rsid w:val="00070928"/>
    <w:rsid w:val="00072AA7"/>
    <w:rsid w:val="000756C8"/>
    <w:rsid w:val="000766EB"/>
    <w:rsid w:val="000769FC"/>
    <w:rsid w:val="00077E5E"/>
    <w:rsid w:val="00081F69"/>
    <w:rsid w:val="00085824"/>
    <w:rsid w:val="00091004"/>
    <w:rsid w:val="000A2B06"/>
    <w:rsid w:val="000A2DB0"/>
    <w:rsid w:val="000A7AFC"/>
    <w:rsid w:val="000B4810"/>
    <w:rsid w:val="000B544F"/>
    <w:rsid w:val="000B5536"/>
    <w:rsid w:val="000C20DE"/>
    <w:rsid w:val="000C2148"/>
    <w:rsid w:val="000D1533"/>
    <w:rsid w:val="000D2D2C"/>
    <w:rsid w:val="000D7A1D"/>
    <w:rsid w:val="000E033F"/>
    <w:rsid w:val="000E5062"/>
    <w:rsid w:val="000E6DEE"/>
    <w:rsid w:val="000F3FB4"/>
    <w:rsid w:val="000F5CD8"/>
    <w:rsid w:val="000F63C5"/>
    <w:rsid w:val="001044CE"/>
    <w:rsid w:val="00105A5E"/>
    <w:rsid w:val="00106609"/>
    <w:rsid w:val="001108EF"/>
    <w:rsid w:val="00114D06"/>
    <w:rsid w:val="001161C5"/>
    <w:rsid w:val="00116BF4"/>
    <w:rsid w:val="0012109C"/>
    <w:rsid w:val="00122631"/>
    <w:rsid w:val="00143C63"/>
    <w:rsid w:val="00144444"/>
    <w:rsid w:val="00150411"/>
    <w:rsid w:val="00154ACF"/>
    <w:rsid w:val="00156800"/>
    <w:rsid w:val="00164FBB"/>
    <w:rsid w:val="00170CCC"/>
    <w:rsid w:val="00172A4A"/>
    <w:rsid w:val="00190831"/>
    <w:rsid w:val="00191596"/>
    <w:rsid w:val="00192B27"/>
    <w:rsid w:val="001A0EFB"/>
    <w:rsid w:val="001A5369"/>
    <w:rsid w:val="001A6E53"/>
    <w:rsid w:val="001B23BF"/>
    <w:rsid w:val="001B3BF7"/>
    <w:rsid w:val="001C0D71"/>
    <w:rsid w:val="001C3173"/>
    <w:rsid w:val="001D4E7C"/>
    <w:rsid w:val="001E0130"/>
    <w:rsid w:val="001E0890"/>
    <w:rsid w:val="001E1EA3"/>
    <w:rsid w:val="001F06ED"/>
    <w:rsid w:val="001F2055"/>
    <w:rsid w:val="001F5913"/>
    <w:rsid w:val="001F6900"/>
    <w:rsid w:val="001F7447"/>
    <w:rsid w:val="00204299"/>
    <w:rsid w:val="00204CD0"/>
    <w:rsid w:val="00205AE5"/>
    <w:rsid w:val="00213184"/>
    <w:rsid w:val="00213D44"/>
    <w:rsid w:val="0021613A"/>
    <w:rsid w:val="00217148"/>
    <w:rsid w:val="002200C3"/>
    <w:rsid w:val="0023240D"/>
    <w:rsid w:val="0023367D"/>
    <w:rsid w:val="002363B2"/>
    <w:rsid w:val="00236CA1"/>
    <w:rsid w:val="00245940"/>
    <w:rsid w:val="00245ED1"/>
    <w:rsid w:val="00251D76"/>
    <w:rsid w:val="00252199"/>
    <w:rsid w:val="002549FA"/>
    <w:rsid w:val="002600E3"/>
    <w:rsid w:val="0026307B"/>
    <w:rsid w:val="002645D2"/>
    <w:rsid w:val="00272760"/>
    <w:rsid w:val="00272906"/>
    <w:rsid w:val="002749EE"/>
    <w:rsid w:val="002762C7"/>
    <w:rsid w:val="0027634C"/>
    <w:rsid w:val="00287642"/>
    <w:rsid w:val="0029037B"/>
    <w:rsid w:val="00295993"/>
    <w:rsid w:val="00295F93"/>
    <w:rsid w:val="002A1B7B"/>
    <w:rsid w:val="002A30E8"/>
    <w:rsid w:val="002A7AB2"/>
    <w:rsid w:val="002B345D"/>
    <w:rsid w:val="002B51E3"/>
    <w:rsid w:val="002B70DE"/>
    <w:rsid w:val="002B7153"/>
    <w:rsid w:val="002C7A93"/>
    <w:rsid w:val="002E2271"/>
    <w:rsid w:val="002E346E"/>
    <w:rsid w:val="002E4DD1"/>
    <w:rsid w:val="002F0ECE"/>
    <w:rsid w:val="002F1175"/>
    <w:rsid w:val="002F7440"/>
    <w:rsid w:val="0030179C"/>
    <w:rsid w:val="00310C55"/>
    <w:rsid w:val="00312533"/>
    <w:rsid w:val="00315C64"/>
    <w:rsid w:val="00320AC0"/>
    <w:rsid w:val="003236B6"/>
    <w:rsid w:val="00323871"/>
    <w:rsid w:val="00325E28"/>
    <w:rsid w:val="00327EED"/>
    <w:rsid w:val="003314A1"/>
    <w:rsid w:val="0033380F"/>
    <w:rsid w:val="003346F2"/>
    <w:rsid w:val="00335619"/>
    <w:rsid w:val="003361D5"/>
    <w:rsid w:val="003378BA"/>
    <w:rsid w:val="00341A76"/>
    <w:rsid w:val="00344BC5"/>
    <w:rsid w:val="003454A3"/>
    <w:rsid w:val="00350386"/>
    <w:rsid w:val="003525C5"/>
    <w:rsid w:val="00354C74"/>
    <w:rsid w:val="00355293"/>
    <w:rsid w:val="00364CE6"/>
    <w:rsid w:val="003716D2"/>
    <w:rsid w:val="00375A37"/>
    <w:rsid w:val="00381641"/>
    <w:rsid w:val="00381FEF"/>
    <w:rsid w:val="0038219B"/>
    <w:rsid w:val="00384CD7"/>
    <w:rsid w:val="00392A0A"/>
    <w:rsid w:val="0039748A"/>
    <w:rsid w:val="003A32AF"/>
    <w:rsid w:val="003A41CA"/>
    <w:rsid w:val="003A60FD"/>
    <w:rsid w:val="003B0CA1"/>
    <w:rsid w:val="003B1C8A"/>
    <w:rsid w:val="003B3992"/>
    <w:rsid w:val="003B639B"/>
    <w:rsid w:val="003C7507"/>
    <w:rsid w:val="003C7C4D"/>
    <w:rsid w:val="003D35F3"/>
    <w:rsid w:val="003D36EE"/>
    <w:rsid w:val="003D4735"/>
    <w:rsid w:val="003D613C"/>
    <w:rsid w:val="003D7B92"/>
    <w:rsid w:val="003E3451"/>
    <w:rsid w:val="003E3661"/>
    <w:rsid w:val="003F0E1F"/>
    <w:rsid w:val="00403772"/>
    <w:rsid w:val="00406A7B"/>
    <w:rsid w:val="004074CD"/>
    <w:rsid w:val="004143B2"/>
    <w:rsid w:val="004174D5"/>
    <w:rsid w:val="00421161"/>
    <w:rsid w:val="00425159"/>
    <w:rsid w:val="0043047E"/>
    <w:rsid w:val="00433CAC"/>
    <w:rsid w:val="0043463F"/>
    <w:rsid w:val="00434BBE"/>
    <w:rsid w:val="00437B07"/>
    <w:rsid w:val="00443B9D"/>
    <w:rsid w:val="00444900"/>
    <w:rsid w:val="00461A7C"/>
    <w:rsid w:val="0046330F"/>
    <w:rsid w:val="0046472A"/>
    <w:rsid w:val="00464EEB"/>
    <w:rsid w:val="0046580C"/>
    <w:rsid w:val="00475160"/>
    <w:rsid w:val="00475C46"/>
    <w:rsid w:val="00476243"/>
    <w:rsid w:val="004839C6"/>
    <w:rsid w:val="0049336B"/>
    <w:rsid w:val="00493CF1"/>
    <w:rsid w:val="004957A2"/>
    <w:rsid w:val="00497ADA"/>
    <w:rsid w:val="004A492D"/>
    <w:rsid w:val="004A75EA"/>
    <w:rsid w:val="004B46D3"/>
    <w:rsid w:val="004B561A"/>
    <w:rsid w:val="004B635E"/>
    <w:rsid w:val="004B685C"/>
    <w:rsid w:val="004C3CE7"/>
    <w:rsid w:val="004C4091"/>
    <w:rsid w:val="004C4441"/>
    <w:rsid w:val="004C6BBD"/>
    <w:rsid w:val="004D3197"/>
    <w:rsid w:val="004D6BD0"/>
    <w:rsid w:val="004E1BE4"/>
    <w:rsid w:val="004E549C"/>
    <w:rsid w:val="004F1233"/>
    <w:rsid w:val="004F128C"/>
    <w:rsid w:val="004F679A"/>
    <w:rsid w:val="00502DE0"/>
    <w:rsid w:val="0050485B"/>
    <w:rsid w:val="005076CD"/>
    <w:rsid w:val="00511534"/>
    <w:rsid w:val="00511B4B"/>
    <w:rsid w:val="00512395"/>
    <w:rsid w:val="00513612"/>
    <w:rsid w:val="00514129"/>
    <w:rsid w:val="005161B5"/>
    <w:rsid w:val="005174A8"/>
    <w:rsid w:val="0052254D"/>
    <w:rsid w:val="005320C8"/>
    <w:rsid w:val="00534908"/>
    <w:rsid w:val="0053616B"/>
    <w:rsid w:val="005435F4"/>
    <w:rsid w:val="0055027D"/>
    <w:rsid w:val="00552566"/>
    <w:rsid w:val="0055308C"/>
    <w:rsid w:val="00560E79"/>
    <w:rsid w:val="00576741"/>
    <w:rsid w:val="00580409"/>
    <w:rsid w:val="005929EA"/>
    <w:rsid w:val="005937AF"/>
    <w:rsid w:val="005952D0"/>
    <w:rsid w:val="00597E27"/>
    <w:rsid w:val="005B0B7A"/>
    <w:rsid w:val="005B1041"/>
    <w:rsid w:val="005B1344"/>
    <w:rsid w:val="005B1D2B"/>
    <w:rsid w:val="005B7DD4"/>
    <w:rsid w:val="005C6C95"/>
    <w:rsid w:val="005D180E"/>
    <w:rsid w:val="005D1C78"/>
    <w:rsid w:val="005D3CC7"/>
    <w:rsid w:val="005D3FF8"/>
    <w:rsid w:val="005D6182"/>
    <w:rsid w:val="005D7A6A"/>
    <w:rsid w:val="005E0C0C"/>
    <w:rsid w:val="005E7571"/>
    <w:rsid w:val="005F5363"/>
    <w:rsid w:val="0060356C"/>
    <w:rsid w:val="006053B3"/>
    <w:rsid w:val="006059C3"/>
    <w:rsid w:val="00605E95"/>
    <w:rsid w:val="00611083"/>
    <w:rsid w:val="006122CC"/>
    <w:rsid w:val="006130DE"/>
    <w:rsid w:val="0061653C"/>
    <w:rsid w:val="00620611"/>
    <w:rsid w:val="0062690D"/>
    <w:rsid w:val="006277D8"/>
    <w:rsid w:val="00630B02"/>
    <w:rsid w:val="00632E75"/>
    <w:rsid w:val="006349EA"/>
    <w:rsid w:val="00634A08"/>
    <w:rsid w:val="00634CFC"/>
    <w:rsid w:val="00636E55"/>
    <w:rsid w:val="00637A95"/>
    <w:rsid w:val="00641EAA"/>
    <w:rsid w:val="006433B5"/>
    <w:rsid w:val="00644BEA"/>
    <w:rsid w:val="006467B6"/>
    <w:rsid w:val="00647D21"/>
    <w:rsid w:val="0065277E"/>
    <w:rsid w:val="006528DB"/>
    <w:rsid w:val="00654948"/>
    <w:rsid w:val="006550EE"/>
    <w:rsid w:val="0065773F"/>
    <w:rsid w:val="006579AD"/>
    <w:rsid w:val="006602CF"/>
    <w:rsid w:val="00660795"/>
    <w:rsid w:val="006633AE"/>
    <w:rsid w:val="006633B2"/>
    <w:rsid w:val="0066441D"/>
    <w:rsid w:val="00664F69"/>
    <w:rsid w:val="00667712"/>
    <w:rsid w:val="006926A8"/>
    <w:rsid w:val="00693555"/>
    <w:rsid w:val="00693775"/>
    <w:rsid w:val="006945E7"/>
    <w:rsid w:val="00695ABA"/>
    <w:rsid w:val="006A2186"/>
    <w:rsid w:val="006A5017"/>
    <w:rsid w:val="006A798F"/>
    <w:rsid w:val="006B01C7"/>
    <w:rsid w:val="006B0A11"/>
    <w:rsid w:val="006B67F2"/>
    <w:rsid w:val="006B7F53"/>
    <w:rsid w:val="006C3F5E"/>
    <w:rsid w:val="006D0498"/>
    <w:rsid w:val="006D0AD2"/>
    <w:rsid w:val="006E1A8C"/>
    <w:rsid w:val="006E5CE9"/>
    <w:rsid w:val="006E6210"/>
    <w:rsid w:val="007016E7"/>
    <w:rsid w:val="007040E0"/>
    <w:rsid w:val="00706430"/>
    <w:rsid w:val="00722A41"/>
    <w:rsid w:val="007259BC"/>
    <w:rsid w:val="00726CAD"/>
    <w:rsid w:val="00731166"/>
    <w:rsid w:val="00734F69"/>
    <w:rsid w:val="00740B3B"/>
    <w:rsid w:val="007415A2"/>
    <w:rsid w:val="007441E8"/>
    <w:rsid w:val="00746D3A"/>
    <w:rsid w:val="00752931"/>
    <w:rsid w:val="007642CF"/>
    <w:rsid w:val="00775AF9"/>
    <w:rsid w:val="00784357"/>
    <w:rsid w:val="00795E74"/>
    <w:rsid w:val="007A2DFE"/>
    <w:rsid w:val="007A3EFE"/>
    <w:rsid w:val="007B1B40"/>
    <w:rsid w:val="007B1DC7"/>
    <w:rsid w:val="007C3E60"/>
    <w:rsid w:val="007C45DA"/>
    <w:rsid w:val="007C7995"/>
    <w:rsid w:val="007D531B"/>
    <w:rsid w:val="007E006B"/>
    <w:rsid w:val="007E293C"/>
    <w:rsid w:val="007E6180"/>
    <w:rsid w:val="007E763B"/>
    <w:rsid w:val="007F386F"/>
    <w:rsid w:val="007F4618"/>
    <w:rsid w:val="007F4C57"/>
    <w:rsid w:val="007F5D11"/>
    <w:rsid w:val="00801C7B"/>
    <w:rsid w:val="0080238E"/>
    <w:rsid w:val="00806A74"/>
    <w:rsid w:val="00811C16"/>
    <w:rsid w:val="008141C7"/>
    <w:rsid w:val="00816EFD"/>
    <w:rsid w:val="008170E2"/>
    <w:rsid w:val="00817C5E"/>
    <w:rsid w:val="008200D8"/>
    <w:rsid w:val="008210AD"/>
    <w:rsid w:val="0082230F"/>
    <w:rsid w:val="00822865"/>
    <w:rsid w:val="0082623B"/>
    <w:rsid w:val="0083398B"/>
    <w:rsid w:val="00837DA3"/>
    <w:rsid w:val="00842FC1"/>
    <w:rsid w:val="00843794"/>
    <w:rsid w:val="00844B3E"/>
    <w:rsid w:val="008452AA"/>
    <w:rsid w:val="0084558B"/>
    <w:rsid w:val="0084688A"/>
    <w:rsid w:val="008472D0"/>
    <w:rsid w:val="008516F4"/>
    <w:rsid w:val="008643DA"/>
    <w:rsid w:val="0086651A"/>
    <w:rsid w:val="00873634"/>
    <w:rsid w:val="00876E03"/>
    <w:rsid w:val="0088199A"/>
    <w:rsid w:val="00881CFD"/>
    <w:rsid w:val="0088276C"/>
    <w:rsid w:val="00882F1D"/>
    <w:rsid w:val="0088365D"/>
    <w:rsid w:val="00883E8F"/>
    <w:rsid w:val="00887349"/>
    <w:rsid w:val="00891AF5"/>
    <w:rsid w:val="00891FC1"/>
    <w:rsid w:val="00892609"/>
    <w:rsid w:val="00896837"/>
    <w:rsid w:val="0089692B"/>
    <w:rsid w:val="008A0593"/>
    <w:rsid w:val="008A2A33"/>
    <w:rsid w:val="008B25AC"/>
    <w:rsid w:val="008C4A7F"/>
    <w:rsid w:val="008C73CE"/>
    <w:rsid w:val="008C760F"/>
    <w:rsid w:val="008D45C5"/>
    <w:rsid w:val="008D56F1"/>
    <w:rsid w:val="008F227C"/>
    <w:rsid w:val="009110D7"/>
    <w:rsid w:val="009117C7"/>
    <w:rsid w:val="009201E0"/>
    <w:rsid w:val="00922556"/>
    <w:rsid w:val="00927188"/>
    <w:rsid w:val="00943148"/>
    <w:rsid w:val="00946566"/>
    <w:rsid w:val="009536E7"/>
    <w:rsid w:val="0095448F"/>
    <w:rsid w:val="00966AC1"/>
    <w:rsid w:val="00972C64"/>
    <w:rsid w:val="00982E18"/>
    <w:rsid w:val="009848ED"/>
    <w:rsid w:val="00985E95"/>
    <w:rsid w:val="0098682F"/>
    <w:rsid w:val="009874DA"/>
    <w:rsid w:val="009874E6"/>
    <w:rsid w:val="00987F86"/>
    <w:rsid w:val="00990148"/>
    <w:rsid w:val="009906E4"/>
    <w:rsid w:val="0099787D"/>
    <w:rsid w:val="009A3F98"/>
    <w:rsid w:val="009A5623"/>
    <w:rsid w:val="009B0B00"/>
    <w:rsid w:val="009B18DC"/>
    <w:rsid w:val="009B34C2"/>
    <w:rsid w:val="009B62E6"/>
    <w:rsid w:val="009C31F9"/>
    <w:rsid w:val="009C3427"/>
    <w:rsid w:val="009C3A00"/>
    <w:rsid w:val="009C768A"/>
    <w:rsid w:val="009D3488"/>
    <w:rsid w:val="009D5DB7"/>
    <w:rsid w:val="009D79DB"/>
    <w:rsid w:val="009E35CD"/>
    <w:rsid w:val="009E47D0"/>
    <w:rsid w:val="009E4C12"/>
    <w:rsid w:val="009F6D8A"/>
    <w:rsid w:val="00A0310C"/>
    <w:rsid w:val="00A04BEF"/>
    <w:rsid w:val="00A072D0"/>
    <w:rsid w:val="00A1186E"/>
    <w:rsid w:val="00A22694"/>
    <w:rsid w:val="00A23342"/>
    <w:rsid w:val="00A2481A"/>
    <w:rsid w:val="00A3121F"/>
    <w:rsid w:val="00A3145D"/>
    <w:rsid w:val="00A34C6F"/>
    <w:rsid w:val="00A40505"/>
    <w:rsid w:val="00A45EB4"/>
    <w:rsid w:val="00A52A77"/>
    <w:rsid w:val="00A53304"/>
    <w:rsid w:val="00A546DB"/>
    <w:rsid w:val="00A54B3D"/>
    <w:rsid w:val="00A5531B"/>
    <w:rsid w:val="00A55B55"/>
    <w:rsid w:val="00A60D1C"/>
    <w:rsid w:val="00A61889"/>
    <w:rsid w:val="00A6227B"/>
    <w:rsid w:val="00A6650A"/>
    <w:rsid w:val="00A674CE"/>
    <w:rsid w:val="00A70EC6"/>
    <w:rsid w:val="00A7281F"/>
    <w:rsid w:val="00A74A4D"/>
    <w:rsid w:val="00A76828"/>
    <w:rsid w:val="00A777E9"/>
    <w:rsid w:val="00A80799"/>
    <w:rsid w:val="00A86272"/>
    <w:rsid w:val="00A90D13"/>
    <w:rsid w:val="00A94438"/>
    <w:rsid w:val="00A945E3"/>
    <w:rsid w:val="00A95695"/>
    <w:rsid w:val="00A965F4"/>
    <w:rsid w:val="00A9787F"/>
    <w:rsid w:val="00AA5926"/>
    <w:rsid w:val="00AA61BD"/>
    <w:rsid w:val="00AA7321"/>
    <w:rsid w:val="00AB38E7"/>
    <w:rsid w:val="00AB46BF"/>
    <w:rsid w:val="00AB4F02"/>
    <w:rsid w:val="00AB5B68"/>
    <w:rsid w:val="00AB70E0"/>
    <w:rsid w:val="00AC1350"/>
    <w:rsid w:val="00AE0122"/>
    <w:rsid w:val="00AE0320"/>
    <w:rsid w:val="00AE2DE7"/>
    <w:rsid w:val="00AE4362"/>
    <w:rsid w:val="00AE6258"/>
    <w:rsid w:val="00AF206C"/>
    <w:rsid w:val="00AF31E2"/>
    <w:rsid w:val="00AF33BE"/>
    <w:rsid w:val="00AF5C13"/>
    <w:rsid w:val="00B01C50"/>
    <w:rsid w:val="00B01D4C"/>
    <w:rsid w:val="00B03FDA"/>
    <w:rsid w:val="00B041B4"/>
    <w:rsid w:val="00B05F40"/>
    <w:rsid w:val="00B11AAA"/>
    <w:rsid w:val="00B11BBB"/>
    <w:rsid w:val="00B17B46"/>
    <w:rsid w:val="00B21681"/>
    <w:rsid w:val="00B21D15"/>
    <w:rsid w:val="00B22DE3"/>
    <w:rsid w:val="00B24CF2"/>
    <w:rsid w:val="00B41D18"/>
    <w:rsid w:val="00B43CFE"/>
    <w:rsid w:val="00B43FC2"/>
    <w:rsid w:val="00B51C1B"/>
    <w:rsid w:val="00B52A18"/>
    <w:rsid w:val="00B549C2"/>
    <w:rsid w:val="00B5500F"/>
    <w:rsid w:val="00B662B6"/>
    <w:rsid w:val="00B72583"/>
    <w:rsid w:val="00B742C9"/>
    <w:rsid w:val="00B8101C"/>
    <w:rsid w:val="00B81D50"/>
    <w:rsid w:val="00B8582F"/>
    <w:rsid w:val="00B912C3"/>
    <w:rsid w:val="00B919F9"/>
    <w:rsid w:val="00B94AD9"/>
    <w:rsid w:val="00BB1234"/>
    <w:rsid w:val="00BB5160"/>
    <w:rsid w:val="00BC19EA"/>
    <w:rsid w:val="00BC6A5F"/>
    <w:rsid w:val="00BC6BD1"/>
    <w:rsid w:val="00BD405B"/>
    <w:rsid w:val="00BD4840"/>
    <w:rsid w:val="00BD7182"/>
    <w:rsid w:val="00BE7680"/>
    <w:rsid w:val="00BF5B12"/>
    <w:rsid w:val="00C010FE"/>
    <w:rsid w:val="00C02250"/>
    <w:rsid w:val="00C12B73"/>
    <w:rsid w:val="00C1480B"/>
    <w:rsid w:val="00C164BB"/>
    <w:rsid w:val="00C223BF"/>
    <w:rsid w:val="00C24E32"/>
    <w:rsid w:val="00C33438"/>
    <w:rsid w:val="00C4675C"/>
    <w:rsid w:val="00C5333B"/>
    <w:rsid w:val="00C60A52"/>
    <w:rsid w:val="00C70D8E"/>
    <w:rsid w:val="00C72E1B"/>
    <w:rsid w:val="00C72ED6"/>
    <w:rsid w:val="00C738D1"/>
    <w:rsid w:val="00C763E6"/>
    <w:rsid w:val="00C85F0F"/>
    <w:rsid w:val="00CA0C53"/>
    <w:rsid w:val="00CA4A2E"/>
    <w:rsid w:val="00CB053C"/>
    <w:rsid w:val="00CC45BA"/>
    <w:rsid w:val="00CC61FA"/>
    <w:rsid w:val="00CD1249"/>
    <w:rsid w:val="00CE3D9E"/>
    <w:rsid w:val="00CE67A5"/>
    <w:rsid w:val="00CE68B8"/>
    <w:rsid w:val="00CF2B03"/>
    <w:rsid w:val="00CF476A"/>
    <w:rsid w:val="00D03AF3"/>
    <w:rsid w:val="00D062FC"/>
    <w:rsid w:val="00D10951"/>
    <w:rsid w:val="00D11254"/>
    <w:rsid w:val="00D15591"/>
    <w:rsid w:val="00D240E6"/>
    <w:rsid w:val="00D25CC0"/>
    <w:rsid w:val="00D27068"/>
    <w:rsid w:val="00D33EFD"/>
    <w:rsid w:val="00D34092"/>
    <w:rsid w:val="00D349CA"/>
    <w:rsid w:val="00D5472C"/>
    <w:rsid w:val="00D6244A"/>
    <w:rsid w:val="00D66679"/>
    <w:rsid w:val="00D735D3"/>
    <w:rsid w:val="00D7434F"/>
    <w:rsid w:val="00D744DE"/>
    <w:rsid w:val="00D8366C"/>
    <w:rsid w:val="00D84407"/>
    <w:rsid w:val="00D8604E"/>
    <w:rsid w:val="00D929E2"/>
    <w:rsid w:val="00D93DCB"/>
    <w:rsid w:val="00D958BD"/>
    <w:rsid w:val="00DA469E"/>
    <w:rsid w:val="00DA4F95"/>
    <w:rsid w:val="00DB4384"/>
    <w:rsid w:val="00DE2219"/>
    <w:rsid w:val="00DE4373"/>
    <w:rsid w:val="00DE69EE"/>
    <w:rsid w:val="00DF189B"/>
    <w:rsid w:val="00DF5542"/>
    <w:rsid w:val="00DF6047"/>
    <w:rsid w:val="00E013D7"/>
    <w:rsid w:val="00E05843"/>
    <w:rsid w:val="00E10442"/>
    <w:rsid w:val="00E26DB8"/>
    <w:rsid w:val="00E32208"/>
    <w:rsid w:val="00E322F6"/>
    <w:rsid w:val="00E34049"/>
    <w:rsid w:val="00E359F3"/>
    <w:rsid w:val="00E36A89"/>
    <w:rsid w:val="00E40C64"/>
    <w:rsid w:val="00E513A5"/>
    <w:rsid w:val="00E531B8"/>
    <w:rsid w:val="00E57AD5"/>
    <w:rsid w:val="00E611F3"/>
    <w:rsid w:val="00E62BCC"/>
    <w:rsid w:val="00E64120"/>
    <w:rsid w:val="00E71AF3"/>
    <w:rsid w:val="00E7252E"/>
    <w:rsid w:val="00E74D8C"/>
    <w:rsid w:val="00E80858"/>
    <w:rsid w:val="00E81E43"/>
    <w:rsid w:val="00E82F0D"/>
    <w:rsid w:val="00E940DF"/>
    <w:rsid w:val="00EA1730"/>
    <w:rsid w:val="00EA6C37"/>
    <w:rsid w:val="00EB20C6"/>
    <w:rsid w:val="00EC3521"/>
    <w:rsid w:val="00EC5C69"/>
    <w:rsid w:val="00ED31A2"/>
    <w:rsid w:val="00ED77D8"/>
    <w:rsid w:val="00EE30A2"/>
    <w:rsid w:val="00EE5550"/>
    <w:rsid w:val="00F00B47"/>
    <w:rsid w:val="00F0655B"/>
    <w:rsid w:val="00F30EBF"/>
    <w:rsid w:val="00F31FF3"/>
    <w:rsid w:val="00F33751"/>
    <w:rsid w:val="00F33DCF"/>
    <w:rsid w:val="00F34CBD"/>
    <w:rsid w:val="00F34E3B"/>
    <w:rsid w:val="00F40F38"/>
    <w:rsid w:val="00F4216E"/>
    <w:rsid w:val="00F42489"/>
    <w:rsid w:val="00F42541"/>
    <w:rsid w:val="00F45159"/>
    <w:rsid w:val="00F47E43"/>
    <w:rsid w:val="00F505F2"/>
    <w:rsid w:val="00F53EF8"/>
    <w:rsid w:val="00F554D2"/>
    <w:rsid w:val="00F555BE"/>
    <w:rsid w:val="00F57554"/>
    <w:rsid w:val="00F57761"/>
    <w:rsid w:val="00F62549"/>
    <w:rsid w:val="00F70F48"/>
    <w:rsid w:val="00F74E3C"/>
    <w:rsid w:val="00F82528"/>
    <w:rsid w:val="00F9052F"/>
    <w:rsid w:val="00F90920"/>
    <w:rsid w:val="00F95F9B"/>
    <w:rsid w:val="00FA011A"/>
    <w:rsid w:val="00FA29AB"/>
    <w:rsid w:val="00FA3494"/>
    <w:rsid w:val="00FA3998"/>
    <w:rsid w:val="00FA4DF8"/>
    <w:rsid w:val="00FB0C2B"/>
    <w:rsid w:val="00FB3040"/>
    <w:rsid w:val="00FB5FA8"/>
    <w:rsid w:val="00FB74EE"/>
    <w:rsid w:val="00FC1F24"/>
    <w:rsid w:val="00FC365C"/>
    <w:rsid w:val="00FC56E1"/>
    <w:rsid w:val="00FD1FA2"/>
    <w:rsid w:val="00FD2EDB"/>
    <w:rsid w:val="00FE3232"/>
    <w:rsid w:val="00FE3BA2"/>
    <w:rsid w:val="00FE4837"/>
    <w:rsid w:val="00FE7AE8"/>
    <w:rsid w:val="00FF04D9"/>
    <w:rsid w:val="00FF1605"/>
    <w:rsid w:val="00FF3D83"/>
    <w:rsid w:val="00FF6167"/>
    <w:rsid w:val="00FF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F1FBB6C"/>
  <w15:chartTrackingRefBased/>
  <w15:docId w15:val="{46D64D16-321F-46A8-893B-8233F7A2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2CE"/>
    <w:rPr>
      <w:sz w:val="24"/>
      <w:szCs w:val="24"/>
    </w:rPr>
  </w:style>
  <w:style w:type="paragraph" w:styleId="Heading1">
    <w:name w:val="heading 1"/>
    <w:basedOn w:val="Normal"/>
    <w:link w:val="Heading1Char"/>
    <w:uiPriority w:val="9"/>
    <w:qFormat/>
    <w:rsid w:val="00FD7C41"/>
    <w:pPr>
      <w:spacing w:before="100" w:beforeAutospacing="1" w:after="100" w:afterAutospacing="1"/>
      <w:outlineLvl w:val="0"/>
    </w:pPr>
    <w:rPr>
      <w:b/>
      <w:bCs/>
      <w:kern w:val="36"/>
      <w:sz w:val="48"/>
      <w:szCs w:val="48"/>
      <w:lang w:val="x-none" w:eastAsia="x-none"/>
    </w:rPr>
  </w:style>
  <w:style w:type="paragraph" w:styleId="Heading2">
    <w:name w:val="heading 2"/>
    <w:basedOn w:val="Normal"/>
    <w:link w:val="Heading2Char"/>
    <w:uiPriority w:val="9"/>
    <w:qFormat/>
    <w:rsid w:val="00FD7C41"/>
    <w:pPr>
      <w:spacing w:before="100" w:beforeAutospacing="1" w:after="100" w:afterAutospacing="1"/>
      <w:outlineLvl w:val="1"/>
    </w:pPr>
    <w:rPr>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CE4648"/>
    <w:rPr>
      <w:sz w:val="20"/>
      <w:szCs w:val="20"/>
      <w:lang w:val="x-none" w:eastAsia="x-none"/>
    </w:rPr>
  </w:style>
  <w:style w:type="character" w:styleId="FootnoteReference">
    <w:name w:val="footnote reference"/>
    <w:uiPriority w:val="99"/>
    <w:semiHidden/>
    <w:rsid w:val="00CE4648"/>
    <w:rPr>
      <w:vertAlign w:val="superscript"/>
    </w:rPr>
  </w:style>
  <w:style w:type="paragraph" w:styleId="Header">
    <w:name w:val="header"/>
    <w:basedOn w:val="Normal"/>
    <w:link w:val="HeaderChar"/>
    <w:uiPriority w:val="99"/>
    <w:rsid w:val="00743911"/>
    <w:pPr>
      <w:tabs>
        <w:tab w:val="center" w:pos="4320"/>
        <w:tab w:val="right" w:pos="8640"/>
      </w:tabs>
    </w:pPr>
    <w:rPr>
      <w:lang w:val="x-none" w:eastAsia="x-none"/>
    </w:rPr>
  </w:style>
  <w:style w:type="character" w:styleId="PageNumber">
    <w:name w:val="page number"/>
    <w:basedOn w:val="DefaultParagraphFont"/>
    <w:rsid w:val="00743911"/>
  </w:style>
  <w:style w:type="paragraph" w:customStyle="1" w:styleId="Default">
    <w:name w:val="Default"/>
    <w:rsid w:val="00306704"/>
    <w:pPr>
      <w:autoSpaceDE w:val="0"/>
      <w:autoSpaceDN w:val="0"/>
      <w:adjustRightInd w:val="0"/>
    </w:pPr>
    <w:rPr>
      <w:rFonts w:ascii="ITC New Baskerville" w:hAnsi="ITC New Baskerville" w:cs="ITC New Baskerville"/>
      <w:color w:val="000000"/>
      <w:sz w:val="24"/>
      <w:szCs w:val="24"/>
      <w:lang w:bidi="he-IL"/>
    </w:rPr>
  </w:style>
  <w:style w:type="paragraph" w:styleId="BalloonText">
    <w:name w:val="Balloon Text"/>
    <w:basedOn w:val="Normal"/>
    <w:link w:val="BalloonTextChar"/>
    <w:uiPriority w:val="99"/>
    <w:rsid w:val="00412575"/>
    <w:rPr>
      <w:rFonts w:ascii="Tahoma" w:hAnsi="Tahoma" w:cs="Tahoma"/>
      <w:sz w:val="16"/>
      <w:szCs w:val="16"/>
      <w:lang w:val="x-none" w:eastAsia="x-none"/>
    </w:rPr>
  </w:style>
  <w:style w:type="character" w:customStyle="1" w:styleId="BalloonTextChar">
    <w:name w:val="Balloon Text Char"/>
    <w:link w:val="BalloonText"/>
    <w:uiPriority w:val="99"/>
    <w:rsid w:val="00412575"/>
    <w:rPr>
      <w:rFonts w:ascii="Tahoma" w:hAnsi="Tahoma" w:cs="Tahoma"/>
      <w:sz w:val="16"/>
      <w:szCs w:val="16"/>
      <w:lang w:bidi="ar-SA"/>
    </w:rPr>
  </w:style>
  <w:style w:type="character" w:customStyle="1" w:styleId="FootnoteTextChar">
    <w:name w:val="Footnote Text Char"/>
    <w:link w:val="FootnoteText"/>
    <w:uiPriority w:val="99"/>
    <w:semiHidden/>
    <w:rsid w:val="00412575"/>
    <w:rPr>
      <w:lang w:bidi="ar-SA"/>
    </w:rPr>
  </w:style>
  <w:style w:type="character" w:customStyle="1" w:styleId="Heading1Char">
    <w:name w:val="Heading 1 Char"/>
    <w:link w:val="Heading1"/>
    <w:uiPriority w:val="9"/>
    <w:rsid w:val="00FD7C41"/>
    <w:rPr>
      <w:b/>
      <w:bCs/>
      <w:kern w:val="36"/>
      <w:sz w:val="48"/>
      <w:szCs w:val="48"/>
    </w:rPr>
  </w:style>
  <w:style w:type="character" w:customStyle="1" w:styleId="Heading2Char">
    <w:name w:val="Heading 2 Char"/>
    <w:link w:val="Heading2"/>
    <w:uiPriority w:val="9"/>
    <w:rsid w:val="00FD7C41"/>
    <w:rPr>
      <w:b/>
      <w:bCs/>
      <w:sz w:val="36"/>
      <w:szCs w:val="36"/>
    </w:rPr>
  </w:style>
  <w:style w:type="character" w:styleId="Hyperlink">
    <w:name w:val="Hyperlink"/>
    <w:uiPriority w:val="99"/>
    <w:unhideWhenUsed/>
    <w:rsid w:val="00FD7C41"/>
    <w:rPr>
      <w:color w:val="0000FF"/>
      <w:u w:val="single"/>
    </w:rPr>
  </w:style>
  <w:style w:type="character" w:customStyle="1" w:styleId="apple-converted-space">
    <w:name w:val="apple-converted-space"/>
    <w:basedOn w:val="DefaultParagraphFont"/>
    <w:rsid w:val="00FD7C41"/>
  </w:style>
  <w:style w:type="table" w:styleId="TableGrid">
    <w:name w:val="Table Grid"/>
    <w:basedOn w:val="TableNormal"/>
    <w:uiPriority w:val="39"/>
    <w:rsid w:val="000A564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B52C20"/>
    <w:rPr>
      <w:sz w:val="16"/>
      <w:szCs w:val="16"/>
    </w:rPr>
  </w:style>
  <w:style w:type="paragraph" w:styleId="CommentText">
    <w:name w:val="annotation text"/>
    <w:basedOn w:val="Normal"/>
    <w:link w:val="CommentTextChar"/>
    <w:uiPriority w:val="99"/>
    <w:rsid w:val="00B52C20"/>
    <w:rPr>
      <w:sz w:val="20"/>
      <w:szCs w:val="20"/>
      <w:lang w:val="x-none" w:eastAsia="x-none"/>
    </w:rPr>
  </w:style>
  <w:style w:type="character" w:customStyle="1" w:styleId="CommentTextChar">
    <w:name w:val="Comment Text Char"/>
    <w:link w:val="CommentText"/>
    <w:uiPriority w:val="99"/>
    <w:rsid w:val="00B52C20"/>
    <w:rPr>
      <w:lang w:bidi="ar-SA"/>
    </w:rPr>
  </w:style>
  <w:style w:type="paragraph" w:styleId="CommentSubject">
    <w:name w:val="annotation subject"/>
    <w:basedOn w:val="CommentText"/>
    <w:next w:val="CommentText"/>
    <w:link w:val="CommentSubjectChar"/>
    <w:rsid w:val="00B52C20"/>
    <w:rPr>
      <w:b/>
      <w:bCs/>
    </w:rPr>
  </w:style>
  <w:style w:type="character" w:customStyle="1" w:styleId="CommentSubjectChar">
    <w:name w:val="Comment Subject Char"/>
    <w:link w:val="CommentSubject"/>
    <w:rsid w:val="00B52C20"/>
    <w:rPr>
      <w:b/>
      <w:bCs/>
      <w:lang w:bidi="ar-SA"/>
    </w:rPr>
  </w:style>
  <w:style w:type="paragraph" w:customStyle="1" w:styleId="ColorfulList-Accent11">
    <w:name w:val="Colorful List - Accent 11"/>
    <w:basedOn w:val="Normal"/>
    <w:uiPriority w:val="34"/>
    <w:qFormat/>
    <w:rsid w:val="004E77EE"/>
    <w:pPr>
      <w:spacing w:after="200" w:line="276" w:lineRule="auto"/>
      <w:ind w:left="720"/>
      <w:contextualSpacing/>
    </w:pPr>
    <w:rPr>
      <w:rFonts w:ascii="Calibri" w:eastAsia="Calibri" w:hAnsi="Calibri" w:cs="Arial"/>
      <w:sz w:val="22"/>
      <w:szCs w:val="22"/>
      <w:lang w:bidi="he-IL"/>
    </w:rPr>
  </w:style>
  <w:style w:type="paragraph" w:styleId="Footer">
    <w:name w:val="footer"/>
    <w:basedOn w:val="Normal"/>
    <w:link w:val="FooterChar"/>
    <w:uiPriority w:val="99"/>
    <w:rsid w:val="00BA0C32"/>
    <w:pPr>
      <w:tabs>
        <w:tab w:val="center" w:pos="4680"/>
        <w:tab w:val="right" w:pos="9360"/>
      </w:tabs>
    </w:pPr>
    <w:rPr>
      <w:lang w:val="x-none" w:eastAsia="x-none"/>
    </w:rPr>
  </w:style>
  <w:style w:type="character" w:customStyle="1" w:styleId="FooterChar">
    <w:name w:val="Footer Char"/>
    <w:link w:val="Footer"/>
    <w:uiPriority w:val="99"/>
    <w:rsid w:val="00BA0C32"/>
    <w:rPr>
      <w:sz w:val="24"/>
      <w:szCs w:val="24"/>
      <w:lang w:bidi="ar-SA"/>
    </w:rPr>
  </w:style>
  <w:style w:type="paragraph" w:customStyle="1" w:styleId="ColorfulShading-Accent11">
    <w:name w:val="Colorful Shading - Accent 11"/>
    <w:hidden/>
    <w:uiPriority w:val="99"/>
    <w:semiHidden/>
    <w:rsid w:val="00994DA5"/>
    <w:rPr>
      <w:sz w:val="24"/>
      <w:szCs w:val="24"/>
    </w:rPr>
  </w:style>
  <w:style w:type="character" w:customStyle="1" w:styleId="doi">
    <w:name w:val="doi"/>
    <w:rsid w:val="005208A1"/>
  </w:style>
  <w:style w:type="character" w:customStyle="1" w:styleId="pagination">
    <w:name w:val="pagination"/>
    <w:rsid w:val="005208A1"/>
  </w:style>
  <w:style w:type="character" w:customStyle="1" w:styleId="HeaderChar">
    <w:name w:val="Header Char"/>
    <w:link w:val="Header"/>
    <w:uiPriority w:val="99"/>
    <w:rsid w:val="00AC2B69"/>
    <w:rPr>
      <w:sz w:val="24"/>
      <w:szCs w:val="24"/>
    </w:rPr>
  </w:style>
  <w:style w:type="character" w:customStyle="1" w:styleId="reference-text">
    <w:name w:val="reference-text"/>
    <w:basedOn w:val="DefaultParagraphFont"/>
    <w:rsid w:val="00BD70FD"/>
  </w:style>
  <w:style w:type="paragraph" w:customStyle="1" w:styleId="ColorfulShading-Accent12">
    <w:name w:val="Colorful Shading - Accent 12"/>
    <w:hidden/>
    <w:uiPriority w:val="99"/>
    <w:semiHidden/>
    <w:rsid w:val="00DE52EA"/>
    <w:rPr>
      <w:sz w:val="24"/>
      <w:szCs w:val="24"/>
    </w:rPr>
  </w:style>
  <w:style w:type="paragraph" w:styleId="EndnoteText">
    <w:name w:val="endnote text"/>
    <w:basedOn w:val="Normal"/>
    <w:link w:val="EndnoteTextChar"/>
    <w:rsid w:val="006D38A9"/>
    <w:rPr>
      <w:sz w:val="20"/>
      <w:szCs w:val="20"/>
      <w:lang w:val="x-none" w:eastAsia="x-none"/>
    </w:rPr>
  </w:style>
  <w:style w:type="character" w:customStyle="1" w:styleId="EndnoteTextChar">
    <w:name w:val="Endnote Text Char"/>
    <w:link w:val="EndnoteText"/>
    <w:rsid w:val="006D38A9"/>
    <w:rPr>
      <w:lang w:bidi="ar-SA"/>
    </w:rPr>
  </w:style>
  <w:style w:type="character" w:styleId="EndnoteReference">
    <w:name w:val="endnote reference"/>
    <w:rsid w:val="006D38A9"/>
    <w:rPr>
      <w:vertAlign w:val="superscript"/>
    </w:rPr>
  </w:style>
  <w:style w:type="paragraph" w:customStyle="1" w:styleId="Reference">
    <w:name w:val="Reference"/>
    <w:qFormat/>
    <w:rsid w:val="003F583E"/>
    <w:pPr>
      <w:spacing w:after="160"/>
      <w:ind w:left="357" w:hanging="357"/>
    </w:pPr>
    <w:rPr>
      <w:rFonts w:eastAsia="Calibri" w:cs="Arial"/>
      <w:sz w:val="24"/>
      <w:szCs w:val="22"/>
    </w:rPr>
  </w:style>
  <w:style w:type="numbering" w:customStyle="1" w:styleId="NoList1">
    <w:name w:val="No List1"/>
    <w:next w:val="NoList"/>
    <w:uiPriority w:val="99"/>
    <w:semiHidden/>
    <w:unhideWhenUsed/>
    <w:rsid w:val="009C34B6"/>
  </w:style>
  <w:style w:type="paragraph" w:customStyle="1" w:styleId="ColorfulList-Accent12">
    <w:name w:val="Colorful List - Accent 12"/>
    <w:basedOn w:val="Normal"/>
    <w:uiPriority w:val="34"/>
    <w:qFormat/>
    <w:rsid w:val="009C34B6"/>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792FFB"/>
    <w:rPr>
      <w:rFonts w:eastAsia="Calibri"/>
    </w:rPr>
  </w:style>
  <w:style w:type="paragraph" w:styleId="Revision">
    <w:name w:val="Revision"/>
    <w:hidden/>
    <w:rsid w:val="00B912C3"/>
    <w:rPr>
      <w:sz w:val="24"/>
      <w:szCs w:val="24"/>
    </w:rPr>
  </w:style>
  <w:style w:type="paragraph" w:styleId="ListParagraph">
    <w:name w:val="List Paragraph"/>
    <w:basedOn w:val="Normal"/>
    <w:uiPriority w:val="34"/>
    <w:qFormat/>
    <w:rsid w:val="006B6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61756">
      <w:bodyDiv w:val="1"/>
      <w:marLeft w:val="0"/>
      <w:marRight w:val="0"/>
      <w:marTop w:val="0"/>
      <w:marBottom w:val="0"/>
      <w:divBdr>
        <w:top w:val="none" w:sz="0" w:space="0" w:color="auto"/>
        <w:left w:val="none" w:sz="0" w:space="0" w:color="auto"/>
        <w:bottom w:val="none" w:sz="0" w:space="0" w:color="auto"/>
        <w:right w:val="none" w:sz="0" w:space="0" w:color="auto"/>
      </w:divBdr>
    </w:div>
    <w:div w:id="48578677">
      <w:bodyDiv w:val="1"/>
      <w:marLeft w:val="0"/>
      <w:marRight w:val="0"/>
      <w:marTop w:val="0"/>
      <w:marBottom w:val="0"/>
      <w:divBdr>
        <w:top w:val="none" w:sz="0" w:space="0" w:color="auto"/>
        <w:left w:val="none" w:sz="0" w:space="0" w:color="auto"/>
        <w:bottom w:val="none" w:sz="0" w:space="0" w:color="auto"/>
        <w:right w:val="none" w:sz="0" w:space="0" w:color="auto"/>
      </w:divBdr>
    </w:div>
    <w:div w:id="53547497">
      <w:bodyDiv w:val="1"/>
      <w:marLeft w:val="0"/>
      <w:marRight w:val="0"/>
      <w:marTop w:val="0"/>
      <w:marBottom w:val="0"/>
      <w:divBdr>
        <w:top w:val="none" w:sz="0" w:space="0" w:color="auto"/>
        <w:left w:val="none" w:sz="0" w:space="0" w:color="auto"/>
        <w:bottom w:val="none" w:sz="0" w:space="0" w:color="auto"/>
        <w:right w:val="none" w:sz="0" w:space="0" w:color="auto"/>
      </w:divBdr>
    </w:div>
    <w:div w:id="63992872">
      <w:bodyDiv w:val="1"/>
      <w:marLeft w:val="0"/>
      <w:marRight w:val="0"/>
      <w:marTop w:val="0"/>
      <w:marBottom w:val="0"/>
      <w:divBdr>
        <w:top w:val="none" w:sz="0" w:space="0" w:color="auto"/>
        <w:left w:val="none" w:sz="0" w:space="0" w:color="auto"/>
        <w:bottom w:val="none" w:sz="0" w:space="0" w:color="auto"/>
        <w:right w:val="none" w:sz="0" w:space="0" w:color="auto"/>
      </w:divBdr>
    </w:div>
    <w:div w:id="65614890">
      <w:bodyDiv w:val="1"/>
      <w:marLeft w:val="0"/>
      <w:marRight w:val="0"/>
      <w:marTop w:val="0"/>
      <w:marBottom w:val="0"/>
      <w:divBdr>
        <w:top w:val="none" w:sz="0" w:space="0" w:color="auto"/>
        <w:left w:val="none" w:sz="0" w:space="0" w:color="auto"/>
        <w:bottom w:val="none" w:sz="0" w:space="0" w:color="auto"/>
        <w:right w:val="none" w:sz="0" w:space="0" w:color="auto"/>
      </w:divBdr>
    </w:div>
    <w:div w:id="90243422">
      <w:bodyDiv w:val="1"/>
      <w:marLeft w:val="0"/>
      <w:marRight w:val="0"/>
      <w:marTop w:val="0"/>
      <w:marBottom w:val="0"/>
      <w:divBdr>
        <w:top w:val="none" w:sz="0" w:space="0" w:color="auto"/>
        <w:left w:val="none" w:sz="0" w:space="0" w:color="auto"/>
        <w:bottom w:val="none" w:sz="0" w:space="0" w:color="auto"/>
        <w:right w:val="none" w:sz="0" w:space="0" w:color="auto"/>
      </w:divBdr>
    </w:div>
    <w:div w:id="97718669">
      <w:bodyDiv w:val="1"/>
      <w:marLeft w:val="0"/>
      <w:marRight w:val="0"/>
      <w:marTop w:val="0"/>
      <w:marBottom w:val="0"/>
      <w:divBdr>
        <w:top w:val="none" w:sz="0" w:space="0" w:color="auto"/>
        <w:left w:val="none" w:sz="0" w:space="0" w:color="auto"/>
        <w:bottom w:val="none" w:sz="0" w:space="0" w:color="auto"/>
        <w:right w:val="none" w:sz="0" w:space="0" w:color="auto"/>
      </w:divBdr>
    </w:div>
    <w:div w:id="138767055">
      <w:bodyDiv w:val="1"/>
      <w:marLeft w:val="0"/>
      <w:marRight w:val="0"/>
      <w:marTop w:val="0"/>
      <w:marBottom w:val="0"/>
      <w:divBdr>
        <w:top w:val="none" w:sz="0" w:space="0" w:color="auto"/>
        <w:left w:val="none" w:sz="0" w:space="0" w:color="auto"/>
        <w:bottom w:val="none" w:sz="0" w:space="0" w:color="auto"/>
        <w:right w:val="none" w:sz="0" w:space="0" w:color="auto"/>
      </w:divBdr>
    </w:div>
    <w:div w:id="155531861">
      <w:bodyDiv w:val="1"/>
      <w:marLeft w:val="0"/>
      <w:marRight w:val="0"/>
      <w:marTop w:val="0"/>
      <w:marBottom w:val="0"/>
      <w:divBdr>
        <w:top w:val="none" w:sz="0" w:space="0" w:color="auto"/>
        <w:left w:val="none" w:sz="0" w:space="0" w:color="auto"/>
        <w:bottom w:val="none" w:sz="0" w:space="0" w:color="auto"/>
        <w:right w:val="none" w:sz="0" w:space="0" w:color="auto"/>
      </w:divBdr>
    </w:div>
    <w:div w:id="173963272">
      <w:bodyDiv w:val="1"/>
      <w:marLeft w:val="0"/>
      <w:marRight w:val="0"/>
      <w:marTop w:val="0"/>
      <w:marBottom w:val="0"/>
      <w:divBdr>
        <w:top w:val="none" w:sz="0" w:space="0" w:color="auto"/>
        <w:left w:val="none" w:sz="0" w:space="0" w:color="auto"/>
        <w:bottom w:val="none" w:sz="0" w:space="0" w:color="auto"/>
        <w:right w:val="none" w:sz="0" w:space="0" w:color="auto"/>
      </w:divBdr>
    </w:div>
    <w:div w:id="191454961">
      <w:bodyDiv w:val="1"/>
      <w:marLeft w:val="0"/>
      <w:marRight w:val="0"/>
      <w:marTop w:val="0"/>
      <w:marBottom w:val="0"/>
      <w:divBdr>
        <w:top w:val="none" w:sz="0" w:space="0" w:color="auto"/>
        <w:left w:val="none" w:sz="0" w:space="0" w:color="auto"/>
        <w:bottom w:val="none" w:sz="0" w:space="0" w:color="auto"/>
        <w:right w:val="none" w:sz="0" w:space="0" w:color="auto"/>
      </w:divBdr>
    </w:div>
    <w:div w:id="209193177">
      <w:bodyDiv w:val="1"/>
      <w:marLeft w:val="0"/>
      <w:marRight w:val="0"/>
      <w:marTop w:val="0"/>
      <w:marBottom w:val="0"/>
      <w:divBdr>
        <w:top w:val="none" w:sz="0" w:space="0" w:color="auto"/>
        <w:left w:val="none" w:sz="0" w:space="0" w:color="auto"/>
        <w:bottom w:val="none" w:sz="0" w:space="0" w:color="auto"/>
        <w:right w:val="none" w:sz="0" w:space="0" w:color="auto"/>
      </w:divBdr>
    </w:div>
    <w:div w:id="210269968">
      <w:bodyDiv w:val="1"/>
      <w:marLeft w:val="0"/>
      <w:marRight w:val="0"/>
      <w:marTop w:val="0"/>
      <w:marBottom w:val="0"/>
      <w:divBdr>
        <w:top w:val="none" w:sz="0" w:space="0" w:color="auto"/>
        <w:left w:val="none" w:sz="0" w:space="0" w:color="auto"/>
        <w:bottom w:val="none" w:sz="0" w:space="0" w:color="auto"/>
        <w:right w:val="none" w:sz="0" w:space="0" w:color="auto"/>
      </w:divBdr>
    </w:div>
    <w:div w:id="228461831">
      <w:bodyDiv w:val="1"/>
      <w:marLeft w:val="0"/>
      <w:marRight w:val="0"/>
      <w:marTop w:val="0"/>
      <w:marBottom w:val="0"/>
      <w:divBdr>
        <w:top w:val="none" w:sz="0" w:space="0" w:color="auto"/>
        <w:left w:val="none" w:sz="0" w:space="0" w:color="auto"/>
        <w:bottom w:val="none" w:sz="0" w:space="0" w:color="auto"/>
        <w:right w:val="none" w:sz="0" w:space="0" w:color="auto"/>
      </w:divBdr>
    </w:div>
    <w:div w:id="230431193">
      <w:bodyDiv w:val="1"/>
      <w:marLeft w:val="0"/>
      <w:marRight w:val="0"/>
      <w:marTop w:val="0"/>
      <w:marBottom w:val="0"/>
      <w:divBdr>
        <w:top w:val="none" w:sz="0" w:space="0" w:color="auto"/>
        <w:left w:val="none" w:sz="0" w:space="0" w:color="auto"/>
        <w:bottom w:val="none" w:sz="0" w:space="0" w:color="auto"/>
        <w:right w:val="none" w:sz="0" w:space="0" w:color="auto"/>
      </w:divBdr>
    </w:div>
    <w:div w:id="330763170">
      <w:bodyDiv w:val="1"/>
      <w:marLeft w:val="0"/>
      <w:marRight w:val="0"/>
      <w:marTop w:val="0"/>
      <w:marBottom w:val="0"/>
      <w:divBdr>
        <w:top w:val="none" w:sz="0" w:space="0" w:color="auto"/>
        <w:left w:val="none" w:sz="0" w:space="0" w:color="auto"/>
        <w:bottom w:val="none" w:sz="0" w:space="0" w:color="auto"/>
        <w:right w:val="none" w:sz="0" w:space="0" w:color="auto"/>
      </w:divBdr>
    </w:div>
    <w:div w:id="385183017">
      <w:bodyDiv w:val="1"/>
      <w:marLeft w:val="0"/>
      <w:marRight w:val="0"/>
      <w:marTop w:val="0"/>
      <w:marBottom w:val="0"/>
      <w:divBdr>
        <w:top w:val="none" w:sz="0" w:space="0" w:color="auto"/>
        <w:left w:val="none" w:sz="0" w:space="0" w:color="auto"/>
        <w:bottom w:val="none" w:sz="0" w:space="0" w:color="auto"/>
        <w:right w:val="none" w:sz="0" w:space="0" w:color="auto"/>
      </w:divBdr>
    </w:div>
    <w:div w:id="388385951">
      <w:bodyDiv w:val="1"/>
      <w:marLeft w:val="0"/>
      <w:marRight w:val="0"/>
      <w:marTop w:val="0"/>
      <w:marBottom w:val="0"/>
      <w:divBdr>
        <w:top w:val="none" w:sz="0" w:space="0" w:color="auto"/>
        <w:left w:val="none" w:sz="0" w:space="0" w:color="auto"/>
        <w:bottom w:val="none" w:sz="0" w:space="0" w:color="auto"/>
        <w:right w:val="none" w:sz="0" w:space="0" w:color="auto"/>
      </w:divBdr>
    </w:div>
    <w:div w:id="470051267">
      <w:bodyDiv w:val="1"/>
      <w:marLeft w:val="0"/>
      <w:marRight w:val="0"/>
      <w:marTop w:val="0"/>
      <w:marBottom w:val="0"/>
      <w:divBdr>
        <w:top w:val="none" w:sz="0" w:space="0" w:color="auto"/>
        <w:left w:val="none" w:sz="0" w:space="0" w:color="auto"/>
        <w:bottom w:val="none" w:sz="0" w:space="0" w:color="auto"/>
        <w:right w:val="none" w:sz="0" w:space="0" w:color="auto"/>
      </w:divBdr>
    </w:div>
    <w:div w:id="471480362">
      <w:bodyDiv w:val="1"/>
      <w:marLeft w:val="0"/>
      <w:marRight w:val="0"/>
      <w:marTop w:val="0"/>
      <w:marBottom w:val="0"/>
      <w:divBdr>
        <w:top w:val="none" w:sz="0" w:space="0" w:color="auto"/>
        <w:left w:val="none" w:sz="0" w:space="0" w:color="auto"/>
        <w:bottom w:val="none" w:sz="0" w:space="0" w:color="auto"/>
        <w:right w:val="none" w:sz="0" w:space="0" w:color="auto"/>
      </w:divBdr>
    </w:div>
    <w:div w:id="588923795">
      <w:bodyDiv w:val="1"/>
      <w:marLeft w:val="0"/>
      <w:marRight w:val="0"/>
      <w:marTop w:val="0"/>
      <w:marBottom w:val="0"/>
      <w:divBdr>
        <w:top w:val="none" w:sz="0" w:space="0" w:color="auto"/>
        <w:left w:val="none" w:sz="0" w:space="0" w:color="auto"/>
        <w:bottom w:val="none" w:sz="0" w:space="0" w:color="auto"/>
        <w:right w:val="none" w:sz="0" w:space="0" w:color="auto"/>
      </w:divBdr>
    </w:div>
    <w:div w:id="620041518">
      <w:bodyDiv w:val="1"/>
      <w:marLeft w:val="0"/>
      <w:marRight w:val="0"/>
      <w:marTop w:val="0"/>
      <w:marBottom w:val="0"/>
      <w:divBdr>
        <w:top w:val="none" w:sz="0" w:space="0" w:color="auto"/>
        <w:left w:val="none" w:sz="0" w:space="0" w:color="auto"/>
        <w:bottom w:val="none" w:sz="0" w:space="0" w:color="auto"/>
        <w:right w:val="none" w:sz="0" w:space="0" w:color="auto"/>
      </w:divBdr>
    </w:div>
    <w:div w:id="667176067">
      <w:bodyDiv w:val="1"/>
      <w:marLeft w:val="0"/>
      <w:marRight w:val="0"/>
      <w:marTop w:val="0"/>
      <w:marBottom w:val="0"/>
      <w:divBdr>
        <w:top w:val="none" w:sz="0" w:space="0" w:color="auto"/>
        <w:left w:val="none" w:sz="0" w:space="0" w:color="auto"/>
        <w:bottom w:val="none" w:sz="0" w:space="0" w:color="auto"/>
        <w:right w:val="none" w:sz="0" w:space="0" w:color="auto"/>
      </w:divBdr>
    </w:div>
    <w:div w:id="700321961">
      <w:bodyDiv w:val="1"/>
      <w:marLeft w:val="0"/>
      <w:marRight w:val="0"/>
      <w:marTop w:val="0"/>
      <w:marBottom w:val="0"/>
      <w:divBdr>
        <w:top w:val="none" w:sz="0" w:space="0" w:color="auto"/>
        <w:left w:val="none" w:sz="0" w:space="0" w:color="auto"/>
        <w:bottom w:val="none" w:sz="0" w:space="0" w:color="auto"/>
        <w:right w:val="none" w:sz="0" w:space="0" w:color="auto"/>
      </w:divBdr>
    </w:div>
    <w:div w:id="880556338">
      <w:bodyDiv w:val="1"/>
      <w:marLeft w:val="0"/>
      <w:marRight w:val="0"/>
      <w:marTop w:val="0"/>
      <w:marBottom w:val="0"/>
      <w:divBdr>
        <w:top w:val="none" w:sz="0" w:space="0" w:color="auto"/>
        <w:left w:val="none" w:sz="0" w:space="0" w:color="auto"/>
        <w:bottom w:val="none" w:sz="0" w:space="0" w:color="auto"/>
        <w:right w:val="none" w:sz="0" w:space="0" w:color="auto"/>
      </w:divBdr>
    </w:div>
    <w:div w:id="931164261">
      <w:bodyDiv w:val="1"/>
      <w:marLeft w:val="0"/>
      <w:marRight w:val="0"/>
      <w:marTop w:val="0"/>
      <w:marBottom w:val="0"/>
      <w:divBdr>
        <w:top w:val="none" w:sz="0" w:space="0" w:color="auto"/>
        <w:left w:val="none" w:sz="0" w:space="0" w:color="auto"/>
        <w:bottom w:val="none" w:sz="0" w:space="0" w:color="auto"/>
        <w:right w:val="none" w:sz="0" w:space="0" w:color="auto"/>
      </w:divBdr>
    </w:div>
    <w:div w:id="936131376">
      <w:bodyDiv w:val="1"/>
      <w:marLeft w:val="0"/>
      <w:marRight w:val="0"/>
      <w:marTop w:val="0"/>
      <w:marBottom w:val="0"/>
      <w:divBdr>
        <w:top w:val="none" w:sz="0" w:space="0" w:color="auto"/>
        <w:left w:val="none" w:sz="0" w:space="0" w:color="auto"/>
        <w:bottom w:val="none" w:sz="0" w:space="0" w:color="auto"/>
        <w:right w:val="none" w:sz="0" w:space="0" w:color="auto"/>
      </w:divBdr>
    </w:div>
    <w:div w:id="953443347">
      <w:bodyDiv w:val="1"/>
      <w:marLeft w:val="0"/>
      <w:marRight w:val="0"/>
      <w:marTop w:val="0"/>
      <w:marBottom w:val="0"/>
      <w:divBdr>
        <w:top w:val="none" w:sz="0" w:space="0" w:color="auto"/>
        <w:left w:val="none" w:sz="0" w:space="0" w:color="auto"/>
        <w:bottom w:val="none" w:sz="0" w:space="0" w:color="auto"/>
        <w:right w:val="none" w:sz="0" w:space="0" w:color="auto"/>
      </w:divBdr>
    </w:div>
    <w:div w:id="960260347">
      <w:bodyDiv w:val="1"/>
      <w:marLeft w:val="0"/>
      <w:marRight w:val="0"/>
      <w:marTop w:val="0"/>
      <w:marBottom w:val="0"/>
      <w:divBdr>
        <w:top w:val="none" w:sz="0" w:space="0" w:color="auto"/>
        <w:left w:val="none" w:sz="0" w:space="0" w:color="auto"/>
        <w:bottom w:val="none" w:sz="0" w:space="0" w:color="auto"/>
        <w:right w:val="none" w:sz="0" w:space="0" w:color="auto"/>
      </w:divBdr>
    </w:div>
    <w:div w:id="1092311876">
      <w:bodyDiv w:val="1"/>
      <w:marLeft w:val="0"/>
      <w:marRight w:val="0"/>
      <w:marTop w:val="0"/>
      <w:marBottom w:val="0"/>
      <w:divBdr>
        <w:top w:val="none" w:sz="0" w:space="0" w:color="auto"/>
        <w:left w:val="none" w:sz="0" w:space="0" w:color="auto"/>
        <w:bottom w:val="none" w:sz="0" w:space="0" w:color="auto"/>
        <w:right w:val="none" w:sz="0" w:space="0" w:color="auto"/>
      </w:divBdr>
    </w:div>
    <w:div w:id="1093012382">
      <w:bodyDiv w:val="1"/>
      <w:marLeft w:val="0"/>
      <w:marRight w:val="0"/>
      <w:marTop w:val="0"/>
      <w:marBottom w:val="0"/>
      <w:divBdr>
        <w:top w:val="none" w:sz="0" w:space="0" w:color="auto"/>
        <w:left w:val="none" w:sz="0" w:space="0" w:color="auto"/>
        <w:bottom w:val="none" w:sz="0" w:space="0" w:color="auto"/>
        <w:right w:val="none" w:sz="0" w:space="0" w:color="auto"/>
      </w:divBdr>
    </w:div>
    <w:div w:id="1146166832">
      <w:bodyDiv w:val="1"/>
      <w:marLeft w:val="0"/>
      <w:marRight w:val="0"/>
      <w:marTop w:val="0"/>
      <w:marBottom w:val="0"/>
      <w:divBdr>
        <w:top w:val="none" w:sz="0" w:space="0" w:color="auto"/>
        <w:left w:val="none" w:sz="0" w:space="0" w:color="auto"/>
        <w:bottom w:val="none" w:sz="0" w:space="0" w:color="auto"/>
        <w:right w:val="none" w:sz="0" w:space="0" w:color="auto"/>
      </w:divBdr>
    </w:div>
    <w:div w:id="1181429870">
      <w:bodyDiv w:val="1"/>
      <w:marLeft w:val="0"/>
      <w:marRight w:val="0"/>
      <w:marTop w:val="0"/>
      <w:marBottom w:val="0"/>
      <w:divBdr>
        <w:top w:val="none" w:sz="0" w:space="0" w:color="auto"/>
        <w:left w:val="none" w:sz="0" w:space="0" w:color="auto"/>
        <w:bottom w:val="none" w:sz="0" w:space="0" w:color="auto"/>
        <w:right w:val="none" w:sz="0" w:space="0" w:color="auto"/>
      </w:divBdr>
    </w:div>
    <w:div w:id="1194222986">
      <w:bodyDiv w:val="1"/>
      <w:marLeft w:val="0"/>
      <w:marRight w:val="0"/>
      <w:marTop w:val="0"/>
      <w:marBottom w:val="0"/>
      <w:divBdr>
        <w:top w:val="none" w:sz="0" w:space="0" w:color="auto"/>
        <w:left w:val="none" w:sz="0" w:space="0" w:color="auto"/>
        <w:bottom w:val="none" w:sz="0" w:space="0" w:color="auto"/>
        <w:right w:val="none" w:sz="0" w:space="0" w:color="auto"/>
      </w:divBdr>
    </w:div>
    <w:div w:id="1206062022">
      <w:bodyDiv w:val="1"/>
      <w:marLeft w:val="0"/>
      <w:marRight w:val="0"/>
      <w:marTop w:val="0"/>
      <w:marBottom w:val="0"/>
      <w:divBdr>
        <w:top w:val="none" w:sz="0" w:space="0" w:color="auto"/>
        <w:left w:val="none" w:sz="0" w:space="0" w:color="auto"/>
        <w:bottom w:val="none" w:sz="0" w:space="0" w:color="auto"/>
        <w:right w:val="none" w:sz="0" w:space="0" w:color="auto"/>
      </w:divBdr>
    </w:div>
    <w:div w:id="1228344409">
      <w:bodyDiv w:val="1"/>
      <w:marLeft w:val="0"/>
      <w:marRight w:val="0"/>
      <w:marTop w:val="0"/>
      <w:marBottom w:val="0"/>
      <w:divBdr>
        <w:top w:val="none" w:sz="0" w:space="0" w:color="auto"/>
        <w:left w:val="none" w:sz="0" w:space="0" w:color="auto"/>
        <w:bottom w:val="none" w:sz="0" w:space="0" w:color="auto"/>
        <w:right w:val="none" w:sz="0" w:space="0" w:color="auto"/>
      </w:divBdr>
    </w:div>
    <w:div w:id="1238828534">
      <w:bodyDiv w:val="1"/>
      <w:marLeft w:val="0"/>
      <w:marRight w:val="0"/>
      <w:marTop w:val="0"/>
      <w:marBottom w:val="0"/>
      <w:divBdr>
        <w:top w:val="none" w:sz="0" w:space="0" w:color="auto"/>
        <w:left w:val="none" w:sz="0" w:space="0" w:color="auto"/>
        <w:bottom w:val="none" w:sz="0" w:space="0" w:color="auto"/>
        <w:right w:val="none" w:sz="0" w:space="0" w:color="auto"/>
      </w:divBdr>
    </w:div>
    <w:div w:id="1262955102">
      <w:bodyDiv w:val="1"/>
      <w:marLeft w:val="0"/>
      <w:marRight w:val="0"/>
      <w:marTop w:val="0"/>
      <w:marBottom w:val="0"/>
      <w:divBdr>
        <w:top w:val="none" w:sz="0" w:space="0" w:color="auto"/>
        <w:left w:val="none" w:sz="0" w:space="0" w:color="auto"/>
        <w:bottom w:val="none" w:sz="0" w:space="0" w:color="auto"/>
        <w:right w:val="none" w:sz="0" w:space="0" w:color="auto"/>
      </w:divBdr>
    </w:div>
    <w:div w:id="1266881562">
      <w:bodyDiv w:val="1"/>
      <w:marLeft w:val="0"/>
      <w:marRight w:val="0"/>
      <w:marTop w:val="0"/>
      <w:marBottom w:val="0"/>
      <w:divBdr>
        <w:top w:val="none" w:sz="0" w:space="0" w:color="auto"/>
        <w:left w:val="none" w:sz="0" w:space="0" w:color="auto"/>
        <w:bottom w:val="none" w:sz="0" w:space="0" w:color="auto"/>
        <w:right w:val="none" w:sz="0" w:space="0" w:color="auto"/>
      </w:divBdr>
    </w:div>
    <w:div w:id="1267421477">
      <w:bodyDiv w:val="1"/>
      <w:marLeft w:val="0"/>
      <w:marRight w:val="0"/>
      <w:marTop w:val="0"/>
      <w:marBottom w:val="0"/>
      <w:divBdr>
        <w:top w:val="none" w:sz="0" w:space="0" w:color="auto"/>
        <w:left w:val="none" w:sz="0" w:space="0" w:color="auto"/>
        <w:bottom w:val="none" w:sz="0" w:space="0" w:color="auto"/>
        <w:right w:val="none" w:sz="0" w:space="0" w:color="auto"/>
      </w:divBdr>
    </w:div>
    <w:div w:id="1267543001">
      <w:bodyDiv w:val="1"/>
      <w:marLeft w:val="0"/>
      <w:marRight w:val="0"/>
      <w:marTop w:val="0"/>
      <w:marBottom w:val="0"/>
      <w:divBdr>
        <w:top w:val="none" w:sz="0" w:space="0" w:color="auto"/>
        <w:left w:val="none" w:sz="0" w:space="0" w:color="auto"/>
        <w:bottom w:val="none" w:sz="0" w:space="0" w:color="auto"/>
        <w:right w:val="none" w:sz="0" w:space="0" w:color="auto"/>
      </w:divBdr>
    </w:div>
    <w:div w:id="1299267200">
      <w:bodyDiv w:val="1"/>
      <w:marLeft w:val="0"/>
      <w:marRight w:val="0"/>
      <w:marTop w:val="0"/>
      <w:marBottom w:val="0"/>
      <w:divBdr>
        <w:top w:val="none" w:sz="0" w:space="0" w:color="auto"/>
        <w:left w:val="none" w:sz="0" w:space="0" w:color="auto"/>
        <w:bottom w:val="none" w:sz="0" w:space="0" w:color="auto"/>
        <w:right w:val="none" w:sz="0" w:space="0" w:color="auto"/>
      </w:divBdr>
      <w:divsChild>
        <w:div w:id="1849245702">
          <w:marLeft w:val="0"/>
          <w:marRight w:val="0"/>
          <w:marTop w:val="0"/>
          <w:marBottom w:val="0"/>
          <w:divBdr>
            <w:top w:val="none" w:sz="0" w:space="0" w:color="auto"/>
            <w:left w:val="none" w:sz="0" w:space="0" w:color="auto"/>
            <w:bottom w:val="none" w:sz="0" w:space="0" w:color="auto"/>
            <w:right w:val="none" w:sz="0" w:space="0" w:color="auto"/>
          </w:divBdr>
          <w:divsChild>
            <w:div w:id="1860191927">
              <w:marLeft w:val="0"/>
              <w:marRight w:val="0"/>
              <w:marTop w:val="0"/>
              <w:marBottom w:val="0"/>
              <w:divBdr>
                <w:top w:val="none" w:sz="0" w:space="0" w:color="auto"/>
                <w:left w:val="none" w:sz="0" w:space="0" w:color="auto"/>
                <w:bottom w:val="none" w:sz="0" w:space="0" w:color="auto"/>
                <w:right w:val="none" w:sz="0" w:space="0" w:color="auto"/>
              </w:divBdr>
              <w:divsChild>
                <w:div w:id="749932084">
                  <w:marLeft w:val="0"/>
                  <w:marRight w:val="0"/>
                  <w:marTop w:val="0"/>
                  <w:marBottom w:val="0"/>
                  <w:divBdr>
                    <w:top w:val="none" w:sz="0" w:space="0" w:color="auto"/>
                    <w:left w:val="none" w:sz="0" w:space="0" w:color="auto"/>
                    <w:bottom w:val="none" w:sz="0" w:space="0" w:color="auto"/>
                    <w:right w:val="none" w:sz="0" w:space="0" w:color="auto"/>
                  </w:divBdr>
                  <w:divsChild>
                    <w:div w:id="926308506">
                      <w:marLeft w:val="0"/>
                      <w:marRight w:val="0"/>
                      <w:marTop w:val="0"/>
                      <w:marBottom w:val="0"/>
                      <w:divBdr>
                        <w:top w:val="none" w:sz="0" w:space="0" w:color="auto"/>
                        <w:left w:val="none" w:sz="0" w:space="0" w:color="auto"/>
                        <w:bottom w:val="none" w:sz="0" w:space="0" w:color="auto"/>
                        <w:right w:val="none" w:sz="0" w:space="0" w:color="auto"/>
                      </w:divBdr>
                      <w:divsChild>
                        <w:div w:id="82344366">
                          <w:marLeft w:val="0"/>
                          <w:marRight w:val="0"/>
                          <w:marTop w:val="0"/>
                          <w:marBottom w:val="0"/>
                          <w:divBdr>
                            <w:top w:val="none" w:sz="0" w:space="0" w:color="auto"/>
                            <w:left w:val="none" w:sz="0" w:space="0" w:color="auto"/>
                            <w:bottom w:val="none" w:sz="0" w:space="0" w:color="auto"/>
                            <w:right w:val="none" w:sz="0" w:space="0" w:color="auto"/>
                          </w:divBdr>
                          <w:divsChild>
                            <w:div w:id="1189414429">
                              <w:marLeft w:val="0"/>
                              <w:marRight w:val="0"/>
                              <w:marTop w:val="0"/>
                              <w:marBottom w:val="0"/>
                              <w:divBdr>
                                <w:top w:val="none" w:sz="0" w:space="0" w:color="auto"/>
                                <w:left w:val="none" w:sz="0" w:space="0" w:color="auto"/>
                                <w:bottom w:val="none" w:sz="0" w:space="0" w:color="auto"/>
                                <w:right w:val="none" w:sz="0" w:space="0" w:color="auto"/>
                              </w:divBdr>
                              <w:divsChild>
                                <w:div w:id="1439642099">
                                  <w:marLeft w:val="0"/>
                                  <w:marRight w:val="0"/>
                                  <w:marTop w:val="0"/>
                                  <w:marBottom w:val="0"/>
                                  <w:divBdr>
                                    <w:top w:val="none" w:sz="0" w:space="0" w:color="auto"/>
                                    <w:left w:val="none" w:sz="0" w:space="0" w:color="auto"/>
                                    <w:bottom w:val="none" w:sz="0" w:space="0" w:color="auto"/>
                                    <w:right w:val="none" w:sz="0" w:space="0" w:color="auto"/>
                                  </w:divBdr>
                                  <w:divsChild>
                                    <w:div w:id="1010528263">
                                      <w:marLeft w:val="0"/>
                                      <w:marRight w:val="0"/>
                                      <w:marTop w:val="0"/>
                                      <w:marBottom w:val="0"/>
                                      <w:divBdr>
                                        <w:top w:val="none" w:sz="0" w:space="0" w:color="auto"/>
                                        <w:left w:val="none" w:sz="0" w:space="0" w:color="auto"/>
                                        <w:bottom w:val="none" w:sz="0" w:space="0" w:color="auto"/>
                                        <w:right w:val="none" w:sz="0" w:space="0" w:color="auto"/>
                                      </w:divBdr>
                                      <w:divsChild>
                                        <w:div w:id="1572151924">
                                          <w:marLeft w:val="0"/>
                                          <w:marRight w:val="0"/>
                                          <w:marTop w:val="0"/>
                                          <w:marBottom w:val="0"/>
                                          <w:divBdr>
                                            <w:top w:val="none" w:sz="0" w:space="0" w:color="auto"/>
                                            <w:left w:val="none" w:sz="0" w:space="0" w:color="auto"/>
                                            <w:bottom w:val="none" w:sz="0" w:space="0" w:color="auto"/>
                                            <w:right w:val="none" w:sz="0" w:space="0" w:color="auto"/>
                                          </w:divBdr>
                                          <w:divsChild>
                                            <w:div w:id="1844977552">
                                              <w:marLeft w:val="0"/>
                                              <w:marRight w:val="0"/>
                                              <w:marTop w:val="0"/>
                                              <w:marBottom w:val="0"/>
                                              <w:divBdr>
                                                <w:top w:val="none" w:sz="0" w:space="0" w:color="auto"/>
                                                <w:left w:val="none" w:sz="0" w:space="0" w:color="auto"/>
                                                <w:bottom w:val="none" w:sz="0" w:space="0" w:color="auto"/>
                                                <w:right w:val="none" w:sz="0" w:space="0" w:color="auto"/>
                                              </w:divBdr>
                                              <w:divsChild>
                                                <w:div w:id="1482236189">
                                                  <w:marLeft w:val="0"/>
                                                  <w:marRight w:val="0"/>
                                                  <w:marTop w:val="0"/>
                                                  <w:marBottom w:val="0"/>
                                                  <w:divBdr>
                                                    <w:top w:val="none" w:sz="0" w:space="0" w:color="auto"/>
                                                    <w:left w:val="none" w:sz="0" w:space="0" w:color="auto"/>
                                                    <w:bottom w:val="none" w:sz="0" w:space="0" w:color="auto"/>
                                                    <w:right w:val="none" w:sz="0" w:space="0" w:color="auto"/>
                                                  </w:divBdr>
                                                  <w:divsChild>
                                                    <w:div w:id="1579630819">
                                                      <w:marLeft w:val="0"/>
                                                      <w:marRight w:val="0"/>
                                                      <w:marTop w:val="0"/>
                                                      <w:marBottom w:val="0"/>
                                                      <w:divBdr>
                                                        <w:top w:val="none" w:sz="0" w:space="0" w:color="auto"/>
                                                        <w:left w:val="none" w:sz="0" w:space="0" w:color="auto"/>
                                                        <w:bottom w:val="none" w:sz="0" w:space="0" w:color="auto"/>
                                                        <w:right w:val="none" w:sz="0" w:space="0" w:color="auto"/>
                                                      </w:divBdr>
                                                      <w:divsChild>
                                                        <w:div w:id="911046256">
                                                          <w:marLeft w:val="0"/>
                                                          <w:marRight w:val="0"/>
                                                          <w:marTop w:val="0"/>
                                                          <w:marBottom w:val="0"/>
                                                          <w:divBdr>
                                                            <w:top w:val="none" w:sz="0" w:space="0" w:color="auto"/>
                                                            <w:left w:val="none" w:sz="0" w:space="0" w:color="auto"/>
                                                            <w:bottom w:val="none" w:sz="0" w:space="0" w:color="auto"/>
                                                            <w:right w:val="none" w:sz="0" w:space="0" w:color="auto"/>
                                                          </w:divBdr>
                                                          <w:divsChild>
                                                            <w:div w:id="399444941">
                                                              <w:marLeft w:val="0"/>
                                                              <w:marRight w:val="120"/>
                                                              <w:marTop w:val="0"/>
                                                              <w:marBottom w:val="120"/>
                                                              <w:divBdr>
                                                                <w:top w:val="none" w:sz="0" w:space="0" w:color="auto"/>
                                                                <w:left w:val="none" w:sz="0" w:space="0" w:color="auto"/>
                                                                <w:bottom w:val="none" w:sz="0" w:space="0" w:color="auto"/>
                                                                <w:right w:val="none" w:sz="0" w:space="0" w:color="auto"/>
                                                              </w:divBdr>
                                                              <w:divsChild>
                                                                <w:div w:id="1010176352">
                                                                  <w:marLeft w:val="0"/>
                                                                  <w:marRight w:val="0"/>
                                                                  <w:marTop w:val="0"/>
                                                                  <w:marBottom w:val="0"/>
                                                                  <w:divBdr>
                                                                    <w:top w:val="none" w:sz="0" w:space="0" w:color="auto"/>
                                                                    <w:left w:val="none" w:sz="0" w:space="0" w:color="auto"/>
                                                                    <w:bottom w:val="none" w:sz="0" w:space="0" w:color="auto"/>
                                                                    <w:right w:val="none" w:sz="0" w:space="0" w:color="auto"/>
                                                                  </w:divBdr>
                                                                  <w:divsChild>
                                                                    <w:div w:id="1697001483">
                                                                      <w:marLeft w:val="0"/>
                                                                      <w:marRight w:val="0"/>
                                                                      <w:marTop w:val="0"/>
                                                                      <w:marBottom w:val="0"/>
                                                                      <w:divBdr>
                                                                        <w:top w:val="none" w:sz="0" w:space="0" w:color="auto"/>
                                                                        <w:left w:val="none" w:sz="0" w:space="0" w:color="auto"/>
                                                                        <w:bottom w:val="none" w:sz="0" w:space="0" w:color="auto"/>
                                                                        <w:right w:val="none" w:sz="0" w:space="0" w:color="auto"/>
                                                                      </w:divBdr>
                                                                      <w:divsChild>
                                                                        <w:div w:id="309527061">
                                                                          <w:marLeft w:val="0"/>
                                                                          <w:marRight w:val="0"/>
                                                                          <w:marTop w:val="0"/>
                                                                          <w:marBottom w:val="0"/>
                                                                          <w:divBdr>
                                                                            <w:top w:val="none" w:sz="0" w:space="0" w:color="auto"/>
                                                                            <w:left w:val="none" w:sz="0" w:space="0" w:color="auto"/>
                                                                            <w:bottom w:val="none" w:sz="0" w:space="0" w:color="auto"/>
                                                                            <w:right w:val="none" w:sz="0" w:space="0" w:color="auto"/>
                                                                          </w:divBdr>
                                                                          <w:divsChild>
                                                                            <w:div w:id="1986202682">
                                                                              <w:marLeft w:val="0"/>
                                                                              <w:marRight w:val="0"/>
                                                                              <w:marTop w:val="0"/>
                                                                              <w:marBottom w:val="0"/>
                                                                              <w:divBdr>
                                                                                <w:top w:val="none" w:sz="0" w:space="0" w:color="auto"/>
                                                                                <w:left w:val="none" w:sz="0" w:space="0" w:color="auto"/>
                                                                                <w:bottom w:val="none" w:sz="0" w:space="0" w:color="auto"/>
                                                                                <w:right w:val="none" w:sz="0" w:space="0" w:color="auto"/>
                                                                              </w:divBdr>
                                                                              <w:divsChild>
                                                                                <w:div w:id="1549218145">
                                                                                  <w:marLeft w:val="0"/>
                                                                                  <w:marRight w:val="0"/>
                                                                                  <w:marTop w:val="0"/>
                                                                                  <w:marBottom w:val="0"/>
                                                                                  <w:divBdr>
                                                                                    <w:top w:val="none" w:sz="0" w:space="0" w:color="auto"/>
                                                                                    <w:left w:val="none" w:sz="0" w:space="0" w:color="auto"/>
                                                                                    <w:bottom w:val="none" w:sz="0" w:space="0" w:color="auto"/>
                                                                                    <w:right w:val="none" w:sz="0" w:space="0" w:color="auto"/>
                                                                                  </w:divBdr>
                                                                                  <w:divsChild>
                                                                                    <w:div w:id="1060981313">
                                                                                      <w:marLeft w:val="720"/>
                                                                                      <w:marRight w:val="0"/>
                                                                                      <w:marTop w:val="0"/>
                                                                                      <w:marBottom w:val="0"/>
                                                                                      <w:divBdr>
                                                                                        <w:top w:val="none" w:sz="0" w:space="0" w:color="auto"/>
                                                                                        <w:left w:val="none" w:sz="0" w:space="0" w:color="auto"/>
                                                                                        <w:bottom w:val="none" w:sz="0" w:space="0" w:color="auto"/>
                                                                                        <w:right w:val="none" w:sz="0" w:space="0" w:color="auto"/>
                                                                                      </w:divBdr>
                                                                                    </w:div>
                                                                                    <w:div w:id="1291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953146">
      <w:bodyDiv w:val="1"/>
      <w:marLeft w:val="0"/>
      <w:marRight w:val="0"/>
      <w:marTop w:val="0"/>
      <w:marBottom w:val="0"/>
      <w:divBdr>
        <w:top w:val="none" w:sz="0" w:space="0" w:color="auto"/>
        <w:left w:val="none" w:sz="0" w:space="0" w:color="auto"/>
        <w:bottom w:val="none" w:sz="0" w:space="0" w:color="auto"/>
        <w:right w:val="none" w:sz="0" w:space="0" w:color="auto"/>
      </w:divBdr>
    </w:div>
    <w:div w:id="1403718986">
      <w:bodyDiv w:val="1"/>
      <w:marLeft w:val="0"/>
      <w:marRight w:val="0"/>
      <w:marTop w:val="0"/>
      <w:marBottom w:val="0"/>
      <w:divBdr>
        <w:top w:val="none" w:sz="0" w:space="0" w:color="auto"/>
        <w:left w:val="none" w:sz="0" w:space="0" w:color="auto"/>
        <w:bottom w:val="none" w:sz="0" w:space="0" w:color="auto"/>
        <w:right w:val="none" w:sz="0" w:space="0" w:color="auto"/>
      </w:divBdr>
    </w:div>
    <w:div w:id="1425149861">
      <w:bodyDiv w:val="1"/>
      <w:marLeft w:val="0"/>
      <w:marRight w:val="0"/>
      <w:marTop w:val="0"/>
      <w:marBottom w:val="0"/>
      <w:divBdr>
        <w:top w:val="none" w:sz="0" w:space="0" w:color="auto"/>
        <w:left w:val="none" w:sz="0" w:space="0" w:color="auto"/>
        <w:bottom w:val="none" w:sz="0" w:space="0" w:color="auto"/>
        <w:right w:val="none" w:sz="0" w:space="0" w:color="auto"/>
      </w:divBdr>
    </w:div>
    <w:div w:id="1452091773">
      <w:bodyDiv w:val="1"/>
      <w:marLeft w:val="0"/>
      <w:marRight w:val="0"/>
      <w:marTop w:val="0"/>
      <w:marBottom w:val="0"/>
      <w:divBdr>
        <w:top w:val="none" w:sz="0" w:space="0" w:color="auto"/>
        <w:left w:val="none" w:sz="0" w:space="0" w:color="auto"/>
        <w:bottom w:val="none" w:sz="0" w:space="0" w:color="auto"/>
        <w:right w:val="none" w:sz="0" w:space="0" w:color="auto"/>
      </w:divBdr>
    </w:div>
    <w:div w:id="1465004885">
      <w:bodyDiv w:val="1"/>
      <w:marLeft w:val="0"/>
      <w:marRight w:val="0"/>
      <w:marTop w:val="0"/>
      <w:marBottom w:val="0"/>
      <w:divBdr>
        <w:top w:val="none" w:sz="0" w:space="0" w:color="auto"/>
        <w:left w:val="none" w:sz="0" w:space="0" w:color="auto"/>
        <w:bottom w:val="none" w:sz="0" w:space="0" w:color="auto"/>
        <w:right w:val="none" w:sz="0" w:space="0" w:color="auto"/>
      </w:divBdr>
    </w:div>
    <w:div w:id="1466390794">
      <w:bodyDiv w:val="1"/>
      <w:marLeft w:val="0"/>
      <w:marRight w:val="0"/>
      <w:marTop w:val="0"/>
      <w:marBottom w:val="0"/>
      <w:divBdr>
        <w:top w:val="none" w:sz="0" w:space="0" w:color="auto"/>
        <w:left w:val="none" w:sz="0" w:space="0" w:color="auto"/>
        <w:bottom w:val="none" w:sz="0" w:space="0" w:color="auto"/>
        <w:right w:val="none" w:sz="0" w:space="0" w:color="auto"/>
      </w:divBdr>
    </w:div>
    <w:div w:id="1491172802">
      <w:bodyDiv w:val="1"/>
      <w:marLeft w:val="0"/>
      <w:marRight w:val="0"/>
      <w:marTop w:val="0"/>
      <w:marBottom w:val="0"/>
      <w:divBdr>
        <w:top w:val="none" w:sz="0" w:space="0" w:color="auto"/>
        <w:left w:val="none" w:sz="0" w:space="0" w:color="auto"/>
        <w:bottom w:val="none" w:sz="0" w:space="0" w:color="auto"/>
        <w:right w:val="none" w:sz="0" w:space="0" w:color="auto"/>
      </w:divBdr>
    </w:div>
    <w:div w:id="1533960330">
      <w:bodyDiv w:val="1"/>
      <w:marLeft w:val="0"/>
      <w:marRight w:val="0"/>
      <w:marTop w:val="0"/>
      <w:marBottom w:val="0"/>
      <w:divBdr>
        <w:top w:val="none" w:sz="0" w:space="0" w:color="auto"/>
        <w:left w:val="none" w:sz="0" w:space="0" w:color="auto"/>
        <w:bottom w:val="none" w:sz="0" w:space="0" w:color="auto"/>
        <w:right w:val="none" w:sz="0" w:space="0" w:color="auto"/>
      </w:divBdr>
    </w:div>
    <w:div w:id="1556966540">
      <w:bodyDiv w:val="1"/>
      <w:marLeft w:val="0"/>
      <w:marRight w:val="0"/>
      <w:marTop w:val="0"/>
      <w:marBottom w:val="0"/>
      <w:divBdr>
        <w:top w:val="none" w:sz="0" w:space="0" w:color="auto"/>
        <w:left w:val="none" w:sz="0" w:space="0" w:color="auto"/>
        <w:bottom w:val="none" w:sz="0" w:space="0" w:color="auto"/>
        <w:right w:val="none" w:sz="0" w:space="0" w:color="auto"/>
      </w:divBdr>
    </w:div>
    <w:div w:id="1584799840">
      <w:bodyDiv w:val="1"/>
      <w:marLeft w:val="0"/>
      <w:marRight w:val="0"/>
      <w:marTop w:val="0"/>
      <w:marBottom w:val="0"/>
      <w:divBdr>
        <w:top w:val="none" w:sz="0" w:space="0" w:color="auto"/>
        <w:left w:val="none" w:sz="0" w:space="0" w:color="auto"/>
        <w:bottom w:val="none" w:sz="0" w:space="0" w:color="auto"/>
        <w:right w:val="none" w:sz="0" w:space="0" w:color="auto"/>
      </w:divBdr>
    </w:div>
    <w:div w:id="1616517855">
      <w:bodyDiv w:val="1"/>
      <w:marLeft w:val="0"/>
      <w:marRight w:val="0"/>
      <w:marTop w:val="0"/>
      <w:marBottom w:val="0"/>
      <w:divBdr>
        <w:top w:val="none" w:sz="0" w:space="0" w:color="auto"/>
        <w:left w:val="none" w:sz="0" w:space="0" w:color="auto"/>
        <w:bottom w:val="none" w:sz="0" w:space="0" w:color="auto"/>
        <w:right w:val="none" w:sz="0" w:space="0" w:color="auto"/>
      </w:divBdr>
    </w:div>
    <w:div w:id="1621691342">
      <w:bodyDiv w:val="1"/>
      <w:marLeft w:val="0"/>
      <w:marRight w:val="0"/>
      <w:marTop w:val="0"/>
      <w:marBottom w:val="0"/>
      <w:divBdr>
        <w:top w:val="none" w:sz="0" w:space="0" w:color="auto"/>
        <w:left w:val="none" w:sz="0" w:space="0" w:color="auto"/>
        <w:bottom w:val="none" w:sz="0" w:space="0" w:color="auto"/>
        <w:right w:val="none" w:sz="0" w:space="0" w:color="auto"/>
      </w:divBdr>
    </w:div>
    <w:div w:id="1637489092">
      <w:bodyDiv w:val="1"/>
      <w:marLeft w:val="0"/>
      <w:marRight w:val="0"/>
      <w:marTop w:val="0"/>
      <w:marBottom w:val="0"/>
      <w:divBdr>
        <w:top w:val="none" w:sz="0" w:space="0" w:color="auto"/>
        <w:left w:val="none" w:sz="0" w:space="0" w:color="auto"/>
        <w:bottom w:val="none" w:sz="0" w:space="0" w:color="auto"/>
        <w:right w:val="none" w:sz="0" w:space="0" w:color="auto"/>
      </w:divBdr>
    </w:div>
    <w:div w:id="1702366019">
      <w:bodyDiv w:val="1"/>
      <w:marLeft w:val="0"/>
      <w:marRight w:val="0"/>
      <w:marTop w:val="0"/>
      <w:marBottom w:val="0"/>
      <w:divBdr>
        <w:top w:val="none" w:sz="0" w:space="0" w:color="auto"/>
        <w:left w:val="none" w:sz="0" w:space="0" w:color="auto"/>
        <w:bottom w:val="none" w:sz="0" w:space="0" w:color="auto"/>
        <w:right w:val="none" w:sz="0" w:space="0" w:color="auto"/>
      </w:divBdr>
    </w:div>
    <w:div w:id="1718580286">
      <w:bodyDiv w:val="1"/>
      <w:marLeft w:val="0"/>
      <w:marRight w:val="0"/>
      <w:marTop w:val="0"/>
      <w:marBottom w:val="0"/>
      <w:divBdr>
        <w:top w:val="none" w:sz="0" w:space="0" w:color="auto"/>
        <w:left w:val="none" w:sz="0" w:space="0" w:color="auto"/>
        <w:bottom w:val="none" w:sz="0" w:space="0" w:color="auto"/>
        <w:right w:val="none" w:sz="0" w:space="0" w:color="auto"/>
      </w:divBdr>
      <w:divsChild>
        <w:div w:id="203829658">
          <w:marLeft w:val="0"/>
          <w:marRight w:val="0"/>
          <w:marTop w:val="0"/>
          <w:marBottom w:val="0"/>
          <w:divBdr>
            <w:top w:val="none" w:sz="0" w:space="0" w:color="auto"/>
            <w:left w:val="none" w:sz="0" w:space="0" w:color="auto"/>
            <w:bottom w:val="none" w:sz="0" w:space="0" w:color="auto"/>
            <w:right w:val="none" w:sz="0" w:space="0" w:color="auto"/>
          </w:divBdr>
        </w:div>
        <w:div w:id="439372222">
          <w:marLeft w:val="720"/>
          <w:marRight w:val="0"/>
          <w:marTop w:val="0"/>
          <w:marBottom w:val="0"/>
          <w:divBdr>
            <w:top w:val="none" w:sz="0" w:space="0" w:color="auto"/>
            <w:left w:val="none" w:sz="0" w:space="0" w:color="auto"/>
            <w:bottom w:val="none" w:sz="0" w:space="0" w:color="auto"/>
            <w:right w:val="none" w:sz="0" w:space="0" w:color="auto"/>
          </w:divBdr>
        </w:div>
        <w:div w:id="521822267">
          <w:marLeft w:val="720"/>
          <w:marRight w:val="0"/>
          <w:marTop w:val="0"/>
          <w:marBottom w:val="0"/>
          <w:divBdr>
            <w:top w:val="none" w:sz="0" w:space="0" w:color="auto"/>
            <w:left w:val="none" w:sz="0" w:space="0" w:color="auto"/>
            <w:bottom w:val="none" w:sz="0" w:space="0" w:color="auto"/>
            <w:right w:val="none" w:sz="0" w:space="0" w:color="auto"/>
          </w:divBdr>
        </w:div>
        <w:div w:id="1171988416">
          <w:marLeft w:val="0"/>
          <w:marRight w:val="0"/>
          <w:marTop w:val="0"/>
          <w:marBottom w:val="0"/>
          <w:divBdr>
            <w:top w:val="none" w:sz="0" w:space="0" w:color="auto"/>
            <w:left w:val="none" w:sz="0" w:space="0" w:color="auto"/>
            <w:bottom w:val="none" w:sz="0" w:space="0" w:color="auto"/>
            <w:right w:val="none" w:sz="0" w:space="0" w:color="auto"/>
          </w:divBdr>
        </w:div>
        <w:div w:id="1529947905">
          <w:marLeft w:val="720"/>
          <w:marRight w:val="0"/>
          <w:marTop w:val="0"/>
          <w:marBottom w:val="0"/>
          <w:divBdr>
            <w:top w:val="none" w:sz="0" w:space="0" w:color="auto"/>
            <w:left w:val="none" w:sz="0" w:space="0" w:color="auto"/>
            <w:bottom w:val="none" w:sz="0" w:space="0" w:color="auto"/>
            <w:right w:val="none" w:sz="0" w:space="0" w:color="auto"/>
          </w:divBdr>
        </w:div>
        <w:div w:id="1733116752">
          <w:marLeft w:val="720"/>
          <w:marRight w:val="0"/>
          <w:marTop w:val="0"/>
          <w:marBottom w:val="0"/>
          <w:divBdr>
            <w:top w:val="none" w:sz="0" w:space="0" w:color="auto"/>
            <w:left w:val="none" w:sz="0" w:space="0" w:color="auto"/>
            <w:bottom w:val="none" w:sz="0" w:space="0" w:color="auto"/>
            <w:right w:val="none" w:sz="0" w:space="0" w:color="auto"/>
          </w:divBdr>
        </w:div>
        <w:div w:id="1755934511">
          <w:marLeft w:val="720"/>
          <w:marRight w:val="0"/>
          <w:marTop w:val="0"/>
          <w:marBottom w:val="0"/>
          <w:divBdr>
            <w:top w:val="none" w:sz="0" w:space="0" w:color="auto"/>
            <w:left w:val="none" w:sz="0" w:space="0" w:color="auto"/>
            <w:bottom w:val="none" w:sz="0" w:space="0" w:color="auto"/>
            <w:right w:val="none" w:sz="0" w:space="0" w:color="auto"/>
          </w:divBdr>
        </w:div>
        <w:div w:id="1856310072">
          <w:marLeft w:val="720"/>
          <w:marRight w:val="0"/>
          <w:marTop w:val="0"/>
          <w:marBottom w:val="0"/>
          <w:divBdr>
            <w:top w:val="none" w:sz="0" w:space="0" w:color="auto"/>
            <w:left w:val="none" w:sz="0" w:space="0" w:color="auto"/>
            <w:bottom w:val="none" w:sz="0" w:space="0" w:color="auto"/>
            <w:right w:val="none" w:sz="0" w:space="0" w:color="auto"/>
          </w:divBdr>
        </w:div>
        <w:div w:id="2114857465">
          <w:marLeft w:val="720"/>
          <w:marRight w:val="0"/>
          <w:marTop w:val="0"/>
          <w:marBottom w:val="0"/>
          <w:divBdr>
            <w:top w:val="none" w:sz="0" w:space="0" w:color="auto"/>
            <w:left w:val="none" w:sz="0" w:space="0" w:color="auto"/>
            <w:bottom w:val="none" w:sz="0" w:space="0" w:color="auto"/>
            <w:right w:val="none" w:sz="0" w:space="0" w:color="auto"/>
          </w:divBdr>
        </w:div>
      </w:divsChild>
    </w:div>
    <w:div w:id="1728718279">
      <w:bodyDiv w:val="1"/>
      <w:marLeft w:val="0"/>
      <w:marRight w:val="0"/>
      <w:marTop w:val="0"/>
      <w:marBottom w:val="0"/>
      <w:divBdr>
        <w:top w:val="none" w:sz="0" w:space="0" w:color="auto"/>
        <w:left w:val="none" w:sz="0" w:space="0" w:color="auto"/>
        <w:bottom w:val="none" w:sz="0" w:space="0" w:color="auto"/>
        <w:right w:val="none" w:sz="0" w:space="0" w:color="auto"/>
      </w:divBdr>
    </w:div>
    <w:div w:id="1801457496">
      <w:bodyDiv w:val="1"/>
      <w:marLeft w:val="0"/>
      <w:marRight w:val="0"/>
      <w:marTop w:val="0"/>
      <w:marBottom w:val="0"/>
      <w:divBdr>
        <w:top w:val="none" w:sz="0" w:space="0" w:color="auto"/>
        <w:left w:val="none" w:sz="0" w:space="0" w:color="auto"/>
        <w:bottom w:val="none" w:sz="0" w:space="0" w:color="auto"/>
        <w:right w:val="none" w:sz="0" w:space="0" w:color="auto"/>
      </w:divBdr>
    </w:div>
    <w:div w:id="1806312517">
      <w:bodyDiv w:val="1"/>
      <w:marLeft w:val="0"/>
      <w:marRight w:val="0"/>
      <w:marTop w:val="0"/>
      <w:marBottom w:val="0"/>
      <w:divBdr>
        <w:top w:val="none" w:sz="0" w:space="0" w:color="auto"/>
        <w:left w:val="none" w:sz="0" w:space="0" w:color="auto"/>
        <w:bottom w:val="none" w:sz="0" w:space="0" w:color="auto"/>
        <w:right w:val="none" w:sz="0" w:space="0" w:color="auto"/>
      </w:divBdr>
    </w:div>
    <w:div w:id="1814520568">
      <w:bodyDiv w:val="1"/>
      <w:marLeft w:val="0"/>
      <w:marRight w:val="0"/>
      <w:marTop w:val="0"/>
      <w:marBottom w:val="0"/>
      <w:divBdr>
        <w:top w:val="none" w:sz="0" w:space="0" w:color="auto"/>
        <w:left w:val="none" w:sz="0" w:space="0" w:color="auto"/>
        <w:bottom w:val="none" w:sz="0" w:space="0" w:color="auto"/>
        <w:right w:val="none" w:sz="0" w:space="0" w:color="auto"/>
      </w:divBdr>
      <w:divsChild>
        <w:div w:id="997876902">
          <w:marLeft w:val="0"/>
          <w:marRight w:val="0"/>
          <w:marTop w:val="0"/>
          <w:marBottom w:val="0"/>
          <w:divBdr>
            <w:top w:val="none" w:sz="0" w:space="0" w:color="auto"/>
            <w:left w:val="none" w:sz="0" w:space="0" w:color="auto"/>
            <w:bottom w:val="none" w:sz="0" w:space="0" w:color="auto"/>
            <w:right w:val="none" w:sz="0" w:space="0" w:color="auto"/>
          </w:divBdr>
        </w:div>
        <w:div w:id="1561087914">
          <w:marLeft w:val="0"/>
          <w:marRight w:val="0"/>
          <w:marTop w:val="0"/>
          <w:marBottom w:val="0"/>
          <w:divBdr>
            <w:top w:val="none" w:sz="0" w:space="0" w:color="auto"/>
            <w:left w:val="none" w:sz="0" w:space="0" w:color="auto"/>
            <w:bottom w:val="none" w:sz="0" w:space="0" w:color="auto"/>
            <w:right w:val="none" w:sz="0" w:space="0" w:color="auto"/>
          </w:divBdr>
        </w:div>
        <w:div w:id="1184175598">
          <w:marLeft w:val="0"/>
          <w:marRight w:val="0"/>
          <w:marTop w:val="0"/>
          <w:marBottom w:val="0"/>
          <w:divBdr>
            <w:top w:val="none" w:sz="0" w:space="0" w:color="auto"/>
            <w:left w:val="none" w:sz="0" w:space="0" w:color="auto"/>
            <w:bottom w:val="none" w:sz="0" w:space="0" w:color="auto"/>
            <w:right w:val="none" w:sz="0" w:space="0" w:color="auto"/>
          </w:divBdr>
        </w:div>
      </w:divsChild>
    </w:div>
    <w:div w:id="1843088540">
      <w:bodyDiv w:val="1"/>
      <w:marLeft w:val="0"/>
      <w:marRight w:val="0"/>
      <w:marTop w:val="0"/>
      <w:marBottom w:val="0"/>
      <w:divBdr>
        <w:top w:val="none" w:sz="0" w:space="0" w:color="auto"/>
        <w:left w:val="none" w:sz="0" w:space="0" w:color="auto"/>
        <w:bottom w:val="none" w:sz="0" w:space="0" w:color="auto"/>
        <w:right w:val="none" w:sz="0" w:space="0" w:color="auto"/>
      </w:divBdr>
    </w:div>
    <w:div w:id="1846162117">
      <w:bodyDiv w:val="1"/>
      <w:marLeft w:val="0"/>
      <w:marRight w:val="0"/>
      <w:marTop w:val="0"/>
      <w:marBottom w:val="0"/>
      <w:divBdr>
        <w:top w:val="none" w:sz="0" w:space="0" w:color="auto"/>
        <w:left w:val="none" w:sz="0" w:space="0" w:color="auto"/>
        <w:bottom w:val="none" w:sz="0" w:space="0" w:color="auto"/>
        <w:right w:val="none" w:sz="0" w:space="0" w:color="auto"/>
      </w:divBdr>
      <w:divsChild>
        <w:div w:id="882710045">
          <w:marLeft w:val="0"/>
          <w:marRight w:val="0"/>
          <w:marTop w:val="0"/>
          <w:marBottom w:val="0"/>
          <w:divBdr>
            <w:top w:val="none" w:sz="0" w:space="0" w:color="auto"/>
            <w:left w:val="none" w:sz="0" w:space="0" w:color="auto"/>
            <w:bottom w:val="none" w:sz="0" w:space="0" w:color="auto"/>
            <w:right w:val="none" w:sz="0" w:space="0" w:color="auto"/>
          </w:divBdr>
          <w:divsChild>
            <w:div w:id="446046455">
              <w:marLeft w:val="0"/>
              <w:marRight w:val="0"/>
              <w:marTop w:val="0"/>
              <w:marBottom w:val="0"/>
              <w:divBdr>
                <w:top w:val="none" w:sz="0" w:space="0" w:color="auto"/>
                <w:left w:val="none" w:sz="0" w:space="0" w:color="auto"/>
                <w:bottom w:val="none" w:sz="0" w:space="0" w:color="auto"/>
                <w:right w:val="none" w:sz="0" w:space="0" w:color="auto"/>
              </w:divBdr>
              <w:divsChild>
                <w:div w:id="1822379688">
                  <w:marLeft w:val="0"/>
                  <w:marRight w:val="0"/>
                  <w:marTop w:val="0"/>
                  <w:marBottom w:val="0"/>
                  <w:divBdr>
                    <w:top w:val="none" w:sz="0" w:space="0" w:color="auto"/>
                    <w:left w:val="none" w:sz="0" w:space="0" w:color="auto"/>
                    <w:bottom w:val="none" w:sz="0" w:space="0" w:color="auto"/>
                    <w:right w:val="none" w:sz="0" w:space="0" w:color="auto"/>
                  </w:divBdr>
                  <w:divsChild>
                    <w:div w:id="1932933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98517743">
      <w:bodyDiv w:val="1"/>
      <w:marLeft w:val="0"/>
      <w:marRight w:val="0"/>
      <w:marTop w:val="0"/>
      <w:marBottom w:val="0"/>
      <w:divBdr>
        <w:top w:val="none" w:sz="0" w:space="0" w:color="auto"/>
        <w:left w:val="none" w:sz="0" w:space="0" w:color="auto"/>
        <w:bottom w:val="none" w:sz="0" w:space="0" w:color="auto"/>
        <w:right w:val="none" w:sz="0" w:space="0" w:color="auto"/>
      </w:divBdr>
    </w:div>
    <w:div w:id="1951081612">
      <w:bodyDiv w:val="1"/>
      <w:marLeft w:val="0"/>
      <w:marRight w:val="0"/>
      <w:marTop w:val="0"/>
      <w:marBottom w:val="0"/>
      <w:divBdr>
        <w:top w:val="none" w:sz="0" w:space="0" w:color="auto"/>
        <w:left w:val="none" w:sz="0" w:space="0" w:color="auto"/>
        <w:bottom w:val="none" w:sz="0" w:space="0" w:color="auto"/>
        <w:right w:val="none" w:sz="0" w:space="0" w:color="auto"/>
      </w:divBdr>
    </w:div>
    <w:div w:id="1956788388">
      <w:bodyDiv w:val="1"/>
      <w:marLeft w:val="0"/>
      <w:marRight w:val="0"/>
      <w:marTop w:val="0"/>
      <w:marBottom w:val="0"/>
      <w:divBdr>
        <w:top w:val="none" w:sz="0" w:space="0" w:color="auto"/>
        <w:left w:val="none" w:sz="0" w:space="0" w:color="auto"/>
        <w:bottom w:val="none" w:sz="0" w:space="0" w:color="auto"/>
        <w:right w:val="none" w:sz="0" w:space="0" w:color="auto"/>
      </w:divBdr>
    </w:div>
    <w:div w:id="1973905546">
      <w:bodyDiv w:val="1"/>
      <w:marLeft w:val="0"/>
      <w:marRight w:val="0"/>
      <w:marTop w:val="0"/>
      <w:marBottom w:val="0"/>
      <w:divBdr>
        <w:top w:val="none" w:sz="0" w:space="0" w:color="auto"/>
        <w:left w:val="none" w:sz="0" w:space="0" w:color="auto"/>
        <w:bottom w:val="none" w:sz="0" w:space="0" w:color="auto"/>
        <w:right w:val="none" w:sz="0" w:space="0" w:color="auto"/>
      </w:divBdr>
    </w:div>
    <w:div w:id="1987008529">
      <w:bodyDiv w:val="1"/>
      <w:marLeft w:val="0"/>
      <w:marRight w:val="0"/>
      <w:marTop w:val="0"/>
      <w:marBottom w:val="0"/>
      <w:divBdr>
        <w:top w:val="none" w:sz="0" w:space="0" w:color="auto"/>
        <w:left w:val="none" w:sz="0" w:space="0" w:color="auto"/>
        <w:bottom w:val="none" w:sz="0" w:space="0" w:color="auto"/>
        <w:right w:val="none" w:sz="0" w:space="0" w:color="auto"/>
      </w:divBdr>
    </w:div>
    <w:div w:id="1989093346">
      <w:bodyDiv w:val="1"/>
      <w:marLeft w:val="0"/>
      <w:marRight w:val="0"/>
      <w:marTop w:val="0"/>
      <w:marBottom w:val="0"/>
      <w:divBdr>
        <w:top w:val="none" w:sz="0" w:space="0" w:color="auto"/>
        <w:left w:val="none" w:sz="0" w:space="0" w:color="auto"/>
        <w:bottom w:val="none" w:sz="0" w:space="0" w:color="auto"/>
        <w:right w:val="none" w:sz="0" w:space="0" w:color="auto"/>
      </w:divBdr>
    </w:div>
    <w:div w:id="2024700602">
      <w:bodyDiv w:val="1"/>
      <w:marLeft w:val="0"/>
      <w:marRight w:val="0"/>
      <w:marTop w:val="0"/>
      <w:marBottom w:val="0"/>
      <w:divBdr>
        <w:top w:val="none" w:sz="0" w:space="0" w:color="auto"/>
        <w:left w:val="none" w:sz="0" w:space="0" w:color="auto"/>
        <w:bottom w:val="none" w:sz="0" w:space="0" w:color="auto"/>
        <w:right w:val="none" w:sz="0" w:space="0" w:color="auto"/>
      </w:divBdr>
    </w:div>
    <w:div w:id="2051100904">
      <w:bodyDiv w:val="1"/>
      <w:marLeft w:val="0"/>
      <w:marRight w:val="0"/>
      <w:marTop w:val="0"/>
      <w:marBottom w:val="0"/>
      <w:divBdr>
        <w:top w:val="none" w:sz="0" w:space="0" w:color="auto"/>
        <w:left w:val="none" w:sz="0" w:space="0" w:color="auto"/>
        <w:bottom w:val="none" w:sz="0" w:space="0" w:color="auto"/>
        <w:right w:val="none" w:sz="0" w:space="0" w:color="auto"/>
      </w:divBdr>
    </w:div>
    <w:div w:id="2058778768">
      <w:bodyDiv w:val="1"/>
      <w:marLeft w:val="0"/>
      <w:marRight w:val="0"/>
      <w:marTop w:val="0"/>
      <w:marBottom w:val="0"/>
      <w:divBdr>
        <w:top w:val="none" w:sz="0" w:space="0" w:color="auto"/>
        <w:left w:val="none" w:sz="0" w:space="0" w:color="auto"/>
        <w:bottom w:val="none" w:sz="0" w:space="0" w:color="auto"/>
        <w:right w:val="none" w:sz="0" w:space="0" w:color="auto"/>
      </w:divBdr>
    </w:div>
    <w:div w:id="2089572173">
      <w:bodyDiv w:val="1"/>
      <w:marLeft w:val="0"/>
      <w:marRight w:val="0"/>
      <w:marTop w:val="0"/>
      <w:marBottom w:val="0"/>
      <w:divBdr>
        <w:top w:val="none" w:sz="0" w:space="0" w:color="auto"/>
        <w:left w:val="none" w:sz="0" w:space="0" w:color="auto"/>
        <w:bottom w:val="none" w:sz="0" w:space="0" w:color="auto"/>
        <w:right w:val="none" w:sz="0" w:space="0" w:color="auto"/>
      </w:divBdr>
    </w:div>
    <w:div w:id="2093502815">
      <w:bodyDiv w:val="1"/>
      <w:marLeft w:val="0"/>
      <w:marRight w:val="0"/>
      <w:marTop w:val="0"/>
      <w:marBottom w:val="0"/>
      <w:divBdr>
        <w:top w:val="none" w:sz="0" w:space="0" w:color="auto"/>
        <w:left w:val="none" w:sz="0" w:space="0" w:color="auto"/>
        <w:bottom w:val="none" w:sz="0" w:space="0" w:color="auto"/>
        <w:right w:val="none" w:sz="0" w:space="0" w:color="auto"/>
      </w:divBdr>
    </w:div>
    <w:div w:id="211998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4.xml"/><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header" Target="header4.xml"/></Relationships>
</file>

<file path=word/_rels/footnotes.xml.rels><?xml version="1.0" encoding="UTF-8" standalone="yes"?>
<Relationships xmlns="http://schemas.openxmlformats.org/package/2006/relationships"><Relationship Id="rId2" Type="http://schemas.openxmlformats.org/officeDocument/2006/relationships/hyperlink" Target="http://www.world-exchanges.org/statistics" TargetMode="External"/><Relationship Id="rId1" Type="http://schemas.openxmlformats.org/officeDocument/2006/relationships/hyperlink" Target="http://www.sifma.org/research/statistics.asp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Data\2.%20Debt%20paper\3.%20Analysis\Copy%20of%20Copy%20of%20Copy%20of%20IDC%20Results_11-30-2015.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Data\2.%20Debt%20paper\3.%20Analysis\Copy%20of%20Copy%20of%20Copy%20of%20IDC%20Results%205-30-2016.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0"/>
          <c:tx>
            <c:v>Bond Valuation Model (3) ACCT</c:v>
          </c:tx>
          <c:spPr>
            <a:ln>
              <a:solidFill>
                <a:srgbClr val="FF0000"/>
              </a:solidFill>
            </a:ln>
          </c:spPr>
          <c:marker>
            <c:symbol val="diamond"/>
            <c:size val="7"/>
            <c:spPr>
              <a:solidFill>
                <a:srgbClr val="FF0000"/>
              </a:solidFill>
              <a:ln>
                <a:solidFill>
                  <a:srgbClr val="FF0000"/>
                </a:solidFill>
              </a:ln>
            </c:spPr>
          </c:marker>
          <c:cat>
            <c:numRef>
              <c:f>'8b. Table 5 Ret Liquide+Homg'!$B$9:$B$47</c:f>
              <c:numCache>
                <c:formatCode>General</c:formatCode>
                <c:ptCount val="39"/>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numCache>
            </c:numRef>
          </c:cat>
          <c:val>
            <c:numRef>
              <c:f>'8a. Table 4 Val Liquide+Homg'!$T$9:$T$47</c:f>
              <c:numCache>
                <c:formatCode>General</c:formatCode>
                <c:ptCount val="39"/>
                <c:pt idx="2" formatCode="0.0%">
                  <c:v>0.11137972706000002</c:v>
                </c:pt>
                <c:pt idx="3" formatCode="0.0%">
                  <c:v>8.6420880080000012E-2</c:v>
                </c:pt>
                <c:pt idx="4" formatCode="0.0%">
                  <c:v>0.13807431306000001</c:v>
                </c:pt>
                <c:pt idx="5" formatCode="0.0%">
                  <c:v>0.18300768732</c:v>
                </c:pt>
                <c:pt idx="6" formatCode="0.0%">
                  <c:v>0.16926081200000001</c:v>
                </c:pt>
                <c:pt idx="7" formatCode="0.0%">
                  <c:v>0.17329377545999999</c:v>
                </c:pt>
                <c:pt idx="8" formatCode="0.0%">
                  <c:v>0.19642976494</c:v>
                </c:pt>
                <c:pt idx="9" formatCode="0.0%">
                  <c:v>0.1766814156</c:v>
                </c:pt>
                <c:pt idx="10" formatCode="0.0%">
                  <c:v>0.17240484706</c:v>
                </c:pt>
                <c:pt idx="11" formatCode="0.0%">
                  <c:v>0.21905308776000001</c:v>
                </c:pt>
                <c:pt idx="12" formatCode="0.0%">
                  <c:v>0.24326391072</c:v>
                </c:pt>
                <c:pt idx="13" formatCode="0.0%">
                  <c:v>0.24662614746000006</c:v>
                </c:pt>
                <c:pt idx="14" formatCode="0.0%">
                  <c:v>0.22311173519999999</c:v>
                </c:pt>
                <c:pt idx="15" formatCode="0.0%">
                  <c:v>0.21570008928000001</c:v>
                </c:pt>
                <c:pt idx="16" formatCode="0.0%">
                  <c:v>0.18523533893999999</c:v>
                </c:pt>
                <c:pt idx="17" formatCode="0.0%">
                  <c:v>0.24298832079999996</c:v>
                </c:pt>
                <c:pt idx="18" formatCode="0.0%">
                  <c:v>0.28837391335999996</c:v>
                </c:pt>
                <c:pt idx="19" formatCode="0.0%">
                  <c:v>0.31348167027999996</c:v>
                </c:pt>
                <c:pt idx="20" formatCode="0.0%">
                  <c:v>0.34814782109999998</c:v>
                </c:pt>
                <c:pt idx="21" formatCode="0.0%">
                  <c:v>0.37743914749999996</c:v>
                </c:pt>
                <c:pt idx="22" formatCode="0.0%">
                  <c:v>0.33928233403999997</c:v>
                </c:pt>
                <c:pt idx="23" formatCode="0.0%">
                  <c:v>0.32181411873999999</c:v>
                </c:pt>
                <c:pt idx="24" formatCode="0.0%">
                  <c:v>0.37549019586000004</c:v>
                </c:pt>
                <c:pt idx="25" formatCode="0.0%">
                  <c:v>0.36509168083999999</c:v>
                </c:pt>
                <c:pt idx="26" formatCode="0.0%">
                  <c:v>0.37405703502000004</c:v>
                </c:pt>
                <c:pt idx="27" formatCode="0.0%">
                  <c:v>0.37906599088000004</c:v>
                </c:pt>
                <c:pt idx="28" formatCode="0.0%">
                  <c:v>0.32814033986000002</c:v>
                </c:pt>
                <c:pt idx="29" formatCode="0.0%">
                  <c:v>0.26405700000000004</c:v>
                </c:pt>
                <c:pt idx="30" formatCode="0.0%">
                  <c:v>0.27990136046000003</c:v>
                </c:pt>
                <c:pt idx="31" formatCode="0.0%">
                  <c:v>0.27848495425999997</c:v>
                </c:pt>
                <c:pt idx="32" formatCode="0.0%">
                  <c:v>0.26349724321999995</c:v>
                </c:pt>
                <c:pt idx="33" formatCode="0.0%">
                  <c:v>0.28400100309999998</c:v>
                </c:pt>
                <c:pt idx="34" formatCode="0.0%">
                  <c:v>0.31224071043999996</c:v>
                </c:pt>
                <c:pt idx="35" formatCode="0.0%">
                  <c:v>0.31487338179999996</c:v>
                </c:pt>
                <c:pt idx="36" formatCode="0.0%">
                  <c:v>0.31234184141999999</c:v>
                </c:pt>
              </c:numCache>
            </c:numRef>
          </c:val>
          <c:smooth val="0"/>
        </c:ser>
        <c:ser>
          <c:idx val="4"/>
          <c:order val="1"/>
          <c:tx>
            <c:v>Equity Valuation Model (2)</c:v>
          </c:tx>
          <c:spPr>
            <a:ln w="41275">
              <a:solidFill>
                <a:srgbClr val="002060"/>
              </a:solidFill>
            </a:ln>
          </c:spPr>
          <c:marker>
            <c:symbol val="none"/>
          </c:marker>
          <c:cat>
            <c:numRef>
              <c:f>'8b. Table 5 Ret Liquide+Homg'!$B$9:$B$47</c:f>
              <c:numCache>
                <c:formatCode>General</c:formatCode>
                <c:ptCount val="39"/>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numCache>
            </c:numRef>
          </c:cat>
          <c:val>
            <c:numRef>
              <c:f>'8a. Table 4 Val Liquide+Homg'!$I$9:$I$47</c:f>
              <c:numCache>
                <c:formatCode>General</c:formatCode>
                <c:ptCount val="39"/>
                <c:pt idx="2" formatCode="0.0%">
                  <c:v>0.67158420462000001</c:v>
                </c:pt>
                <c:pt idx="3" formatCode="0.0%">
                  <c:v>0.68637674316000008</c:v>
                </c:pt>
                <c:pt idx="4" formatCode="0.0%">
                  <c:v>0.6593853517399999</c:v>
                </c:pt>
                <c:pt idx="5" formatCode="0.0%">
                  <c:v>0.58481453804000005</c:v>
                </c:pt>
                <c:pt idx="6" formatCode="0.0%">
                  <c:v>0.54948833709999989</c:v>
                </c:pt>
                <c:pt idx="7" formatCode="0.0%">
                  <c:v>0.53520386793999997</c:v>
                </c:pt>
                <c:pt idx="8" formatCode="0.0%">
                  <c:v>0.49208810909999989</c:v>
                </c:pt>
                <c:pt idx="9" formatCode="0.0%">
                  <c:v>0.51631073884000001</c:v>
                </c:pt>
                <c:pt idx="10" formatCode="0.0%">
                  <c:v>0.59648664389999995</c:v>
                </c:pt>
                <c:pt idx="11" formatCode="0.0%">
                  <c:v>0.61091795289999995</c:v>
                </c:pt>
                <c:pt idx="12" formatCode="0.0%">
                  <c:v>0.58679650140000006</c:v>
                </c:pt>
                <c:pt idx="13" formatCode="0.0%">
                  <c:v>0.60023438221999992</c:v>
                </c:pt>
                <c:pt idx="14" formatCode="0.0%">
                  <c:v>0.54149878392000006</c:v>
                </c:pt>
                <c:pt idx="15" formatCode="0.0%">
                  <c:v>0.52211077869999989</c:v>
                </c:pt>
                <c:pt idx="16" formatCode="0.0%">
                  <c:v>0.50452554250000003</c:v>
                </c:pt>
                <c:pt idx="17" formatCode="0.0%">
                  <c:v>0.51375815252000001</c:v>
                </c:pt>
                <c:pt idx="18" formatCode="0.0%">
                  <c:v>0.49364649904000002</c:v>
                </c:pt>
                <c:pt idx="19" formatCode="0.0%">
                  <c:v>0.53905508530000001</c:v>
                </c:pt>
                <c:pt idx="20" formatCode="0.0%">
                  <c:v>0.49946099460000004</c:v>
                </c:pt>
                <c:pt idx="21" formatCode="0.0%">
                  <c:v>0.43261601175999997</c:v>
                </c:pt>
                <c:pt idx="22" formatCode="0.0%">
                  <c:v>0.33238502532000003</c:v>
                </c:pt>
                <c:pt idx="23" formatCode="0.0%">
                  <c:v>0.31497045278000002</c:v>
                </c:pt>
                <c:pt idx="24" formatCode="0.0%">
                  <c:v>0.26740563511999998</c:v>
                </c:pt>
                <c:pt idx="25" formatCode="0.0%">
                  <c:v>0.27068121227999997</c:v>
                </c:pt>
                <c:pt idx="26" formatCode="0.0%">
                  <c:v>0.35480208582</c:v>
                </c:pt>
                <c:pt idx="27" formatCode="0.0%">
                  <c:v>0.4655308668</c:v>
                </c:pt>
                <c:pt idx="28" formatCode="0.0%">
                  <c:v>0.51737174969999999</c:v>
                </c:pt>
                <c:pt idx="29" formatCode="0.0%">
                  <c:v>0.55770686259999991</c:v>
                </c:pt>
                <c:pt idx="30" formatCode="0.0%">
                  <c:v>0.59826032740000001</c:v>
                </c:pt>
                <c:pt idx="31" formatCode="0.0%">
                  <c:v>0.55196801851999999</c:v>
                </c:pt>
                <c:pt idx="32" formatCode="0.0%">
                  <c:v>0.53501593970000005</c:v>
                </c:pt>
                <c:pt idx="33" formatCode="0.0%">
                  <c:v>0.54500923429999992</c:v>
                </c:pt>
                <c:pt idx="34" formatCode="0.0%">
                  <c:v>0.53528494506000002</c:v>
                </c:pt>
                <c:pt idx="35" formatCode="0.0%">
                  <c:v>0.53088455814000002</c:v>
                </c:pt>
                <c:pt idx="36" formatCode="0.0%">
                  <c:v>0.56528054530000005</c:v>
                </c:pt>
              </c:numCache>
            </c:numRef>
          </c:val>
          <c:smooth val="0"/>
        </c:ser>
        <c:ser>
          <c:idx val="0"/>
          <c:order val="2"/>
          <c:tx>
            <c:v>Bond Valuation Model (A1) ACCT</c:v>
          </c:tx>
          <c:spPr>
            <a:ln>
              <a:solidFill>
                <a:srgbClr val="FF0000"/>
              </a:solidFill>
            </a:ln>
          </c:spPr>
          <c:marker>
            <c:symbol val="circle"/>
            <c:size val="7"/>
            <c:spPr>
              <a:solidFill>
                <a:srgbClr val="FF0000"/>
              </a:solidFill>
              <a:ln>
                <a:solidFill>
                  <a:srgbClr val="FF0000"/>
                </a:solidFill>
              </a:ln>
            </c:spPr>
          </c:marker>
          <c:val>
            <c:numRef>
              <c:f>'8a. Table 4 Val Liquide+Homg'!$AI$9:$AI$46</c:f>
              <c:numCache>
                <c:formatCode>General</c:formatCode>
                <c:ptCount val="38"/>
                <c:pt idx="2" formatCode="0.0%">
                  <c:v>3.533923638E-2</c:v>
                </c:pt>
                <c:pt idx="3" formatCode="0.0%">
                  <c:v>3.6673170399999996E-2</c:v>
                </c:pt>
                <c:pt idx="4" formatCode="0.0%">
                  <c:v>8.1704509199999997E-2</c:v>
                </c:pt>
                <c:pt idx="5" formatCode="0.0%">
                  <c:v>0.1367903053</c:v>
                </c:pt>
                <c:pt idx="6" formatCode="0.0%">
                  <c:v>0.15016033974000001</c:v>
                </c:pt>
                <c:pt idx="7" formatCode="0.0%">
                  <c:v>0.15211004014000001</c:v>
                </c:pt>
                <c:pt idx="8" formatCode="0.0%">
                  <c:v>0.19028375853999996</c:v>
                </c:pt>
                <c:pt idx="9" formatCode="0.0%">
                  <c:v>0.18937558086</c:v>
                </c:pt>
                <c:pt idx="10" formatCode="0.0%">
                  <c:v>0.16195400872000001</c:v>
                </c:pt>
                <c:pt idx="11" formatCode="0.0%">
                  <c:v>0.15757853651999998</c:v>
                </c:pt>
                <c:pt idx="12" formatCode="0.0%">
                  <c:v>0.19745662827999999</c:v>
                </c:pt>
                <c:pt idx="13" formatCode="0.0%">
                  <c:v>0.19395071404</c:v>
                </c:pt>
                <c:pt idx="14" formatCode="0.0%">
                  <c:v>0.17831869908</c:v>
                </c:pt>
                <c:pt idx="15" formatCode="0.0%">
                  <c:v>0.18397047338</c:v>
                </c:pt>
                <c:pt idx="16" formatCode="0.0%">
                  <c:v>0.22609653178000003</c:v>
                </c:pt>
                <c:pt idx="17" formatCode="0.0%">
                  <c:v>0.21642411043999998</c:v>
                </c:pt>
                <c:pt idx="18" formatCode="0.0%">
                  <c:v>0.25050502133999997</c:v>
                </c:pt>
                <c:pt idx="19" formatCode="0.0%">
                  <c:v>0.30263097694000007</c:v>
                </c:pt>
                <c:pt idx="20" formatCode="0.0%">
                  <c:v>0.33931018219999998</c:v>
                </c:pt>
                <c:pt idx="21" formatCode="0.0%">
                  <c:v>0.36199371978</c:v>
                </c:pt>
                <c:pt idx="22" formatCode="0.0%">
                  <c:v>0.37913572968000003</c:v>
                </c:pt>
                <c:pt idx="23" formatCode="0.0%">
                  <c:v>0.36814440420000005</c:v>
                </c:pt>
                <c:pt idx="24" formatCode="0.0%">
                  <c:v>0.37328999343999997</c:v>
                </c:pt>
                <c:pt idx="25" formatCode="0.0%">
                  <c:v>0.37846156413999998</c:v>
                </c:pt>
                <c:pt idx="26" formatCode="0.0%">
                  <c:v>0.40196075426</c:v>
                </c:pt>
                <c:pt idx="27" formatCode="0.0%">
                  <c:v>0.41031440642000006</c:v>
                </c:pt>
                <c:pt idx="28" formatCode="0.0%">
                  <c:v>0.37218672988000001</c:v>
                </c:pt>
                <c:pt idx="29" formatCode="0.0%">
                  <c:v>0.32686186079999996</c:v>
                </c:pt>
                <c:pt idx="30" formatCode="0.0%">
                  <c:v>0.34146992279999999</c:v>
                </c:pt>
                <c:pt idx="31" formatCode="0.0%">
                  <c:v>0.29110567252000003</c:v>
                </c:pt>
                <c:pt idx="32" formatCode="0.0%">
                  <c:v>0.3052742691</c:v>
                </c:pt>
                <c:pt idx="33" formatCode="0.0%">
                  <c:v>0.32997331892000004</c:v>
                </c:pt>
                <c:pt idx="34" formatCode="0.0%">
                  <c:v>0.3477563266</c:v>
                </c:pt>
                <c:pt idx="35" formatCode="0.0%">
                  <c:v>0.33207393345999997</c:v>
                </c:pt>
                <c:pt idx="36" formatCode="0.0%">
                  <c:v>0.36007947577999999</c:v>
                </c:pt>
              </c:numCache>
            </c:numRef>
          </c:val>
          <c:smooth val="0"/>
        </c:ser>
        <c:dLbls>
          <c:showLegendKey val="0"/>
          <c:showVal val="0"/>
          <c:showCatName val="0"/>
          <c:showSerName val="0"/>
          <c:showPercent val="0"/>
          <c:showBubbleSize val="0"/>
        </c:dLbls>
        <c:marker val="1"/>
        <c:smooth val="0"/>
        <c:axId val="710091624"/>
        <c:axId val="491815216"/>
      </c:lineChart>
      <c:catAx>
        <c:axId val="710091624"/>
        <c:scaling>
          <c:orientation val="minMax"/>
        </c:scaling>
        <c:delete val="0"/>
        <c:axPos val="b"/>
        <c:numFmt formatCode="General" sourceLinked="1"/>
        <c:majorTickMark val="out"/>
        <c:minorTickMark val="none"/>
        <c:tickLblPos val="nextTo"/>
        <c:crossAx val="491815216"/>
        <c:crosses val="autoZero"/>
        <c:auto val="1"/>
        <c:lblAlgn val="ctr"/>
        <c:lblOffset val="100"/>
        <c:noMultiLvlLbl val="0"/>
      </c:catAx>
      <c:valAx>
        <c:axId val="491815216"/>
        <c:scaling>
          <c:orientation val="minMax"/>
          <c:max val="0.70000000000000007"/>
        </c:scaling>
        <c:delete val="0"/>
        <c:axPos val="l"/>
        <c:majorGridlines/>
        <c:numFmt formatCode="0%" sourceLinked="0"/>
        <c:majorTickMark val="out"/>
        <c:minorTickMark val="none"/>
        <c:tickLblPos val="nextTo"/>
        <c:crossAx val="710091624"/>
        <c:crosses val="autoZero"/>
        <c:crossBetween val="between"/>
      </c:valAx>
    </c:plotArea>
    <c:legend>
      <c:legendPos val="b"/>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Bond Return Model (5) ACCT</c:v>
          </c:tx>
          <c:spPr>
            <a:ln>
              <a:solidFill>
                <a:srgbClr val="FF0000"/>
              </a:solidFill>
            </a:ln>
          </c:spPr>
          <c:marker>
            <c:symbol val="diamond"/>
            <c:size val="8"/>
            <c:spPr>
              <a:solidFill>
                <a:srgbClr val="FF0000"/>
              </a:solidFill>
              <a:ln>
                <a:solidFill>
                  <a:srgbClr val="FF0000"/>
                </a:solidFill>
              </a:ln>
            </c:spPr>
          </c:marker>
          <c:cat>
            <c:numRef>
              <c:f>'8b. Table 5 Ret Liquide+Homg'!$B$9:$B$47</c:f>
              <c:numCache>
                <c:formatCode>General</c:formatCode>
                <c:ptCount val="39"/>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numCache>
            </c:numRef>
          </c:cat>
          <c:val>
            <c:numRef>
              <c:f>'8b. Table 5 Ret Liquide+Homg'!$T$9:$T$47</c:f>
              <c:numCache>
                <c:formatCode>General</c:formatCode>
                <c:ptCount val="39"/>
                <c:pt idx="2" formatCode="0.0%">
                  <c:v>0.11583838850000001</c:v>
                </c:pt>
                <c:pt idx="3" formatCode="0.0%">
                  <c:v>0.11753663326000001</c:v>
                </c:pt>
                <c:pt idx="4" formatCode="0.0%">
                  <c:v>0.12299218247999999</c:v>
                </c:pt>
                <c:pt idx="5" formatCode="0.0%">
                  <c:v>0.10434604588</c:v>
                </c:pt>
                <c:pt idx="6" formatCode="0.0%">
                  <c:v>8.1765893640000004E-2</c:v>
                </c:pt>
                <c:pt idx="7" formatCode="0.0%">
                  <c:v>9.766635806E-2</c:v>
                </c:pt>
                <c:pt idx="8" formatCode="0.0%">
                  <c:v>7.8330149700000004E-2</c:v>
                </c:pt>
                <c:pt idx="9" formatCode="0.0%">
                  <c:v>8.9385539659999999E-2</c:v>
                </c:pt>
                <c:pt idx="10" formatCode="0.0%">
                  <c:v>9.6961162879999993E-2</c:v>
                </c:pt>
                <c:pt idx="11" formatCode="0.0%">
                  <c:v>8.993501492E-2</c:v>
                </c:pt>
                <c:pt idx="12" formatCode="0.0%">
                  <c:v>8.2227011180000004E-2</c:v>
                </c:pt>
                <c:pt idx="13" formatCode="0.0%">
                  <c:v>8.2007499380000001E-2</c:v>
                </c:pt>
                <c:pt idx="14" formatCode="0.0%">
                  <c:v>7.543868946E-2</c:v>
                </c:pt>
                <c:pt idx="15" formatCode="0.0%">
                  <c:v>3.0224373099999997E-2</c:v>
                </c:pt>
                <c:pt idx="16" formatCode="0.0%">
                  <c:v>5.8076805279999998E-2</c:v>
                </c:pt>
                <c:pt idx="17" formatCode="0.0%">
                  <c:v>0.13090457604</c:v>
                </c:pt>
                <c:pt idx="18" formatCode="0.0%">
                  <c:v>0.20995058556000004</c:v>
                </c:pt>
                <c:pt idx="19" formatCode="0.0%">
                  <c:v>0.22341392196000004</c:v>
                </c:pt>
                <c:pt idx="20" formatCode="0.0%">
                  <c:v>0.28879965103999999</c:v>
                </c:pt>
                <c:pt idx="21" formatCode="0.0%">
                  <c:v>0.30059511609999995</c:v>
                </c:pt>
                <c:pt idx="22" formatCode="0.0%">
                  <c:v>0.22860178828</c:v>
                </c:pt>
                <c:pt idx="23" formatCode="0.0%">
                  <c:v>0.20204663168000003</c:v>
                </c:pt>
                <c:pt idx="24" formatCode="0.0%">
                  <c:v>0.17098509594</c:v>
                </c:pt>
                <c:pt idx="25" formatCode="0.0%">
                  <c:v>0.13749207272</c:v>
                </c:pt>
                <c:pt idx="26" formatCode="0.0%">
                  <c:v>0.12728774100000001</c:v>
                </c:pt>
                <c:pt idx="27" formatCode="0.0%">
                  <c:v>0.14574146524000001</c:v>
                </c:pt>
                <c:pt idx="28" formatCode="0.0%">
                  <c:v>0.12896576486</c:v>
                </c:pt>
                <c:pt idx="29" formatCode="0.0%">
                  <c:v>0.15484709227999999</c:v>
                </c:pt>
                <c:pt idx="30" formatCode="0.0%">
                  <c:v>0.16877725905999999</c:v>
                </c:pt>
                <c:pt idx="31" formatCode="0.0%">
                  <c:v>0.15685365109999999</c:v>
                </c:pt>
                <c:pt idx="32" formatCode="0.0%">
                  <c:v>0.16386501324000002</c:v>
                </c:pt>
                <c:pt idx="33" formatCode="0.0%">
                  <c:v>0.16019682623999998</c:v>
                </c:pt>
                <c:pt idx="34" formatCode="0.0%">
                  <c:v>0.17695776761999998</c:v>
                </c:pt>
                <c:pt idx="35" formatCode="0.0%">
                  <c:v>0.17623405572</c:v>
                </c:pt>
                <c:pt idx="36" formatCode="0.0%">
                  <c:v>0.17184406592000001</c:v>
                </c:pt>
              </c:numCache>
            </c:numRef>
          </c:val>
          <c:smooth val="0"/>
        </c:ser>
        <c:ser>
          <c:idx val="5"/>
          <c:order val="1"/>
          <c:tx>
            <c:v>Equity Return Model (4)</c:v>
          </c:tx>
          <c:spPr>
            <a:ln w="41275">
              <a:solidFill>
                <a:srgbClr val="002060"/>
              </a:solidFill>
            </a:ln>
          </c:spPr>
          <c:marker>
            <c:symbol val="none"/>
          </c:marker>
          <c:cat>
            <c:numRef>
              <c:f>'8b. Table 5 Ret Liquide+Homg'!$B$9:$B$47</c:f>
              <c:numCache>
                <c:formatCode>General</c:formatCode>
                <c:ptCount val="39"/>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numCache>
            </c:numRef>
          </c:cat>
          <c:val>
            <c:numRef>
              <c:f>'8b. Table 5 Ret Liquide+Homg'!$J$9:$J$47</c:f>
              <c:numCache>
                <c:formatCode>General</c:formatCode>
                <c:ptCount val="39"/>
                <c:pt idx="3" formatCode="0.0%">
                  <c:v>0.20721023812</c:v>
                </c:pt>
                <c:pt idx="4" formatCode="0.0%">
                  <c:v>0.18417730705999999</c:v>
                </c:pt>
                <c:pt idx="5" formatCode="0.0%">
                  <c:v>0.1479137841</c:v>
                </c:pt>
                <c:pt idx="6" formatCode="0.0%">
                  <c:v>8.5060684479999996E-2</c:v>
                </c:pt>
                <c:pt idx="7" formatCode="0.0%">
                  <c:v>0.11246447109999998</c:v>
                </c:pt>
                <c:pt idx="8" formatCode="0.0%">
                  <c:v>0.15732759207999999</c:v>
                </c:pt>
                <c:pt idx="9" formatCode="0.0%">
                  <c:v>0.11779173068</c:v>
                </c:pt>
                <c:pt idx="10" formatCode="0.0%">
                  <c:v>0.12578716707999998</c:v>
                </c:pt>
                <c:pt idx="11" formatCode="0.0%">
                  <c:v>0.15507944998000001</c:v>
                </c:pt>
                <c:pt idx="12" formatCode="0.0%">
                  <c:v>0.13614319018000001</c:v>
                </c:pt>
                <c:pt idx="13" formatCode="0.0%">
                  <c:v>0.12203998294</c:v>
                </c:pt>
                <c:pt idx="14" formatCode="0.0%">
                  <c:v>0.11209499069999999</c:v>
                </c:pt>
                <c:pt idx="15" formatCode="0.0%">
                  <c:v>0.10766097213999999</c:v>
                </c:pt>
                <c:pt idx="16" formatCode="0.0%">
                  <c:v>0.12800504001999999</c:v>
                </c:pt>
                <c:pt idx="17" formatCode="0.0%">
                  <c:v>0.14076517937999999</c:v>
                </c:pt>
                <c:pt idx="18" formatCode="0.0%">
                  <c:v>0.10775793118000002</c:v>
                </c:pt>
                <c:pt idx="19" formatCode="0.0%">
                  <c:v>0.15407293370000003</c:v>
                </c:pt>
                <c:pt idx="20" formatCode="0.0%">
                  <c:v>0.16699378581999999</c:v>
                </c:pt>
                <c:pt idx="21" formatCode="0.0%">
                  <c:v>0.14580636467999999</c:v>
                </c:pt>
                <c:pt idx="22" formatCode="0.0%">
                  <c:v>0.12238613306000001</c:v>
                </c:pt>
                <c:pt idx="23" formatCode="0.0%">
                  <c:v>0.16349236672000003</c:v>
                </c:pt>
                <c:pt idx="24" formatCode="0.0%">
                  <c:v>0.13354387862</c:v>
                </c:pt>
                <c:pt idx="25" formatCode="0.0%">
                  <c:v>0.16736671502</c:v>
                </c:pt>
                <c:pt idx="26" formatCode="0.0%">
                  <c:v>0.14057341522</c:v>
                </c:pt>
                <c:pt idx="27" formatCode="0.0%">
                  <c:v>0.16805014252</c:v>
                </c:pt>
                <c:pt idx="28" formatCode="0.0%">
                  <c:v>0.14857317774000001</c:v>
                </c:pt>
                <c:pt idx="29" formatCode="0.0%">
                  <c:v>0.15705865848</c:v>
                </c:pt>
                <c:pt idx="30" formatCode="0.0%">
                  <c:v>0.13833235939999999</c:v>
                </c:pt>
                <c:pt idx="31" formatCode="0.0%">
                  <c:v>0.15077051491999999</c:v>
                </c:pt>
                <c:pt idx="32" formatCode="0.0%">
                  <c:v>0.10220775078000002</c:v>
                </c:pt>
                <c:pt idx="33" formatCode="0.0%">
                  <c:v>9.4279493620000002E-2</c:v>
                </c:pt>
                <c:pt idx="34" formatCode="0.0%">
                  <c:v>8.0456665900000002E-2</c:v>
                </c:pt>
                <c:pt idx="35" formatCode="0.0%">
                  <c:v>0.11078170452</c:v>
                </c:pt>
                <c:pt idx="36" formatCode="0.0%">
                  <c:v>0.11138001049999999</c:v>
                </c:pt>
              </c:numCache>
            </c:numRef>
          </c:val>
          <c:smooth val="0"/>
        </c:ser>
        <c:ser>
          <c:idx val="1"/>
          <c:order val="2"/>
          <c:tx>
            <c:v>Bond Return Model (A2) ACCT</c:v>
          </c:tx>
          <c:spPr>
            <a:ln>
              <a:solidFill>
                <a:srgbClr val="FF0000"/>
              </a:solidFill>
            </a:ln>
          </c:spPr>
          <c:marker>
            <c:symbol val="circle"/>
            <c:size val="7"/>
            <c:spPr>
              <a:solidFill>
                <a:srgbClr val="FF0000"/>
              </a:solidFill>
              <a:ln>
                <a:solidFill>
                  <a:srgbClr val="FF0000"/>
                </a:solidFill>
              </a:ln>
            </c:spPr>
          </c:marker>
          <c:val>
            <c:numRef>
              <c:f>'8b. Table 5 Ret Liquide+Homg'!$AI$9:$AI$47</c:f>
              <c:numCache>
                <c:formatCode>General</c:formatCode>
                <c:ptCount val="39"/>
                <c:pt idx="3" formatCode="0.0%">
                  <c:v>3.2177315000000012E-3</c:v>
                </c:pt>
                <c:pt idx="4" formatCode="0.0%">
                  <c:v>-1.7595197099999998E-2</c:v>
                </c:pt>
                <c:pt idx="5" formatCode="0.0%">
                  <c:v>6.8461535040000007E-2</c:v>
                </c:pt>
                <c:pt idx="6" formatCode="0.0%">
                  <c:v>0.10217007936</c:v>
                </c:pt>
                <c:pt idx="7" formatCode="0.0%">
                  <c:v>0.1198953457</c:v>
                </c:pt>
                <c:pt idx="8" formatCode="0.0%">
                  <c:v>0.10811110673999999</c:v>
                </c:pt>
                <c:pt idx="9" formatCode="0.0%">
                  <c:v>0.15948013672</c:v>
                </c:pt>
                <c:pt idx="10" formatCode="0.0%">
                  <c:v>0.11550237226</c:v>
                </c:pt>
                <c:pt idx="11" formatCode="0.0%">
                  <c:v>9.5569042100000015E-2</c:v>
                </c:pt>
                <c:pt idx="12" formatCode="0.0%">
                  <c:v>8.1540327159999995E-2</c:v>
                </c:pt>
                <c:pt idx="13" formatCode="0.0%">
                  <c:v>0.17952678859999999</c:v>
                </c:pt>
                <c:pt idx="14" formatCode="0.0%">
                  <c:v>0.22912317336000002</c:v>
                </c:pt>
                <c:pt idx="15" formatCode="0.0%">
                  <c:v>0.23239085751999999</c:v>
                </c:pt>
                <c:pt idx="16" formatCode="0.0%">
                  <c:v>0.22898454637999999</c:v>
                </c:pt>
                <c:pt idx="17" formatCode="0.0%">
                  <c:v>0.24238110879999999</c:v>
                </c:pt>
                <c:pt idx="18" formatCode="0.0%">
                  <c:v>0.28338287704000004</c:v>
                </c:pt>
                <c:pt idx="19" formatCode="0.0%">
                  <c:v>0.28551184831999998</c:v>
                </c:pt>
                <c:pt idx="20" formatCode="0.0%">
                  <c:v>0.36783237992000001</c:v>
                </c:pt>
                <c:pt idx="21" formatCode="0.0%">
                  <c:v>0.36835671069999998</c:v>
                </c:pt>
                <c:pt idx="22" formatCode="0.0%">
                  <c:v>0.35694577984000003</c:v>
                </c:pt>
                <c:pt idx="23" formatCode="0.0%">
                  <c:v>0.25721354546000003</c:v>
                </c:pt>
                <c:pt idx="24" formatCode="0.0%">
                  <c:v>0.24327766107999999</c:v>
                </c:pt>
                <c:pt idx="25" formatCode="0.0%">
                  <c:v>0.19601374958000001</c:v>
                </c:pt>
                <c:pt idx="26" formatCode="0.0%">
                  <c:v>0.26142390112000002</c:v>
                </c:pt>
                <c:pt idx="27" formatCode="0.0%">
                  <c:v>0.2515763869</c:v>
                </c:pt>
                <c:pt idx="28" formatCode="0.0%">
                  <c:v>0.24488526928000001</c:v>
                </c:pt>
                <c:pt idx="29" formatCode="0.0%">
                  <c:v>0.21668999329999999</c:v>
                </c:pt>
                <c:pt idx="30" formatCode="0.0%">
                  <c:v>0.19246387412000002</c:v>
                </c:pt>
                <c:pt idx="31" formatCode="0.0%">
                  <c:v>0.13045961972</c:v>
                </c:pt>
                <c:pt idx="32" formatCode="0.0%">
                  <c:v>0.18178288558000003</c:v>
                </c:pt>
                <c:pt idx="33" formatCode="0.0%">
                  <c:v>0.18505466616000002</c:v>
                </c:pt>
                <c:pt idx="34" formatCode="0.0%">
                  <c:v>0.21067616816000001</c:v>
                </c:pt>
                <c:pt idx="35" formatCode="0.0%">
                  <c:v>0.20773123648</c:v>
                </c:pt>
                <c:pt idx="36" formatCode="0.0%">
                  <c:v>0.20869227206000002</c:v>
                </c:pt>
              </c:numCache>
            </c:numRef>
          </c:val>
          <c:smooth val="0"/>
        </c:ser>
        <c:dLbls>
          <c:showLegendKey val="0"/>
          <c:showVal val="0"/>
          <c:showCatName val="0"/>
          <c:showSerName val="0"/>
          <c:showPercent val="0"/>
          <c:showBubbleSize val="0"/>
        </c:dLbls>
        <c:marker val="1"/>
        <c:smooth val="0"/>
        <c:axId val="768927176"/>
        <c:axId val="768927568"/>
      </c:lineChart>
      <c:catAx>
        <c:axId val="768927176"/>
        <c:scaling>
          <c:orientation val="minMax"/>
        </c:scaling>
        <c:delete val="0"/>
        <c:axPos val="b"/>
        <c:numFmt formatCode="General" sourceLinked="1"/>
        <c:majorTickMark val="out"/>
        <c:minorTickMark val="none"/>
        <c:tickLblPos val="nextTo"/>
        <c:crossAx val="768927568"/>
        <c:crosses val="autoZero"/>
        <c:auto val="1"/>
        <c:lblAlgn val="ctr"/>
        <c:lblOffset val="100"/>
        <c:noMultiLvlLbl val="0"/>
      </c:catAx>
      <c:valAx>
        <c:axId val="768927568"/>
        <c:scaling>
          <c:orientation val="minMax"/>
          <c:max val="0.4"/>
          <c:min val="-5.000000000000001E-2"/>
        </c:scaling>
        <c:delete val="0"/>
        <c:axPos val="l"/>
        <c:majorGridlines/>
        <c:numFmt formatCode="General" sourceLinked="1"/>
        <c:majorTickMark val="out"/>
        <c:minorTickMark val="none"/>
        <c:tickLblPos val="nextTo"/>
        <c:crossAx val="768927176"/>
        <c:crosses val="autoZero"/>
        <c:crossBetween val="between"/>
      </c:valAx>
    </c:plotArea>
    <c:legend>
      <c:legendPos val="b"/>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60B17-47C2-482A-B3FC-B6A8A7E30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16480</Words>
  <Characters>88436</Characters>
  <Application>Microsoft Office Word</Application>
  <DocSecurity>0</DocSecurity>
  <Lines>736</Lines>
  <Paragraphs>209</Paragraphs>
  <ScaleCrop>false</ScaleCrop>
  <HeadingPairs>
    <vt:vector size="2" baseType="variant">
      <vt:variant>
        <vt:lpstr>Title</vt:lpstr>
      </vt:variant>
      <vt:variant>
        <vt:i4>1</vt:i4>
      </vt:variant>
    </vt:vector>
  </HeadingPairs>
  <TitlesOfParts>
    <vt:vector size="1" baseType="lpstr">
      <vt:lpstr>The Information Content of Earnings to Debt Holders</vt:lpstr>
    </vt:vector>
  </TitlesOfParts>
  <Company>PSU - SCBA</Company>
  <LinksUpToDate>false</LinksUpToDate>
  <CharactersWithSpaces>104707</CharactersWithSpaces>
  <SharedDoc>false</SharedDoc>
  <HLinks>
    <vt:vector size="12" baseType="variant">
      <vt:variant>
        <vt:i4>6094860</vt:i4>
      </vt:variant>
      <vt:variant>
        <vt:i4>3</vt:i4>
      </vt:variant>
      <vt:variant>
        <vt:i4>0</vt:i4>
      </vt:variant>
      <vt:variant>
        <vt:i4>5</vt:i4>
      </vt:variant>
      <vt:variant>
        <vt:lpwstr>http://www.world-exchanges.org/statistics</vt:lpwstr>
      </vt:variant>
      <vt:variant>
        <vt:lpwstr/>
      </vt:variant>
      <vt:variant>
        <vt:i4>196620</vt:i4>
      </vt:variant>
      <vt:variant>
        <vt:i4>0</vt:i4>
      </vt:variant>
      <vt:variant>
        <vt:i4>0</vt:i4>
      </vt:variant>
      <vt:variant>
        <vt:i4>5</vt:i4>
      </vt:variant>
      <vt:variant>
        <vt:lpwstr>http://www.sifma.org/research/statistics.aspx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Information Content of Earnings to Debt Holders</dc:title>
  <dc:subject/>
  <dc:creator>Dan Givoly</dc:creator>
  <cp:keywords/>
  <dc:description/>
  <cp:lastModifiedBy>Brian Fagan</cp:lastModifiedBy>
  <cp:revision>2</cp:revision>
  <cp:lastPrinted>2016-06-03T00:36:00Z</cp:lastPrinted>
  <dcterms:created xsi:type="dcterms:W3CDTF">2018-08-20T15:28:00Z</dcterms:created>
  <dcterms:modified xsi:type="dcterms:W3CDTF">2018-08-20T15:28:00Z</dcterms:modified>
</cp:coreProperties>
</file>