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AC5" w:rsidRPr="00785AC5" w:rsidRDefault="00785AC5" w:rsidP="00785AC5">
      <w:pPr>
        <w:pStyle w:val="Heading1"/>
        <w:pBdr>
          <w:left w:val="single" w:sz="18" w:space="11" w:color="2196F3"/>
        </w:pBdr>
        <w:spacing w:before="0" w:beforeAutospacing="0" w:after="420" w:afterAutospacing="0" w:line="480" w:lineRule="auto"/>
        <w:textAlignment w:val="baseline"/>
        <w:rPr>
          <w:rFonts w:ascii="Arial" w:hAnsi="Arial" w:cs="Arial"/>
          <w:bCs w:val="0"/>
          <w:caps/>
          <w:color w:val="252525"/>
          <w:sz w:val="24"/>
          <w:szCs w:val="24"/>
          <w:u w:val="single"/>
        </w:rPr>
      </w:pPr>
      <w:r w:rsidRPr="00785AC5">
        <w:rPr>
          <w:rFonts w:ascii="Arial" w:hAnsi="Arial" w:cs="Arial"/>
          <w:bCs w:val="0"/>
          <w:caps/>
          <w:color w:val="252525"/>
          <w:sz w:val="24"/>
          <w:szCs w:val="24"/>
          <w:u w:val="single"/>
        </w:rPr>
        <w:t>ETF ECOSYSTEM</w:t>
      </w:r>
      <w:bookmarkStart w:id="0" w:name="_GoBack"/>
      <w:bookmarkEnd w:id="0"/>
    </w:p>
    <w:p w:rsid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inherit" w:hAnsi="inherit" w:cs="Arial"/>
          <w:color w:val="3A4149"/>
          <w:sz w:val="28"/>
          <w:szCs w:val="28"/>
        </w:rPr>
      </w:pPr>
      <w:r>
        <w:rPr>
          <w:rFonts w:ascii="inherit" w:hAnsi="inherit" w:cs="Arial"/>
          <w:noProof/>
          <w:color w:val="3A4149"/>
          <w:sz w:val="28"/>
          <w:szCs w:val="28"/>
        </w:rPr>
        <w:drawing>
          <wp:inline distT="0" distB="0" distL="0" distR="0">
            <wp:extent cx="6138430" cy="3971925"/>
            <wp:effectExtent l="0" t="0" r="0" b="0"/>
            <wp:docPr id="1" name="Picture 1" descr="etf-trends-etf-eco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f-trends-etf-ecosyst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737" cy="39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inherit" w:hAnsi="inherit" w:cs="Arial"/>
          <w:b/>
          <w:color w:val="252525"/>
          <w:sz w:val="26"/>
          <w:szCs w:val="26"/>
          <w:u w:val="single"/>
        </w:rPr>
      </w:pPr>
      <w:r w:rsidRPr="00785AC5">
        <w:rPr>
          <w:rFonts w:ascii="inherit" w:hAnsi="inherit" w:cs="Arial"/>
          <w:b/>
          <w:color w:val="252525"/>
          <w:sz w:val="26"/>
          <w:szCs w:val="26"/>
          <w:u w:val="single"/>
        </w:rPr>
        <w:t>KEY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1. The ETF issuer communicates the fund’s market trades as well as details of the creation/redemption basket to the Custodian, who in turn provides safekeeping of the assets, as well as providing the ETF Issuer with an aggregate snapshot of the portfolio.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2. The ETF Issuer and Accounting/Custody work together to process and settle creation/redemption activity when there are orders.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3. When a creation or redemption order is processed, Accounting/Custody processes the underlying basket and the transfer agent processes the ETF shares.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4. In some operating models, the Authorized Participant places orders on the Primary Market with the Transfer Agent instead of directly with the Distributor.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lastRenderedPageBreak/>
        <w:t>5. Authorized Participants may buy or sell excess shares to the market through market participants. Market Makers may engage Authorized Participants to facilitate creations or redemptions.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6. Market Makers provide ETF liquidity by posting double-sided quotes on the national Stock Exchanges.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7. Brokers who wish to buy or sell retail quantities of ETF shares will facilitate these transactions on the Secondary Market through one of the national Exchanges.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8. Investors who wish to invest in ETFs will engage with a Broker, who buys or sells shares on their behalf.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9. Large Institutional investors may buy or sell ETF shares on the Secondary Market through alternative trading venues such as OTC (Over-the-Counter) and Dark Pools.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10. When a creation or redemption order is processed, the Medallion Distributor approves the order and provides final order details to Accounting/Custody.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11. The Medallion Distributor provides the Transfer Agent with creation/redemption activity for record keeping, and the Transfer Agent maintains this data for the use of the Medallion Distributor in shareholder communications.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12. Authorized Participants initiate creation and redemption activity on the Primary Market through Medallion Distributor systems, and the Medallion Distributor provides confirmations to Authorized Participants.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13. ETF Issuers operate under various rules and regulations including the SEC for asset management activities, FINRA for sales activities, and the CFTC when certain derivatives are involved.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14. The Investment Management division of the SEC monitors the Investment Advisor to ensure compliance with multiple federal regulations.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15. The NSCC (National Securities Clearing Corporation) is regulated by the SEC.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lastRenderedPageBreak/>
        <w:t>16. The Trading and Markets Division of the SEC monitors and works alongside Execution Venues to ensure efficient, transparent markets, as well as overall capital market integrity.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17. FINRA regulates member brokerage firms and exchanges.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18. FINRA monitors Brokers to ensure federal regulations are being followed. It also seeks to protect Investors from unscrupulous sales tactics.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19. Compliance monitors the ETF issuer and funds for compliance with regulations, policies, and procedures.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20. The Trustees monitor vendors and the general management of the trust to ensure shareholders’ rights and interests are being protected.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21. The Legal team assists the ETF Issuer with contracts and provides general counsel. It also sets the agenda for regular and special meetings of Trustees.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22. The Index Provider transmits daily index constituents to the ETF for the purpose of tracking the portfolio.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23. Data Vendors communicate various data points such as securities pricing, corporate action information, and website informatics to the ETF Issuer and its service providers.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24. The Sales Distribution team of an ETF issuer is usually in-house, but can be outsourced to a 3rd party.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25. The Sales Distribution team works to sell the ETF to Investors.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26. Marketing and PR sets messaging strategy as well as methods of communicating the ETF Issuer’s products to investors.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27. Marketing and PR communicates key information about the ETF to Investors by shaping branding, educational content, and messaging, as well as arranging media opportunities and appearances.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lastRenderedPageBreak/>
        <w:t>28. The investment Advisor monitors and manages the day-to-day operations of the ETF and its other service providers.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29. A Sub-advisor, if engaged, manages all or part of the investment portfolio of the ETF.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30. A Sub-advisor may be engaged on behalf of the primary investment advisor to manage some, or all, of the portfolio’s assets.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31. The Securities Lending Agent acts as agent of the Fund to manage the lending of portfolio securities. This service generally does not start until the fund has some scale.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 xml:space="preserve">32. The Custodian and Securities Lending Agent work in </w:t>
      </w:r>
      <w:proofErr w:type="spellStart"/>
      <w:r w:rsidRPr="00785AC5">
        <w:rPr>
          <w:rFonts w:ascii="Calibri" w:hAnsi="Calibri" w:cs="Calibri"/>
          <w:color w:val="252525"/>
          <w:sz w:val="22"/>
          <w:szCs w:val="22"/>
        </w:rPr>
        <w:t>tendem</w:t>
      </w:r>
      <w:proofErr w:type="spellEnd"/>
      <w:r w:rsidRPr="00785AC5">
        <w:rPr>
          <w:rFonts w:ascii="Calibri" w:hAnsi="Calibri" w:cs="Calibri"/>
          <w:color w:val="252525"/>
          <w:sz w:val="22"/>
          <w:szCs w:val="22"/>
        </w:rPr>
        <w:t xml:space="preserve"> to facilitate the borrowing of securities with proper record-keeping.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33. The Custodian transmits creation/redemption baskets nightly to the NSCC (National Securities Clearing Corporation) who then disseminates it to all member firms including back to the custodian.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34. The NSCC (National Securities Clearing Corporation) transmits ETF constituents to the IOPV (Indicative Optimized Portfolio Value) calculation agent each morning to generate estimated intra-day share price.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24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Fonts w:ascii="Calibri" w:hAnsi="Calibri" w:cs="Calibri"/>
          <w:color w:val="252525"/>
          <w:sz w:val="22"/>
          <w:szCs w:val="22"/>
        </w:rPr>
        <w:t>35. The NSCC (National Securities Clearing Corporation) transmits official creation/redemption basket to Exchanges for public dissemination.</w:t>
      </w:r>
    </w:p>
    <w:p w:rsidR="00785AC5" w:rsidRPr="00785AC5" w:rsidRDefault="00785AC5" w:rsidP="00785AC5">
      <w:pPr>
        <w:pStyle w:val="Heading3"/>
        <w:shd w:val="clear" w:color="auto" w:fill="FFFFFF"/>
        <w:spacing w:before="150" w:beforeAutospacing="0" w:after="150" w:afterAutospacing="0"/>
        <w:textAlignment w:val="baseline"/>
        <w:rPr>
          <w:rFonts w:ascii="Calibri" w:hAnsi="Calibri" w:cs="Calibri"/>
          <w:b w:val="0"/>
          <w:bCs w:val="0"/>
          <w:color w:val="252525"/>
          <w:sz w:val="22"/>
          <w:szCs w:val="22"/>
        </w:rPr>
      </w:pPr>
      <w:r w:rsidRPr="00785AC5">
        <w:rPr>
          <w:rFonts w:ascii="Calibri" w:hAnsi="Calibri" w:cs="Calibri"/>
          <w:b w:val="0"/>
          <w:bCs w:val="0"/>
          <w:color w:val="252525"/>
          <w:sz w:val="22"/>
          <w:szCs w:val="22"/>
        </w:rPr>
        <w:t>Glossary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Accounting</w:t>
      </w:r>
      <w:r w:rsidRPr="00785AC5">
        <w:rPr>
          <w:rFonts w:ascii="Calibri" w:hAnsi="Calibri" w:cs="Calibri"/>
          <w:color w:val="252525"/>
          <w:sz w:val="22"/>
          <w:szCs w:val="22"/>
        </w:rPr>
        <w:t> Firm that calculates daily NAV.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Advisors</w:t>
      </w:r>
      <w:r w:rsidRPr="00785AC5">
        <w:rPr>
          <w:rFonts w:ascii="Calibri" w:hAnsi="Calibri" w:cs="Calibri"/>
          <w:color w:val="252525"/>
          <w:sz w:val="22"/>
          <w:szCs w:val="22"/>
        </w:rPr>
        <w:t> Entity that manages the investments of the ETF as defined in the prospectus.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Agency Brokers</w:t>
      </w:r>
      <w:r w:rsidRPr="00785AC5">
        <w:rPr>
          <w:rFonts w:ascii="Calibri" w:hAnsi="Calibri" w:cs="Calibri"/>
          <w:color w:val="252525"/>
          <w:sz w:val="22"/>
          <w:szCs w:val="22"/>
        </w:rPr>
        <w:t> </w:t>
      </w:r>
      <w:proofErr w:type="spellStart"/>
      <w:r w:rsidRPr="00785AC5">
        <w:rPr>
          <w:rFonts w:ascii="Calibri" w:hAnsi="Calibri" w:cs="Calibri"/>
          <w:color w:val="252525"/>
          <w:sz w:val="22"/>
          <w:szCs w:val="22"/>
        </w:rPr>
        <w:t>Brokers</w:t>
      </w:r>
      <w:proofErr w:type="spellEnd"/>
      <w:r w:rsidRPr="00785AC5">
        <w:rPr>
          <w:rFonts w:ascii="Calibri" w:hAnsi="Calibri" w:cs="Calibri"/>
          <w:color w:val="252525"/>
          <w:sz w:val="22"/>
          <w:szCs w:val="22"/>
        </w:rPr>
        <w:t xml:space="preserve"> only acting as agent on behalf of customers and not as principal trader for their own account.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Authorized Participants</w:t>
      </w:r>
      <w:r w:rsidRPr="00785AC5">
        <w:rPr>
          <w:rFonts w:ascii="Calibri" w:hAnsi="Calibri" w:cs="Calibri"/>
          <w:color w:val="252525"/>
          <w:sz w:val="22"/>
          <w:szCs w:val="22"/>
        </w:rPr>
        <w:t> Entities that transact in the primary market by creating and redeeming new ETF shares, which can then be sold in the secondary market.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Broker-Dealers</w:t>
      </w:r>
      <w:r w:rsidRPr="00785AC5">
        <w:rPr>
          <w:rFonts w:ascii="Calibri" w:hAnsi="Calibri" w:cs="Calibri"/>
          <w:color w:val="252525"/>
          <w:sz w:val="22"/>
          <w:szCs w:val="22"/>
        </w:rPr>
        <w:t> A firm that buys and sells securities for its own account as well as selling to customers.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proofErr w:type="gramStart"/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lastRenderedPageBreak/>
        <w:t>Brokers</w:t>
      </w:r>
      <w:proofErr w:type="gramEnd"/>
      <w:r w:rsidRPr="00785AC5">
        <w:rPr>
          <w:rFonts w:ascii="Calibri" w:hAnsi="Calibri" w:cs="Calibri"/>
          <w:color w:val="252525"/>
          <w:sz w:val="22"/>
          <w:szCs w:val="22"/>
        </w:rPr>
        <w:t> General term describing individual or firm that buys and sells securities on behalf of investors.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CFTC</w:t>
      </w:r>
      <w:r w:rsidRPr="00785AC5">
        <w:rPr>
          <w:rFonts w:ascii="Calibri" w:hAnsi="Calibri" w:cs="Calibri"/>
          <w:color w:val="252525"/>
          <w:sz w:val="22"/>
          <w:szCs w:val="22"/>
        </w:rPr>
        <w:t> Commodity Futures Trading Commission – US government agency that regulates the futures and options markets.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Compliance</w:t>
      </w:r>
      <w:r w:rsidRPr="00785AC5">
        <w:rPr>
          <w:rFonts w:ascii="Calibri" w:hAnsi="Calibri" w:cs="Calibri"/>
          <w:color w:val="252525"/>
          <w:sz w:val="22"/>
          <w:szCs w:val="22"/>
        </w:rPr>
        <w:t> Internal and external groups that monitor, detect, and prevent misconduct of rules designed by regulators.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Custodian</w:t>
      </w:r>
      <w:r w:rsidRPr="00785AC5">
        <w:rPr>
          <w:rFonts w:ascii="Calibri" w:hAnsi="Calibri" w:cs="Calibri"/>
          <w:color w:val="252525"/>
          <w:sz w:val="22"/>
          <w:szCs w:val="22"/>
        </w:rPr>
        <w:t> Firm that holds records of asset ownership as well as facilitating instructions for corporate actions.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Data Vendors</w:t>
      </w:r>
      <w:r w:rsidRPr="00785AC5">
        <w:rPr>
          <w:rFonts w:ascii="Calibri" w:hAnsi="Calibri" w:cs="Calibri"/>
          <w:color w:val="252525"/>
          <w:sz w:val="22"/>
          <w:szCs w:val="22"/>
        </w:rPr>
        <w:t> Firms that provide various data to vendors including pricing data, market data, data to populate the fund website, and more.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Discount Brokers</w:t>
      </w:r>
      <w:r w:rsidRPr="00785AC5">
        <w:rPr>
          <w:rFonts w:ascii="Calibri" w:hAnsi="Calibri" w:cs="Calibri"/>
          <w:color w:val="252525"/>
          <w:sz w:val="22"/>
          <w:szCs w:val="22"/>
        </w:rPr>
        <w:t> </w:t>
      </w:r>
      <w:proofErr w:type="spellStart"/>
      <w:r w:rsidRPr="00785AC5">
        <w:rPr>
          <w:rFonts w:ascii="Calibri" w:hAnsi="Calibri" w:cs="Calibri"/>
          <w:color w:val="252525"/>
          <w:sz w:val="22"/>
          <w:szCs w:val="22"/>
        </w:rPr>
        <w:t>Brokers</w:t>
      </w:r>
      <w:proofErr w:type="spellEnd"/>
      <w:r w:rsidRPr="00785AC5">
        <w:rPr>
          <w:rFonts w:ascii="Calibri" w:hAnsi="Calibri" w:cs="Calibri"/>
          <w:color w:val="252525"/>
          <w:sz w:val="22"/>
          <w:szCs w:val="22"/>
        </w:rPr>
        <w:t xml:space="preserve"> typically only offering bare-bones execution services without research and personalized advice.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FAs</w:t>
      </w:r>
      <w:r w:rsidRPr="00785AC5">
        <w:rPr>
          <w:rFonts w:ascii="Calibri" w:hAnsi="Calibri" w:cs="Calibri"/>
          <w:color w:val="252525"/>
          <w:sz w:val="22"/>
          <w:szCs w:val="22"/>
        </w:rPr>
        <w:t> Financial Advisers (FAs) typically operate through a broker dealer, are regulated by FINRA, and fall under the suitability rules.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FINRA</w:t>
      </w:r>
      <w:r w:rsidRPr="00785AC5">
        <w:rPr>
          <w:rFonts w:ascii="Calibri" w:hAnsi="Calibri" w:cs="Calibri"/>
          <w:color w:val="252525"/>
          <w:sz w:val="22"/>
          <w:szCs w:val="22"/>
        </w:rPr>
        <w:t> Financial Industry Regulatory Authority – A self-regulating organization that oversees organizations that facilitate the buying and selling of securities.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Full-Service Brokers</w:t>
      </w:r>
      <w:r w:rsidRPr="00785AC5">
        <w:rPr>
          <w:rFonts w:ascii="Calibri" w:hAnsi="Calibri" w:cs="Calibri"/>
          <w:color w:val="252525"/>
          <w:sz w:val="22"/>
          <w:szCs w:val="22"/>
        </w:rPr>
        <w:t> </w:t>
      </w:r>
      <w:proofErr w:type="spellStart"/>
      <w:r w:rsidRPr="00785AC5">
        <w:rPr>
          <w:rFonts w:ascii="Calibri" w:hAnsi="Calibri" w:cs="Calibri"/>
          <w:color w:val="252525"/>
          <w:sz w:val="22"/>
          <w:szCs w:val="22"/>
        </w:rPr>
        <w:t>Brokers</w:t>
      </w:r>
      <w:proofErr w:type="spellEnd"/>
      <w:r w:rsidRPr="00785AC5">
        <w:rPr>
          <w:rFonts w:ascii="Calibri" w:hAnsi="Calibri" w:cs="Calibri"/>
          <w:color w:val="252525"/>
          <w:sz w:val="22"/>
          <w:szCs w:val="22"/>
        </w:rPr>
        <w:t xml:space="preserve"> providing research and advice to clients in addition to executing trades.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Fund Administrator</w:t>
      </w:r>
      <w:r w:rsidRPr="00785AC5">
        <w:rPr>
          <w:rFonts w:ascii="Calibri" w:hAnsi="Calibri" w:cs="Calibri"/>
          <w:color w:val="252525"/>
          <w:sz w:val="22"/>
          <w:szCs w:val="22"/>
        </w:rPr>
        <w:t> Firm that provides legal, business, and financial support services to assist the ETF in operating as an ongoing entity.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proofErr w:type="spellStart"/>
      <w:proofErr w:type="gramStart"/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iNAV</w:t>
      </w:r>
      <w:proofErr w:type="spellEnd"/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/IOPV/IIV</w:t>
      </w:r>
      <w:proofErr w:type="gramEnd"/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 xml:space="preserve"> Agent</w:t>
      </w:r>
      <w:r w:rsidRPr="00785AC5">
        <w:rPr>
          <w:rFonts w:ascii="Calibri" w:hAnsi="Calibri" w:cs="Calibri"/>
          <w:color w:val="252525"/>
          <w:sz w:val="22"/>
          <w:szCs w:val="22"/>
        </w:rPr>
        <w:t> Indicative Optimized Portfolio Value. Real-time calculation that estimates the per share value of an ETF throughout the trading day.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Index Provider</w:t>
      </w:r>
      <w:r w:rsidRPr="00785AC5">
        <w:rPr>
          <w:rFonts w:ascii="Calibri" w:hAnsi="Calibri" w:cs="Calibri"/>
          <w:color w:val="252525"/>
          <w:sz w:val="22"/>
          <w:szCs w:val="22"/>
        </w:rPr>
        <w:t> Firm that generates the investment portfolio strategy, which will be the basis for the ETF’s investments.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Institutional</w:t>
      </w:r>
      <w:r w:rsidRPr="00785AC5">
        <w:rPr>
          <w:rFonts w:ascii="Calibri" w:hAnsi="Calibri" w:cs="Calibri"/>
          <w:color w:val="252525"/>
          <w:sz w:val="22"/>
          <w:szCs w:val="22"/>
        </w:rPr>
        <w:t> General term describing investors who invest on behalf of other investors, which are often, from a sales perspective, segregated for their unique needs</w:t>
      </w:r>
      <w:r w:rsidRPr="00785AC5">
        <w:rPr>
          <w:rFonts w:ascii="Calibri" w:hAnsi="Calibri" w:cs="Calibri"/>
          <w:color w:val="252525"/>
          <w:sz w:val="22"/>
          <w:szCs w:val="22"/>
        </w:rPr>
        <w:br/>
        <w:t>and constraints.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Investment Management</w:t>
      </w:r>
      <w:r w:rsidRPr="00785AC5">
        <w:rPr>
          <w:rFonts w:ascii="Calibri" w:hAnsi="Calibri" w:cs="Calibri"/>
          <w:color w:val="252525"/>
          <w:sz w:val="22"/>
          <w:szCs w:val="22"/>
        </w:rPr>
        <w:t> The Investment Management division of the SEC works to protect investors through asset management industry regulation.</w:t>
      </w:r>
      <w:r w:rsidRPr="00785AC5">
        <w:rPr>
          <w:rFonts w:ascii="Calibri" w:hAnsi="Calibri" w:cs="Calibri"/>
          <w:color w:val="252525"/>
          <w:sz w:val="22"/>
          <w:szCs w:val="22"/>
        </w:rPr>
        <w:br/>
        <w:t>Legal Internal and external groups that advise and protect companies as related to business law.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lastRenderedPageBreak/>
        <w:t>LMM/DLP/CLP</w:t>
      </w:r>
      <w:r w:rsidRPr="00785AC5">
        <w:rPr>
          <w:rFonts w:ascii="Calibri" w:hAnsi="Calibri" w:cs="Calibri"/>
          <w:color w:val="252525"/>
          <w:sz w:val="22"/>
          <w:szCs w:val="22"/>
        </w:rPr>
        <w:t> Different listing exchanges’ names for the entities that agree to provide simultaneous bid and ask quotes to ensure liquidity and an orderly market.</w:t>
      </w:r>
      <w:r w:rsidRPr="00785AC5">
        <w:rPr>
          <w:rFonts w:ascii="Calibri" w:hAnsi="Calibri" w:cs="Calibri"/>
          <w:color w:val="252525"/>
          <w:sz w:val="22"/>
          <w:szCs w:val="22"/>
        </w:rPr>
        <w:br/>
        <w:t>These entities have clearly defined quoting obligations and incentives that must be met on an ongoing basis.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Marketing &amp; PR</w:t>
      </w:r>
      <w:r w:rsidRPr="00785AC5">
        <w:rPr>
          <w:rFonts w:ascii="Calibri" w:hAnsi="Calibri" w:cs="Calibri"/>
          <w:color w:val="252525"/>
          <w:sz w:val="22"/>
          <w:szCs w:val="22"/>
        </w:rPr>
        <w:t> Group or firm that provides sales collateral, educational content, and advertising in support of asset-gathering and the sales force.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Medallion Distributor</w:t>
      </w:r>
      <w:r w:rsidRPr="00785AC5">
        <w:rPr>
          <w:rFonts w:ascii="Calibri" w:hAnsi="Calibri" w:cs="Calibri"/>
          <w:color w:val="252525"/>
          <w:sz w:val="22"/>
          <w:szCs w:val="22"/>
        </w:rPr>
        <w:t> Serves as the underwriter for new shares. Also facilitates dealer agreements and 12b-1 fees, if applicable.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NSCC</w:t>
      </w:r>
      <w:r w:rsidRPr="00785AC5">
        <w:rPr>
          <w:rFonts w:ascii="Calibri" w:hAnsi="Calibri" w:cs="Calibri"/>
          <w:color w:val="252525"/>
          <w:sz w:val="22"/>
          <w:szCs w:val="22"/>
        </w:rPr>
        <w:t> National Securities Clearing Corporation – the centralized security depository in the United States.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OTC &amp; Dark Pools</w:t>
      </w:r>
      <w:r w:rsidRPr="00785AC5">
        <w:rPr>
          <w:rFonts w:ascii="Calibri" w:hAnsi="Calibri" w:cs="Calibri"/>
          <w:color w:val="252525"/>
          <w:sz w:val="22"/>
          <w:szCs w:val="22"/>
        </w:rPr>
        <w:t> Execution venues which allow larger buy side firms to transact while preserving some anonymity.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Primary Market</w:t>
      </w:r>
      <w:r w:rsidRPr="00785AC5">
        <w:rPr>
          <w:rFonts w:ascii="Calibri" w:hAnsi="Calibri" w:cs="Calibri"/>
          <w:color w:val="252525"/>
          <w:sz w:val="22"/>
          <w:szCs w:val="22"/>
        </w:rPr>
        <w:t> Also known as the new issues market, this is where buyers can transact directly with the issuers.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Registered Market Makers</w:t>
      </w:r>
      <w:r w:rsidRPr="00785AC5">
        <w:rPr>
          <w:rFonts w:ascii="Calibri" w:hAnsi="Calibri" w:cs="Calibri"/>
          <w:color w:val="252525"/>
          <w:sz w:val="22"/>
          <w:szCs w:val="22"/>
        </w:rPr>
        <w:t> Entity that may provide bid and ask quotes for an ETF but does not have the same obligations or incentives as the Lead Market Maker.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Retail</w:t>
      </w:r>
      <w:r w:rsidRPr="00785AC5">
        <w:rPr>
          <w:rFonts w:ascii="Calibri" w:hAnsi="Calibri" w:cs="Calibri"/>
          <w:color w:val="252525"/>
          <w:sz w:val="22"/>
          <w:szCs w:val="22"/>
        </w:rPr>
        <w:t> General term describing individual investors investing for their own account or through an adviser.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RIAs</w:t>
      </w:r>
      <w:r w:rsidRPr="00785AC5">
        <w:rPr>
          <w:rFonts w:ascii="Calibri" w:hAnsi="Calibri" w:cs="Calibri"/>
          <w:color w:val="252525"/>
          <w:sz w:val="22"/>
          <w:szCs w:val="22"/>
        </w:rPr>
        <w:t> Registered Investment Advisers (RIAs) typically operate through a state or SEC registered Adviser under the Adviser’s Act, are regulated by the state or SEC,</w:t>
      </w:r>
      <w:r w:rsidRPr="00785AC5">
        <w:rPr>
          <w:rFonts w:ascii="Calibri" w:hAnsi="Calibri" w:cs="Calibri"/>
          <w:color w:val="252525"/>
          <w:sz w:val="22"/>
          <w:szCs w:val="22"/>
        </w:rPr>
        <w:br/>
        <w:t>and fall under the 40 Act fiduciary standard.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Sales Distribution</w:t>
      </w:r>
      <w:r w:rsidRPr="00785AC5">
        <w:rPr>
          <w:rFonts w:ascii="Calibri" w:hAnsi="Calibri" w:cs="Calibri"/>
          <w:color w:val="252525"/>
          <w:sz w:val="22"/>
          <w:szCs w:val="22"/>
        </w:rPr>
        <w:t> A firm’s sales team, whose job is to raise assets in an ETF by educating and selling to financial intermediaries and investors.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SEC</w:t>
      </w:r>
      <w:r w:rsidRPr="00785AC5">
        <w:rPr>
          <w:rFonts w:ascii="Calibri" w:hAnsi="Calibri" w:cs="Calibri"/>
          <w:color w:val="252525"/>
          <w:sz w:val="22"/>
          <w:szCs w:val="22"/>
        </w:rPr>
        <w:t> Securities and Exchange Commission – US government agency that oversees the financial markets to protect shareholders and create capital market integrity.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Secondary Marke</w:t>
      </w:r>
      <w:r w:rsidRPr="00785AC5">
        <w:rPr>
          <w:rFonts w:ascii="Calibri" w:hAnsi="Calibri" w:cs="Calibri"/>
          <w:color w:val="252525"/>
          <w:sz w:val="22"/>
          <w:szCs w:val="22"/>
        </w:rPr>
        <w:t xml:space="preserve">t </w:t>
      </w:r>
      <w:proofErr w:type="gramStart"/>
      <w:r w:rsidRPr="00785AC5">
        <w:rPr>
          <w:rFonts w:ascii="Calibri" w:hAnsi="Calibri" w:cs="Calibri"/>
          <w:color w:val="252525"/>
          <w:sz w:val="22"/>
          <w:szCs w:val="22"/>
        </w:rPr>
        <w:t>This</w:t>
      </w:r>
      <w:proofErr w:type="gramEnd"/>
      <w:r w:rsidRPr="00785AC5">
        <w:rPr>
          <w:rFonts w:ascii="Calibri" w:hAnsi="Calibri" w:cs="Calibri"/>
          <w:color w:val="252525"/>
          <w:sz w:val="22"/>
          <w:szCs w:val="22"/>
        </w:rPr>
        <w:t xml:space="preserve"> is where investors trade previously issued securities among themselves, without involving the issuers.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Securities Lending Agent</w:t>
      </w:r>
      <w:r w:rsidRPr="00785AC5">
        <w:rPr>
          <w:rFonts w:ascii="Calibri" w:hAnsi="Calibri" w:cs="Calibri"/>
          <w:color w:val="252525"/>
          <w:sz w:val="22"/>
          <w:szCs w:val="22"/>
        </w:rPr>
        <w:t> Financial entity that is willing to pay to borrow the underlying securities in the fund.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lastRenderedPageBreak/>
        <w:t>Self-Directed</w:t>
      </w:r>
      <w:r w:rsidRPr="00785AC5">
        <w:rPr>
          <w:rFonts w:ascii="Calibri" w:hAnsi="Calibri" w:cs="Calibri"/>
          <w:color w:val="252525"/>
          <w:sz w:val="22"/>
          <w:szCs w:val="22"/>
        </w:rPr>
        <w:t> Individuals making their own investment decisions.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Stock Exchanges</w:t>
      </w:r>
      <w:r w:rsidRPr="00785AC5">
        <w:rPr>
          <w:rFonts w:ascii="Calibri" w:hAnsi="Calibri" w:cs="Calibri"/>
          <w:color w:val="252525"/>
          <w:sz w:val="22"/>
          <w:szCs w:val="22"/>
        </w:rPr>
        <w:t> Markets where individual equity securities, including ETFs, can be bought and sold.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Sub-advisors</w:t>
      </w:r>
      <w:r w:rsidRPr="00785AC5">
        <w:rPr>
          <w:rFonts w:ascii="Calibri" w:hAnsi="Calibri" w:cs="Calibri"/>
          <w:color w:val="252525"/>
          <w:sz w:val="22"/>
          <w:szCs w:val="22"/>
        </w:rPr>
        <w:t> Firm hired by advisor to manage all, or a portion of, an ETF’s investment portfolio based on its specific objectives.</w:t>
      </w:r>
    </w:p>
    <w:p w:rsidR="00785AC5" w:rsidRP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Calibri" w:hAnsi="Calibri" w:cs="Calibri"/>
          <w:color w:val="252525"/>
          <w:sz w:val="22"/>
          <w:szCs w:val="22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Transfer Agent</w:t>
      </w:r>
      <w:r w:rsidRPr="00785AC5">
        <w:rPr>
          <w:rFonts w:ascii="Calibri" w:hAnsi="Calibri" w:cs="Calibri"/>
          <w:color w:val="252525"/>
          <w:sz w:val="22"/>
          <w:szCs w:val="22"/>
        </w:rPr>
        <w:t> Firm that prepares and maintains documents and records related to shareholder accounts.</w:t>
      </w:r>
    </w:p>
    <w:p w:rsidR="00785AC5" w:rsidRDefault="00785AC5" w:rsidP="00785AC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inherit" w:hAnsi="inherit" w:cs="Arial"/>
          <w:color w:val="252525"/>
          <w:sz w:val="26"/>
          <w:szCs w:val="26"/>
        </w:rPr>
      </w:pPr>
      <w:r w:rsidRPr="00785AC5">
        <w:rPr>
          <w:rStyle w:val="Strong"/>
          <w:rFonts w:ascii="Calibri" w:hAnsi="Calibri" w:cs="Calibri"/>
          <w:color w:val="252525"/>
          <w:sz w:val="22"/>
          <w:szCs w:val="22"/>
          <w:bdr w:val="none" w:sz="0" w:space="0" w:color="auto" w:frame="1"/>
        </w:rPr>
        <w:t>Trustees</w:t>
      </w:r>
      <w:r w:rsidRPr="00785AC5">
        <w:rPr>
          <w:rFonts w:ascii="Calibri" w:hAnsi="Calibri" w:cs="Calibri"/>
          <w:color w:val="252525"/>
          <w:sz w:val="22"/>
          <w:szCs w:val="22"/>
        </w:rPr>
        <w:t> Group that governs high-level ETF administration and strategy in order to represent and protect shareholders.</w:t>
      </w:r>
    </w:p>
    <w:p w:rsidR="00270D5E" w:rsidRDefault="00541EF7"/>
    <w:sectPr w:rsidR="00270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AC5"/>
    <w:rsid w:val="00507982"/>
    <w:rsid w:val="00785AC5"/>
    <w:rsid w:val="009A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60E7B-E8B1-4129-9380-E062FFF5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5A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85A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A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85A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5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5A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0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Fagan</dc:creator>
  <cp:keywords/>
  <dc:description/>
  <cp:lastModifiedBy>Brian Fagan</cp:lastModifiedBy>
  <cp:revision>1</cp:revision>
  <dcterms:created xsi:type="dcterms:W3CDTF">2019-04-18T23:15:00Z</dcterms:created>
  <dcterms:modified xsi:type="dcterms:W3CDTF">2019-04-19T01:56:00Z</dcterms:modified>
</cp:coreProperties>
</file>