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Mobile: </w:t>
                              </w: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Residence: </w:t>
                              </w: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E-mail: </w:t>
                              </w: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1"/>
                                  <w:bCs w:val="1"/>
                                </w:rPr>
                                <w:t xml:space="preserve">Portfolio: </w:t>
                              </w:r>
                              <w:hyperlink r:id="rIdDuyPortfolio">
                                <w:r>
                                  <w:rPr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Academic projects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Mobile: </w:t>
                        </w: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Residence: </w:t>
                        </w: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E-mail: </w:t>
                        </w: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1"/>
                            <w:bCs w:val="1"/>
                          </w:rPr>
                          <w:t xml:space="preserve">Portfolio: </w:t>
                        </w:r>
                        <w:hyperlink r:id="rIdDuyPortfolio">
                          <w:r>
                            <w:rPr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Academic projects</w:t>
                          </w:r>
                        </w:hyperlink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510AE4ED" w14:textId="77777777" w:rsidR="00F14667" w:rsidRDefault="00F14667" w:rsidP="00F14667">
      <w:pPr>
        <w:pStyle w:val="Heading2"/>
        <w:ind w:left="0"/>
        <w:rPr>
          <w:color w:val="005F75"/>
        </w:rPr>
      </w:pP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built search, enrollment, withdrawal, and record-management workflows. Used parameterized SQL and a composite enrollment key to structure data access and relationships; delivered application code, a database, and schema documentation demonstrating how the data model supports consistent student record management.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 and unsafe memory copying, examined ASLR and other memory protections, and documented an exploit exercise in a controlled lab. Connected overflow behavior to stack contents to explain vulnerability mechanisms; produced a report and exploit source recording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stateless and stateful firewall rules, connection tracking, traffic limits, and load balancing. Compared how rule placement and connection state affect communication; produced a report with setup evidence, command explanations, and observed filtering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Translated an access-control scenario into an access matrix, access lists, and Linux ownership and permission commands. Mapped each process to the access needed for its task to apply least privilege; produced a lab report documenting permission reasoning, configuration steps, and verification evidence.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SPECTROPHOTOMETRIC CALIBRATION ~ UV-Vis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Prepared calibration standards and measured blank, sample, and replicate absorbance at 420 nm. Compared external calibration with standard addition using Excel regression to estimate concentration; delivered a report and calculation workbook documenting uncertainty, detection limits, differing estimates, and possible matrix effects that influence measurement interpretation.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4068EEAE" w14:textId="77777777" w:rsidR="003C32A3" w:rsidRDefault="003C32A3" w:rsidP="003C32A3">
      <w:pPr>
        <w:pStyle w:val="Heading2"/>
        <w:ind w:left="0"/>
        <w:rPr>
          <w:color w:val="005F75"/>
        </w:rPr>
      </w:pP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Tracked comps, voids, discounts, and refunds to identify transaction patterns and support oversight of revenue and payment controls.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sz w:val="20"/>
          <w:szCs w:val="24"/>
          <w:b w:val="0"/>
          <w:bCs w:val="0"/>
        </w:rPr>
        <w:t xml:space="preserve">References available upon request.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Relationship Id="rIdDuyPortfolio" Type="http://schemas.openxmlformats.org/officeDocument/2006/relationships/hyperlink" Target="https://bigbodydubot.github.io/WebPro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