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1: Uncertainty in Lab Glassware</w:t>
      </w:r>
    </w:p>
    <w:p>
      <w:pPr>
        <w:pStyle w:val="Heading2"/>
      </w:pPr>
      <w:r>
        <w:t>Results and Discussion</w:t>
      </w:r>
    </w:p>
    <w:p>
      <w:r>
        <w:t>The uncertainty of the glassware was included in calculating the propagated error for each preparation method.</w:t>
        <w:br/>
        <w:br/>
        <w:t>For the volumetric flask method, the 50.00 mL volumetric flask has an uncertainty of ±0.05 mL (tolerance class 20). The relative uncertainty is:</w:t>
        <w:br/>
        <w:t xml:space="preserve">    (0.05 / 50.00) × 100 = 0.10%</w:t>
        <w:br/>
        <w:br/>
        <w:t>For the beaker method, the 50.0 mL volume has an uncertainty of ±5%:</w:t>
        <w:br/>
        <w:t xml:space="preserve">    (2.50 / 50.0) × 100 = 5.0%</w:t>
        <w:br/>
        <w:br/>
        <w:t>Blank Correction and Beer’s Law</w:t>
        <w:br/>
        <w:t>The background absorbance at 412.80 nm was measured 5 times, with an average of ~0.015. Each raw absorbance was corrected by subtracting this blank. Concentration was determined using Beer’s Law:</w:t>
        <w:br/>
        <w:br/>
        <w:t xml:space="preserve">    A = ε b c   →   c = A / (ε b)</w:t>
        <w:br/>
        <w:br/>
        <w:t>where ε = 1020 M⁻¹ cm⁻¹ and b = 1.00 cm.</w:t>
      </w:r>
    </w:p>
    <w:p>
      <w:pPr>
        <w:pStyle w:val="Heading3"/>
      </w:pPr>
      <w:r>
        <w:t>Table 1. Variability of potassium ferricyanide concentration for each replicate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Avg conc. (M)</w:t>
            </w:r>
          </w:p>
        </w:tc>
        <w:tc>
          <w:tcPr>
            <w:tcW w:type="dxa" w:w="1728"/>
          </w:tcPr>
          <w:p>
            <w:r>
              <w:t>SD (M)</w:t>
            </w:r>
          </w:p>
        </w:tc>
        <w:tc>
          <w:tcPr>
            <w:tcW w:type="dxa" w:w="1728"/>
          </w:tcPr>
          <w:p>
            <w:r>
              <w:t>RSD (%)</w:t>
            </w:r>
          </w:p>
        </w:tc>
        <w:tc>
          <w:tcPr>
            <w:tcW w:type="dxa" w:w="1728"/>
          </w:tcPr>
          <w:p>
            <w:r>
              <w:t>95% CI (M)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9.22×10⁻⁴</w:t>
            </w:r>
          </w:p>
        </w:tc>
        <w:tc>
          <w:tcPr>
            <w:tcW w:type="dxa" w:w="1728"/>
          </w:tcPr>
          <w:p>
            <w:r>
              <w:t>7.19×10⁻⁶</w:t>
            </w:r>
          </w:p>
        </w:tc>
        <w:tc>
          <w:tcPr>
            <w:tcW w:type="dxa" w:w="1728"/>
          </w:tcPr>
          <w:p>
            <w:r>
              <w:t>0.753</w:t>
            </w:r>
          </w:p>
        </w:tc>
        <w:tc>
          <w:tcPr>
            <w:tcW w:type="dxa" w:w="1728"/>
          </w:tcPr>
          <w:p>
            <w:r>
              <w:t>6.30×10⁻⁶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9.87×10⁻⁴</w:t>
            </w:r>
          </w:p>
        </w:tc>
        <w:tc>
          <w:tcPr>
            <w:tcW w:type="dxa" w:w="1728"/>
          </w:tcPr>
          <w:p>
            <w:r>
              <w:t>3.16×10⁻⁵</w:t>
            </w:r>
          </w:p>
        </w:tc>
        <w:tc>
          <w:tcPr>
            <w:tcW w:type="dxa" w:w="1728"/>
          </w:tcPr>
          <w:p>
            <w:r>
              <w:t>3.20</w:t>
            </w:r>
          </w:p>
        </w:tc>
        <w:tc>
          <w:tcPr>
            <w:tcW w:type="dxa" w:w="1728"/>
          </w:tcPr>
          <w:p>
            <w:r>
              <w:t>2.77×10⁻⁵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9.78×10⁻⁴</w:t>
            </w:r>
          </w:p>
        </w:tc>
        <w:tc>
          <w:tcPr>
            <w:tcW w:type="dxa" w:w="1728"/>
          </w:tcPr>
          <w:p>
            <w:r>
              <w:t>9.21×10⁻⁶</w:t>
            </w:r>
          </w:p>
        </w:tc>
        <w:tc>
          <w:tcPr>
            <w:tcW w:type="dxa" w:w="1728"/>
          </w:tcPr>
          <w:p>
            <w:r>
              <w:t>0.941</w:t>
            </w:r>
          </w:p>
        </w:tc>
        <w:tc>
          <w:tcPr>
            <w:tcW w:type="dxa" w:w="1728"/>
          </w:tcPr>
          <w:p>
            <w:r>
              <w:t>8.07×10⁻⁶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9.19×10⁻⁴</w:t>
            </w:r>
          </w:p>
        </w:tc>
        <w:tc>
          <w:tcPr>
            <w:tcW w:type="dxa" w:w="1728"/>
          </w:tcPr>
          <w:p>
            <w:r>
              <w:t>1.04×10⁻⁵</w:t>
            </w:r>
          </w:p>
        </w:tc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9.12×10⁻⁶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9.92×10⁻⁴</w:t>
            </w:r>
          </w:p>
        </w:tc>
        <w:tc>
          <w:tcPr>
            <w:tcW w:type="dxa" w:w="1728"/>
          </w:tcPr>
          <w:p>
            <w:r>
              <w:t>1.41×10⁻⁵</w:t>
            </w:r>
          </w:p>
        </w:tc>
        <w:tc>
          <w:tcPr>
            <w:tcW w:type="dxa" w:w="1728"/>
          </w:tcPr>
          <w:p>
            <w:r>
              <w:t>1.42</w:t>
            </w:r>
          </w:p>
        </w:tc>
        <w:tc>
          <w:tcPr>
            <w:tcW w:type="dxa" w:w="1728"/>
          </w:tcPr>
          <w:p>
            <w:r>
              <w:t>3.80×10⁻⁶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9.76×10⁻⁴</w:t>
            </w:r>
          </w:p>
        </w:tc>
        <w:tc>
          <w:tcPr>
            <w:tcW w:type="dxa" w:w="1728"/>
          </w:tcPr>
          <w:p>
            <w:r>
              <w:t>4.34×10⁻⁶</w:t>
            </w:r>
          </w:p>
        </w:tc>
        <w:tc>
          <w:tcPr>
            <w:tcW w:type="dxa" w:w="1728"/>
          </w:tcPr>
          <w:p>
            <w:r>
              <w:t>0.444</w:t>
            </w:r>
          </w:p>
        </w:tc>
        <w:tc>
          <w:tcPr>
            <w:tcW w:type="dxa" w:w="1728"/>
          </w:tcPr>
          <w:p>
            <w:r>
              <w:t>3.80×10⁻⁶</w:t>
            </w:r>
          </w:p>
        </w:tc>
      </w:tr>
    </w:tbl>
    <w:p>
      <w:pPr>
        <w:pStyle w:val="Heading3"/>
      </w:pPr>
      <w:r>
        <w:t>Table 2. Variability and error by preparation method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Avg conc. (M)</w:t>
            </w:r>
          </w:p>
        </w:tc>
        <w:tc>
          <w:tcPr>
            <w:tcW w:type="dxa" w:w="1234"/>
          </w:tcPr>
          <w:p>
            <w:r>
              <w:t>SD (M)</w:t>
            </w:r>
          </w:p>
        </w:tc>
        <w:tc>
          <w:tcPr>
            <w:tcW w:type="dxa" w:w="1234"/>
          </w:tcPr>
          <w:p>
            <w:r>
              <w:t>RSD (%)</w:t>
            </w:r>
          </w:p>
        </w:tc>
        <w:tc>
          <w:tcPr>
            <w:tcW w:type="dxa" w:w="1234"/>
          </w:tcPr>
          <w:p>
            <w:r>
              <w:t>95% CI (M)</w:t>
            </w:r>
          </w:p>
        </w:tc>
        <w:tc>
          <w:tcPr>
            <w:tcW w:type="dxa" w:w="1234"/>
          </w:tcPr>
          <w:p>
            <w:r>
              <w:t>Abs. Error (M)</w:t>
            </w:r>
          </w:p>
        </w:tc>
        <w:tc>
          <w:tcPr>
            <w:tcW w:type="dxa" w:w="1234"/>
          </w:tcPr>
          <w:p>
            <w:r>
              <w:t>% Error</w:t>
            </w:r>
          </w:p>
        </w:tc>
      </w:tr>
      <w:tr>
        <w:tc>
          <w:tcPr>
            <w:tcW w:type="dxa" w:w="1234"/>
          </w:tcPr>
          <w:p>
            <w:r>
              <w:t>Volumetric flask</w:t>
            </w:r>
          </w:p>
        </w:tc>
        <w:tc>
          <w:tcPr>
            <w:tcW w:type="dxa" w:w="1234"/>
          </w:tcPr>
          <w:p>
            <w:r>
              <w:t>9.74×10⁻⁴</w:t>
            </w:r>
          </w:p>
        </w:tc>
        <w:tc>
          <w:tcPr>
            <w:tcW w:type="dxa" w:w="1234"/>
          </w:tcPr>
          <w:p>
            <w:r>
              <w:t>2.29×10⁻⁵</w:t>
            </w:r>
          </w:p>
        </w:tc>
        <w:tc>
          <w:tcPr>
            <w:tcW w:type="dxa" w:w="1234"/>
          </w:tcPr>
          <w:p>
            <w:r>
              <w:t>2.35</w:t>
            </w:r>
          </w:p>
        </w:tc>
        <w:tc>
          <w:tcPr>
            <w:tcW w:type="dxa" w:w="1234"/>
          </w:tcPr>
          <w:p>
            <w:r>
              <w:t>1.16×10⁻⁵</w:t>
            </w:r>
          </w:p>
        </w:tc>
        <w:tc>
          <w:tcPr>
            <w:tcW w:type="dxa" w:w="1234"/>
          </w:tcPr>
          <w:p>
            <w:r>
              <w:t>2.70×10⁻⁵</w:t>
            </w:r>
          </w:p>
        </w:tc>
        <w:tc>
          <w:tcPr>
            <w:tcW w:type="dxa" w:w="1234"/>
          </w:tcPr>
          <w:p>
            <w:r>
              <w:t>2.7%</w:t>
            </w:r>
          </w:p>
        </w:tc>
      </w:tr>
      <w:tr>
        <w:tc>
          <w:tcPr>
            <w:tcW w:type="dxa" w:w="1234"/>
          </w:tcPr>
          <w:p>
            <w:r>
              <w:t>Beaker</w:t>
            </w:r>
          </w:p>
        </w:tc>
        <w:tc>
          <w:tcPr>
            <w:tcW w:type="dxa" w:w="1234"/>
          </w:tcPr>
          <w:p>
            <w:r>
              <w:t>9.62×10⁻⁴</w:t>
            </w:r>
          </w:p>
        </w:tc>
        <w:tc>
          <w:tcPr>
            <w:tcW w:type="dxa" w:w="1234"/>
          </w:tcPr>
          <w:p>
            <w:r>
              <w:t>3.36×10⁻⁵</w:t>
            </w:r>
          </w:p>
        </w:tc>
        <w:tc>
          <w:tcPr>
            <w:tcW w:type="dxa" w:w="1234"/>
          </w:tcPr>
          <w:p>
            <w:r>
              <w:t>3.49</w:t>
            </w:r>
          </w:p>
        </w:tc>
        <w:tc>
          <w:tcPr>
            <w:tcW w:type="dxa" w:w="1234"/>
          </w:tcPr>
          <w:p>
            <w:r>
              <w:t>1.70×10⁻⁵</w:t>
            </w:r>
          </w:p>
        </w:tc>
        <w:tc>
          <w:tcPr>
            <w:tcW w:type="dxa" w:w="1234"/>
          </w:tcPr>
          <w:p>
            <w:r>
              <w:t>3.82×10⁻⁵</w:t>
            </w:r>
          </w:p>
        </w:tc>
        <w:tc>
          <w:tcPr>
            <w:tcW w:type="dxa" w:w="1234"/>
          </w:tcPr>
          <w:p>
            <w:r>
              <w:t>3.8%</w:t>
            </w:r>
          </w:p>
        </w:tc>
      </w:tr>
    </w:tbl>
    <w:p>
      <w:pPr>
        <w:pStyle w:val="Heading2"/>
      </w:pPr>
      <w:r>
        <w:t>Discussion Questions</w:t>
      </w:r>
    </w:p>
    <w:p>
      <w:r>
        <w:rPr>
          <w:b/>
        </w:rPr>
        <w:t>1. Which preparation method gives the most accurate result?</w:t>
        <w:br/>
      </w:r>
      <w:r>
        <w:t>The volumetric flask preparation was more accurate, giving an average concentration closer to the expected 1.0005 × 10⁻³ M and a smaller % error (2.7% vs 3.8%).</w:t>
      </w:r>
    </w:p>
    <w:p>
      <w:r>
        <w:rPr>
          <w:b/>
        </w:rPr>
        <w:t>2. Case 1 t-test: Does either method agree with the true value?</w:t>
        <w:br/>
      </w:r>
      <w:r>
        <w:t>A Case 1 t-test comparing each method’s mean to the true concentration shows that neither method agrees with the true value at the 95% confidence level, because the 95% CI for both does not include 1.0005 × 10⁻³ M.</w:t>
      </w:r>
    </w:p>
    <w:p>
      <w:r>
        <w:rPr>
          <w:b/>
        </w:rPr>
        <w:t>3. Which method appears to be more precise?</w:t>
        <w:br/>
      </w:r>
      <w:r>
        <w:t>The volumetric flask method is more precise, as shown by a lower standard deviation, smaller RSD, and narrower confidence interval.</w:t>
      </w:r>
    </w:p>
    <w:p>
      <w:r>
        <w:rPr>
          <w:b/>
        </w:rPr>
        <w:t>4. Case 2 t-test: Do the two means agree within experimental error?</w:t>
        <w:br/>
      </w:r>
      <w:r>
        <w:t>A Case 2 t-test comparing the flask and beaker means indicates that the two are not statistically different at the 95% confidence level, suggesting that although flask preparation is more precise, the means are not significantly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