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 and Discussion – Expanded Explanation</w:t>
      </w:r>
    </w:p>
    <w:p>
      <w:r>
        <w:t>The purpose of this lab was to examine how the choice of glassware influences the accuracy and precision of solution preparation. By comparing solutions made with a volumetric flask versus a beaker, we can see how the different tolerances in glassware affect the variability of measured concentrations.</w:t>
      </w:r>
    </w:p>
    <w:p>
      <w:pPr>
        <w:pStyle w:val="Heading2"/>
      </w:pPr>
      <w:r>
        <w:t>Connection to Beer’s Law</w:t>
      </w:r>
    </w:p>
    <w:p>
      <w:r>
        <w:t>Absorbance readings at 412.80 nm were collected for six solutions, three prepared with a volumetric flask and three with a beaker. After subtracting the blank, concentrations were calculated using Beer’s Law:</w:t>
        <w:br/>
        <w:br/>
        <w:t xml:space="preserve">    c = A / (ε b)</w:t>
        <w:br/>
        <w:br/>
        <w:t>with ε = 1020 M⁻¹ cm⁻¹ and b = 1.00 cm.</w:t>
      </w:r>
    </w:p>
    <w:p>
      <w:pPr>
        <w:pStyle w:val="Heading2"/>
      </w:pPr>
      <w:r>
        <w:t>Table 1 – Variability per replicate</w:t>
      </w:r>
    </w:p>
    <w:p>
      <w:r>
        <w:t>Table 1 shows the average concentration, standard deviation (SD), relative standard deviation (RSD), and 95% confidence interval (CI) for each of the six solutions. This table demonstrates the spread of the measurements within each solution. For example:</w:t>
        <w:br/>
        <w:t>• Sample 1 (flask prep) had a mean of 9.22×10⁻⁴ M with a very small SD (7.19×10⁻⁶ M), giving an RSD under 1%, which indicates excellent precision.</w:t>
        <w:br/>
        <w:t>• Sample 2 (flask prep) showed larger variability (RSD ≈ 3.2%), illustrating that even with good glassware, random error can affect a single trial.</w:t>
        <w:br/>
        <w:t>• Beaker-prepared samples (4–6) generally had higher variability, reflected in larger SD and wider confidence intervals.</w:t>
        <w:br/>
        <w:br/>
        <w:t>Thus, Table 1 reflects the precision of each individual preparation, highlighting how flask vs. beaker performance differs at the sample level.</w:t>
      </w:r>
    </w:p>
    <w:p>
      <w:pPr>
        <w:pStyle w:val="Heading2"/>
      </w:pPr>
      <w:r>
        <w:t>Table 2 – Comparison by preparation method</w:t>
      </w:r>
    </w:p>
    <w:p>
      <w:r>
        <w:t>Table 2 combines the data from Table 1 into group statistics for flask vs. beaker preparations. It summarizes the average concentration, SD, RSD, CI, and also introduces absolute error and percent error relative to the expected theoretical concentration (1.0005×10⁻³ M).</w:t>
        <w:br/>
        <w:t>• The flask method gave an average of 9.74×10⁻⁴ M, with a smaller SD (2.29×10⁻⁵ M), narrower CI, and lower % error (2.7%).</w:t>
        <w:br/>
        <w:t>• The beaker method gave an average of 9.62×10⁻⁴ M, with a larger SD (3.36×10⁻⁵ M), wider CI, and slightly higher % error (3.8%).</w:t>
        <w:br/>
        <w:br/>
        <w:t>This confirms that volumetric flasks produce more precise and slightly more accurate results than beakers, which is consistent with their tighter manufacturing tolerances.</w:t>
      </w:r>
    </w:p>
    <w:p>
      <w:pPr>
        <w:pStyle w:val="Heading2"/>
      </w:pPr>
      <w:r>
        <w:t>Overall link to lab goals</w:t>
      </w:r>
    </w:p>
    <w:p>
      <w:r>
        <w:t>• Table 1 shows the variability within each sample.</w:t>
        <w:br/>
        <w:t>• Table 2 summarizes the two preparation methods, quantifying how glassware choice influences both accuracy and precision.</w:t>
        <w:br/>
        <w:br/>
        <w:t>Together, these results illustrate the fundamental analytical chemistry principle that better glassware yields more reliable data. This is why volumetric flasks are preferred in quantitative analysis, while beakers are typically reserved for rough volume estimates.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