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Mobile: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Residence: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E-mail: </w:t>
                              </w: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1"/>
                                  <w:bCs w:val="1"/>
                                </w:rPr>
                                <w:t xml:space="preserve">Portfolio: </w:t>
                              </w:r>
                              <w:hyperlink r:id="rIdDuyPortfolio">
                                <w:r>
                                  <w:rPr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Academic projects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Mobile: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Residence: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E-mail: </w:t>
                        </w: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1"/>
                            <w:bCs w:val="1"/>
                          </w:rPr>
                          <w:t xml:space="preserve">Portfolio: </w:t>
                        </w:r>
                        <w:hyperlink r:id="rIdDuyPortfolio">
                          <w:r>
                            <w:rPr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Academic projects</w:t>
                          </w:r>
                        </w:hyperlink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510AE4ED" w14:textId="77777777" w:rsidR="00F14667" w:rsidRDefault="00F14667" w:rsidP="00F14667">
      <w:pPr>
        <w:pStyle w:val="Heading2"/>
        <w:ind w:left="0"/>
        <w:rPr>
          <w:color w:val="005F75"/>
        </w:rPr>
      </w:pP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Built course search, enrollment, and withdrawal workflows using parameterized SQL and a composite key; delivered an application and schema connecting database structure to consistent student record management.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STATISTICAL SUMMARIES AND REGRESSION ~ StatCrunch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distributions, regression models, and residuals to assess relationships; documented weak predictive results and model limitations to distinguish observed associations from dependable predictions.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AND NETWORK SECURITY ~ Linux |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Tested permissions, ACLs, packet spoofing, and firewall behavior in controlled labs; documented observed access and filtering outcomes to explain least privilege and the limits of security controls.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SPECTROPHOTOMETRIC CALIBRATION ~ UV-Vis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Prepared standards, measured absorbance at 420 nm, and compared calibration methods to estimate concentration; produced a report and workbook examining differing results, uncertainty, and possible matrix effects.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4068EEAE" w14:textId="77777777" w:rsidR="003C32A3" w:rsidRDefault="003C32A3" w:rsidP="003C32A3">
      <w:pPr>
        <w:pStyle w:val="Heading2"/>
        <w:ind w:left="0"/>
        <w:rPr>
          <w:color w:val="005F75"/>
        </w:rPr>
      </w:pP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Tracked comps, voids, discounts, and refunds to identify transaction patterns and support oversight of revenue and payment controls.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Relationship Id="rIdDuyPortfolio" Type="http://schemas.openxmlformats.org/officeDocument/2006/relationships/hyperlink" Target="https://bigbodydubot.github.io/Web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