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2P04</w:t>
      </w:r>
      <w:r>
        <w:t xml:space="preserve"> </w:t>
      </w:r>
      <w:r>
        <w:t xml:space="preserve">Lab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Talha</w:t>
      </w:r>
      <w:r>
        <w:t xml:space="preserve"> </w:t>
      </w:r>
      <w:r>
        <w:t xml:space="preserve">Ahmad,</w:t>
      </w:r>
      <w:r>
        <w:t xml:space="preserve"> </w:t>
      </w:r>
      <w:r>
        <w:t xml:space="preserve">400517273</w:t>
      </w:r>
    </w:p>
    <w:bookmarkStart w:id="31" w:name="lecture-12"/>
    <w:p>
      <w:pPr>
        <w:pStyle w:val="Heading1"/>
      </w:pPr>
      <w:r>
        <w:t xml:space="preserve">Lecture 12</w:t>
      </w:r>
    </w:p>
    <w:bookmarkStart w:id="26" w:name="lecture-questions"/>
    <w:p>
      <w:pPr>
        <w:pStyle w:val="Heading2"/>
      </w:pPr>
      <w:r>
        <w:t xml:space="preserve">Lecture Questions</w:t>
      </w:r>
    </w:p>
    <w:p>
      <w:pPr>
        <w:pStyle w:val="FirstParagraph"/>
      </w:pPr>
      <w:r>
        <w:drawing>
          <wp:inline>
            <wp:extent cx="5334000" cy="173246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l12-l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start by first solving for this system as a whole without considering the internal forces.</w:t>
      </w:r>
      <w:r>
        <w:t xml:space="preserve"> </w:t>
      </w:r>
      <w:r>
        <w:t xml:space="preserve">Then, we can switch and use one half of the right side where we can consider the internal forces and in doing so, we can solve for the internal forces.</w:t>
      </w:r>
      <w:r>
        <w:t xml:space="preserve"> </w:t>
      </w:r>
      <w:r>
        <w:t xml:space="preserve">We can write out the following Maple code for this:</w:t>
      </w:r>
    </w:p>
    <w:p>
      <w:pPr>
        <w:pStyle w:val="SourceCode"/>
      </w:pPr>
      <w:r>
        <w:rPr>
          <w:rStyle w:val="NormalTok"/>
        </w:rPr>
        <w:t xml:space="preserve"># </w:t>
      </w:r>
      <w:r>
        <w:rPr>
          <w:rStyle w:val="VariableTok"/>
        </w:rPr>
        <w:t xml:space="preserve">Lecture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lecture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question</w:t>
      </w:r>
      <w:r>
        <w:br/>
      </w:r>
      <w:r>
        <w:br/>
      </w:r>
      <w:r>
        <w:rPr>
          <w:rStyle w:val="NormalTok"/>
        </w:rPr>
        <w:t xml:space="preserve"># </w:t>
      </w:r>
      <w:r>
        <w:rPr>
          <w:rStyle w:val="VariableTok"/>
        </w:rPr>
        <w:t xml:space="preserve">Solve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outside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values</w:t>
      </w:r>
      <w:r>
        <w:br/>
      </w:r>
      <w:r>
        <w:rPr>
          <w:rStyle w:val="VariableTok"/>
        </w:rPr>
        <w:t xml:space="preserve">restart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:=</w:t>
      </w:r>
      <w:r>
        <w:rPr>
          <w:rStyle w:val="FloatTok"/>
        </w:rPr>
        <w:t xml:space="preserve">700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br/>
      </w:r>
      <w:r>
        <w:rPr>
          <w:rStyle w:val="VariableTok"/>
        </w:rPr>
        <w:t xml:space="preserve">solve</w:t>
      </w:r>
      <w:r>
        <w:rPr>
          <w:rStyle w:val="NormalTok"/>
        </w:rPr>
        <w:t xml:space="preserve">([</w:t>
      </w:r>
      <w:r>
        <w:br/>
      </w:r>
      <w:r>
        <w:rPr>
          <w:rStyle w:val="OperatorTok"/>
        </w:rPr>
        <w:t xml:space="preserve">-</w:t>
      </w:r>
      <w:r>
        <w:rPr>
          <w:rStyle w:val="VariableTok"/>
        </w:rPr>
        <w:t xml:space="preserve">CD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Bx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-</w:t>
      </w:r>
      <w:r>
        <w:rPr>
          <w:rStyle w:val="VariableTok"/>
        </w:rPr>
        <w:t xml:space="preserve">CD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By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-</w:t>
      </w:r>
      <w:r>
        <w:rPr>
          <w:rStyle w:val="VariableTok"/>
        </w:rPr>
        <w:t xml:space="preserve">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By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assign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%):</w:t>
      </w:r>
      <w:r>
        <w:br/>
      </w:r>
      <w:r>
        <w:br/>
      </w:r>
      <w:r>
        <w:rPr>
          <w:rStyle w:val="NormalTok"/>
        </w:rPr>
        <w:t xml:space="preserve"># </w:t>
      </w:r>
      <w:r>
        <w:rPr>
          <w:rStyle w:val="VariableTok"/>
        </w:rPr>
        <w:t xml:space="preserve">Solve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values</w:t>
      </w:r>
      <w:r>
        <w:br/>
      </w:r>
      <w:r>
        <w:rPr>
          <w:rStyle w:val="VariableTok"/>
        </w:rPr>
        <w:t xml:space="preserve">solve</w:t>
      </w:r>
      <w:r>
        <w:rPr>
          <w:rStyle w:val="NormalTok"/>
        </w:rPr>
        <w:t xml:space="preserve">([</w:t>
      </w:r>
      <w:r>
        <w:br/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CD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CD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V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-</w:t>
      </w:r>
      <w:r>
        <w:rPr>
          <w:rStyle w:val="VariableTok"/>
        </w:rPr>
        <w:t xml:space="preserve">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V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M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2879999" cy="700303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l12-lq-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70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get that the shear force at the internal point is 700 N upwards, the normal force is 2800 N towards the right, and the moment is 2800 N*m out of the page.</w:t>
      </w:r>
    </w:p>
    <w:bookmarkEnd w:id="26"/>
    <w:bookmarkStart w:id="30" w:name="quiz-and-reflection"/>
    <w:p>
      <w:pPr>
        <w:pStyle w:val="Heading2"/>
      </w:pPr>
      <w:r>
        <w:t xml:space="preserve">Quiz and Reflection</w:t>
      </w:r>
    </w:p>
    <w:p>
      <w:pPr>
        <w:pStyle w:val="FirstParagraph"/>
      </w:pPr>
      <w:r>
        <w:drawing>
          <wp:inline>
            <wp:extent cx="5334000" cy="2818827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l12-quiz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2P04 Lab 4</dc:title>
  <dc:creator>Talha Ahmad, 400517273</dc:creator>
  <cp:keywords/>
  <dcterms:created xsi:type="dcterms:W3CDTF">2024-10-08T16:17:15Z</dcterms:created>
  <dcterms:modified xsi:type="dcterms:W3CDTF">2024-10-08T16:17:15Z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