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EB1" w:rsidRDefault="001863BC" w:rsidP="001863BC">
      <w:pPr>
        <w:pStyle w:val="Title"/>
      </w:pPr>
      <w:r>
        <w:t>Smarter Balanced Embedded Field Test</w:t>
      </w:r>
      <w:r w:rsidR="0029453D">
        <w:br/>
      </w:r>
      <w:r w:rsidR="0029453D" w:rsidRPr="0029453D">
        <w:rPr>
          <w:sz w:val="22"/>
          <w:szCs w:val="22"/>
        </w:rPr>
        <w:t>For Spring 2015 – updated 7 January 2015</w:t>
      </w:r>
      <w:r>
        <w:t xml:space="preserve"> </w:t>
      </w:r>
    </w:p>
    <w:p w:rsidR="00E912CA" w:rsidRDefault="00E912CA" w:rsidP="00E912CA">
      <w:pPr>
        <w:pStyle w:val="Heading1"/>
      </w:pPr>
      <w:r>
        <w:t>Introd</w:t>
      </w:r>
      <w:r w:rsidR="0002181C">
        <w:t>u</w:t>
      </w:r>
      <w:r>
        <w:t>ction</w:t>
      </w:r>
      <w:bookmarkStart w:id="0" w:name="_GoBack"/>
      <w:bookmarkEnd w:id="0"/>
    </w:p>
    <w:p w:rsidR="0041105F" w:rsidRDefault="001863BC" w:rsidP="001863BC">
      <w:r>
        <w:t>Smarter Balanced will embed approximately 6,000 field</w:t>
      </w:r>
      <w:r w:rsidR="00A357FB">
        <w:t>-</w:t>
      </w:r>
      <w:r>
        <w:t xml:space="preserve">test items in </w:t>
      </w:r>
      <w:r w:rsidR="00A357FB">
        <w:t xml:space="preserve">its </w:t>
      </w:r>
      <w:r>
        <w:t xml:space="preserve">spring 2015 operational </w:t>
      </w:r>
      <w:r w:rsidR="00A357FB">
        <w:t>English language arts (</w:t>
      </w:r>
      <w:r w:rsidR="00710EC4">
        <w:t>ELA</w:t>
      </w:r>
      <w:r w:rsidR="00A357FB">
        <w:t>)</w:t>
      </w:r>
      <w:r w:rsidR="00710EC4">
        <w:t xml:space="preserve"> </w:t>
      </w:r>
      <w:r>
        <w:t>assessment</w:t>
      </w:r>
      <w:r w:rsidR="00710EC4">
        <w:t xml:space="preserve"> and approximately 5,000</w:t>
      </w:r>
      <w:r w:rsidR="00A357FB">
        <w:t xml:space="preserve"> field-test items</w:t>
      </w:r>
      <w:r w:rsidR="00710EC4">
        <w:t xml:space="preserve"> in </w:t>
      </w:r>
      <w:r w:rsidR="00A357FB">
        <w:t xml:space="preserve">its </w:t>
      </w:r>
      <w:r w:rsidR="00710EC4">
        <w:t>mathematics assessment</w:t>
      </w:r>
      <w:r>
        <w:t>.</w:t>
      </w:r>
      <w:r w:rsidR="0002181C">
        <w:t xml:space="preserve"> </w:t>
      </w:r>
      <w:r w:rsidR="0041105F">
        <w:t>This document describes the plan</w:t>
      </w:r>
      <w:r w:rsidR="00A357FB">
        <w:t>n</w:t>
      </w:r>
      <w:r w:rsidR="0041105F">
        <w:t>ed implementation of the embedded field test in each subject.</w:t>
      </w:r>
    </w:p>
    <w:p w:rsidR="00B3194F" w:rsidRDefault="00B3194F" w:rsidP="001863BC">
      <w:r>
        <w:t>Items will be administered with the following rules:</w:t>
      </w:r>
    </w:p>
    <w:p w:rsidR="0041105F" w:rsidRDefault="0041105F" w:rsidP="00B3194F">
      <w:pPr>
        <w:pStyle w:val="ListParagraph"/>
        <w:numPr>
          <w:ilvl w:val="0"/>
          <w:numId w:val="3"/>
        </w:numPr>
      </w:pPr>
      <w:r>
        <w:t>On both assessments</w:t>
      </w:r>
      <w:r w:rsidR="00E30C39">
        <w:t xml:space="preserve">, </w:t>
      </w:r>
      <w:r w:rsidR="00A357FB">
        <w:t>embedded field-test (</w:t>
      </w:r>
      <w:r w:rsidR="00B3194F">
        <w:t>EFT</w:t>
      </w:r>
      <w:r w:rsidR="00A357FB">
        <w:t>)</w:t>
      </w:r>
      <w:r w:rsidR="00B3194F">
        <w:t xml:space="preserve"> items may appear at any position between at or after the fifth item on the test and at or before the fifth-from-last item on the test.</w:t>
      </w:r>
    </w:p>
    <w:p w:rsidR="00B3194F" w:rsidRDefault="00B3194F" w:rsidP="00B3194F">
      <w:pPr>
        <w:pStyle w:val="ListParagraph"/>
        <w:numPr>
          <w:ilvl w:val="0"/>
          <w:numId w:val="3"/>
        </w:numPr>
      </w:pPr>
      <w:r>
        <w:t>Within the allowable field-test positions, each item or group will be administered in randomly selected positions.</w:t>
      </w:r>
    </w:p>
    <w:p w:rsidR="00B3194F" w:rsidRDefault="00B3194F" w:rsidP="00B3194F">
      <w:pPr>
        <w:pStyle w:val="ListParagraph"/>
        <w:numPr>
          <w:ilvl w:val="0"/>
          <w:numId w:val="3"/>
        </w:numPr>
      </w:pPr>
      <w:r>
        <w:t>Item groups (such as items following a passage) will be administered intact.</w:t>
      </w:r>
    </w:p>
    <w:p w:rsidR="00B3194F" w:rsidRDefault="00B3194F" w:rsidP="00B3194F">
      <w:pPr>
        <w:pStyle w:val="ListParagraph"/>
        <w:numPr>
          <w:ilvl w:val="0"/>
          <w:numId w:val="3"/>
        </w:numPr>
      </w:pPr>
      <w:r>
        <w:t>The number of field</w:t>
      </w:r>
      <w:r w:rsidR="00A357FB">
        <w:t>-test</w:t>
      </w:r>
      <w:r>
        <w:t xml:space="preserve"> items administered to individual students will never exceed the intended maximum nor fall short of the intended minimum.</w:t>
      </w:r>
    </w:p>
    <w:p w:rsidR="00B3194F" w:rsidRDefault="00B3194F" w:rsidP="00B3194F">
      <w:r>
        <w:t>A subset of the field-test items have been annotated or augmented to support certain accommodations</w:t>
      </w:r>
      <w:r w:rsidR="00A357FB">
        <w:t>—</w:t>
      </w:r>
      <w:r>
        <w:t xml:space="preserve">including, for example, </w:t>
      </w:r>
      <w:r w:rsidR="00E33C03">
        <w:t>b</w:t>
      </w:r>
      <w:r>
        <w:t xml:space="preserve">raille, second-language glossaries, </w:t>
      </w:r>
      <w:r w:rsidR="00657144">
        <w:t>and American Sign Language.</w:t>
      </w:r>
      <w:r w:rsidR="00D64707">
        <w:t xml:space="preserve"> </w:t>
      </w:r>
      <w:r w:rsidR="00657144">
        <w:t>The customized item</w:t>
      </w:r>
      <w:r w:rsidR="00A357FB">
        <w:t>-</w:t>
      </w:r>
      <w:r w:rsidR="00657144">
        <w:t xml:space="preserve">pool filters described in Cohen and Albright (2014) will ensure that students receiving such accommodations will </w:t>
      </w:r>
      <w:r w:rsidR="005048A4">
        <w:t xml:space="preserve">also receive </w:t>
      </w:r>
      <w:r w:rsidR="00A357FB">
        <w:t>EFT</w:t>
      </w:r>
      <w:r w:rsidR="005048A4">
        <w:t xml:space="preserve"> items supporting the same accommodations.</w:t>
      </w:r>
    </w:p>
    <w:p w:rsidR="00226728" w:rsidRDefault="00226728" w:rsidP="00226728">
      <w:pPr>
        <w:pStyle w:val="Heading1"/>
      </w:pPr>
      <w:r>
        <w:t>Mathematics Embedded Field Test</w:t>
      </w:r>
    </w:p>
    <w:p w:rsidR="00226728" w:rsidRPr="00226728" w:rsidRDefault="00226728" w:rsidP="00226728">
      <w:r>
        <w:t>The mathematics items to be field tested are all independent, stand-alone items.</w:t>
      </w:r>
      <w:r w:rsidR="00D64707">
        <w:t xml:space="preserve"> </w:t>
      </w:r>
      <w:r>
        <w:t>Each student will be administered exactly two field</w:t>
      </w:r>
      <w:r w:rsidR="00A357FB">
        <w:t>-</w:t>
      </w:r>
      <w:r>
        <w:t>test items, embedded in the allowable field</w:t>
      </w:r>
      <w:r w:rsidR="00A357FB">
        <w:t>-</w:t>
      </w:r>
      <w:r>
        <w:t>test positions.</w:t>
      </w:r>
      <w:r w:rsidR="00D64707">
        <w:t xml:space="preserve"> </w:t>
      </w:r>
      <w:r>
        <w:t>Each item, therefore, will have approximately a 0.04% exposure rate, yielding an expected 2,400 responses if 6,000,000 students complete the operational mathematics assessment.</w:t>
      </w:r>
    </w:p>
    <w:p w:rsidR="0041105F" w:rsidRDefault="0041105F" w:rsidP="00226728">
      <w:pPr>
        <w:pStyle w:val="Heading1"/>
      </w:pPr>
      <w:r>
        <w:t>ELA</w:t>
      </w:r>
      <w:r w:rsidR="00226728">
        <w:t xml:space="preserve"> </w:t>
      </w:r>
      <w:r w:rsidR="00226728" w:rsidRPr="00226728">
        <w:t>Embedded</w:t>
      </w:r>
      <w:r w:rsidR="00226728">
        <w:t xml:space="preserve"> Field Test</w:t>
      </w:r>
    </w:p>
    <w:p w:rsidR="001863BC" w:rsidRDefault="001863BC" w:rsidP="001863BC">
      <w:r>
        <w:t>While the design for the mathematics assessment is straightforward, the ELA assessment poses more challenges, includ</w:t>
      </w:r>
      <w:r w:rsidR="00A357FB">
        <w:t>ing</w:t>
      </w:r>
      <w:r>
        <w:t xml:space="preserve"> </w:t>
      </w:r>
      <w:r w:rsidR="0002181C">
        <w:t>the following:</w:t>
      </w:r>
    </w:p>
    <w:p w:rsidR="001863BC" w:rsidRDefault="001863BC" w:rsidP="001863BC">
      <w:pPr>
        <w:pStyle w:val="ListParagraph"/>
        <w:numPr>
          <w:ilvl w:val="0"/>
          <w:numId w:val="1"/>
        </w:numPr>
      </w:pPr>
      <w:r>
        <w:t>Most items are embedded in groups, and those groups vary in size</w:t>
      </w:r>
      <w:r w:rsidR="0002181C">
        <w:t>.</w:t>
      </w:r>
    </w:p>
    <w:p w:rsidR="001863BC" w:rsidRDefault="001863BC" w:rsidP="001863BC">
      <w:pPr>
        <w:pStyle w:val="ListParagraph"/>
        <w:numPr>
          <w:ilvl w:val="0"/>
          <w:numId w:val="1"/>
        </w:numPr>
      </w:pPr>
      <w:r>
        <w:t>Each stimulus will appear with multiple blocks of items</w:t>
      </w:r>
      <w:r w:rsidR="0002181C">
        <w:t>.</w:t>
      </w:r>
    </w:p>
    <w:p w:rsidR="001863BC" w:rsidRDefault="001863BC" w:rsidP="001863BC">
      <w:pPr>
        <w:pStyle w:val="ListParagraph"/>
        <w:numPr>
          <w:ilvl w:val="0"/>
          <w:numId w:val="1"/>
        </w:numPr>
      </w:pPr>
      <w:r>
        <w:t xml:space="preserve">The time it takes to answer an item group is not proportional to the number of items but rather depends more </w:t>
      </w:r>
      <w:r w:rsidR="00392762">
        <w:t xml:space="preserve">heavily </w:t>
      </w:r>
      <w:r>
        <w:t>on the type of stimulus.</w:t>
      </w:r>
    </w:p>
    <w:p w:rsidR="001863BC" w:rsidRDefault="001863BC" w:rsidP="001863BC">
      <w:r>
        <w:lastRenderedPageBreak/>
        <w:t xml:space="preserve">The final bullet is particularly important for </w:t>
      </w:r>
      <w:r w:rsidR="006C35B7">
        <w:t>writing</w:t>
      </w:r>
      <w:r>
        <w:t xml:space="preserve"> tasks.</w:t>
      </w:r>
      <w:r w:rsidR="0002181C">
        <w:t xml:space="preserve"> </w:t>
      </w:r>
      <w:r>
        <w:t>These single-item groups include a stimulus and brief writing task that are likely to be more burde</w:t>
      </w:r>
      <w:r w:rsidR="008304AC">
        <w:t>nsome than a typical stand-</w:t>
      </w:r>
      <w:r>
        <w:t>alone item.</w:t>
      </w:r>
    </w:p>
    <w:p w:rsidR="00D31AF1" w:rsidRDefault="00D31AF1" w:rsidP="001863BC">
      <w:r>
        <w:t xml:space="preserve">As described below, each student will see a </w:t>
      </w:r>
      <w:r w:rsidRPr="00AF3316">
        <w:rPr>
          <w:b/>
        </w:rPr>
        <w:t xml:space="preserve">minimum of </w:t>
      </w:r>
      <w:r w:rsidR="00AF3316" w:rsidRPr="00AF3316">
        <w:rPr>
          <w:b/>
        </w:rPr>
        <w:t>three</w:t>
      </w:r>
      <w:r w:rsidRPr="00AF3316">
        <w:rPr>
          <w:b/>
        </w:rPr>
        <w:t xml:space="preserve"> and a maximum of six</w:t>
      </w:r>
      <w:r>
        <w:t xml:space="preserve"> </w:t>
      </w:r>
      <w:r w:rsidR="00392762">
        <w:t>EFT</w:t>
      </w:r>
      <w:r>
        <w:t xml:space="preserve"> items.</w:t>
      </w:r>
      <w:r w:rsidR="00D64707">
        <w:t xml:space="preserve"> </w:t>
      </w:r>
      <w:r>
        <w:t xml:space="preserve">Reading sets of items will be constructed with a minimum of </w:t>
      </w:r>
      <w:r w:rsidR="00AF3316">
        <w:t>three</w:t>
      </w:r>
      <w:r>
        <w:t xml:space="preserve"> associated items.</w:t>
      </w:r>
      <w:r w:rsidR="00D64707">
        <w:t xml:space="preserve"> </w:t>
      </w:r>
      <w:r>
        <w:t>With this construction, any reading passage will satisfy the minimum</w:t>
      </w:r>
      <w:r w:rsidR="0070014C">
        <w:t xml:space="preserve"> requirement and prevent further selections, thereby ensuring that no student receives more than one field-test reading passage.</w:t>
      </w:r>
    </w:p>
    <w:p w:rsidR="008304AC" w:rsidRDefault="008304AC" w:rsidP="001863BC">
      <w:r>
        <w:t xml:space="preserve">This </w:t>
      </w:r>
      <w:r w:rsidR="0002478A">
        <w:t>section</w:t>
      </w:r>
      <w:r>
        <w:t xml:space="preserve"> describes </w:t>
      </w:r>
    </w:p>
    <w:p w:rsidR="008304AC" w:rsidRDefault="008304AC" w:rsidP="008304AC">
      <w:pPr>
        <w:pStyle w:val="ListParagraph"/>
        <w:numPr>
          <w:ilvl w:val="0"/>
          <w:numId w:val="2"/>
        </w:numPr>
      </w:pPr>
      <w:r>
        <w:t xml:space="preserve">the plan for constructing </w:t>
      </w:r>
      <w:r w:rsidR="00AD74B1">
        <w:t>EFT</w:t>
      </w:r>
      <w:r>
        <w:t xml:space="preserve"> blocks</w:t>
      </w:r>
      <w:r w:rsidR="00AD74B1">
        <w:t>;</w:t>
      </w:r>
    </w:p>
    <w:p w:rsidR="008304AC" w:rsidRDefault="008304AC" w:rsidP="008304AC">
      <w:pPr>
        <w:pStyle w:val="ListParagraph"/>
        <w:numPr>
          <w:ilvl w:val="0"/>
          <w:numId w:val="2"/>
        </w:numPr>
      </w:pPr>
      <w:r>
        <w:t xml:space="preserve">the number of </w:t>
      </w:r>
      <w:r w:rsidR="00AD74B1">
        <w:t>EFT</w:t>
      </w:r>
      <w:r>
        <w:t xml:space="preserve"> items to be administered to each student</w:t>
      </w:r>
      <w:r w:rsidR="00AD74B1">
        <w:t>;</w:t>
      </w:r>
      <w:r>
        <w:t xml:space="preserve"> </w:t>
      </w:r>
    </w:p>
    <w:p w:rsidR="008304AC" w:rsidRDefault="008304AC" w:rsidP="008304AC">
      <w:pPr>
        <w:pStyle w:val="ListParagraph"/>
        <w:numPr>
          <w:ilvl w:val="0"/>
          <w:numId w:val="2"/>
        </w:numPr>
      </w:pPr>
      <w:r>
        <w:t>the implications of this design</w:t>
      </w:r>
      <w:r w:rsidR="00AD74B1">
        <w:t>;</w:t>
      </w:r>
      <w:r>
        <w:t xml:space="preserve"> and</w:t>
      </w:r>
    </w:p>
    <w:p w:rsidR="008304AC" w:rsidRDefault="008304AC" w:rsidP="008304AC">
      <w:pPr>
        <w:pStyle w:val="ListParagraph"/>
        <w:numPr>
          <w:ilvl w:val="0"/>
          <w:numId w:val="2"/>
        </w:numPr>
      </w:pPr>
      <w:r>
        <w:t>next steps that must be accomplished to implement the design.</w:t>
      </w:r>
    </w:p>
    <w:p w:rsidR="00E912CA" w:rsidRDefault="00E912CA" w:rsidP="00E912CA">
      <w:pPr>
        <w:pStyle w:val="Heading1"/>
      </w:pPr>
      <w:r>
        <w:t xml:space="preserve">Plan for </w:t>
      </w:r>
      <w:r w:rsidR="0002181C">
        <w:t>F</w:t>
      </w:r>
      <w:r>
        <w:t>ield</w:t>
      </w:r>
      <w:r w:rsidR="003539DB">
        <w:t>-</w:t>
      </w:r>
      <w:r w:rsidR="0002181C">
        <w:t>T</w:t>
      </w:r>
      <w:r>
        <w:t xml:space="preserve">est </w:t>
      </w:r>
      <w:r w:rsidR="0002181C">
        <w:t>B</w:t>
      </w:r>
      <w:r>
        <w:t>locks</w:t>
      </w:r>
    </w:p>
    <w:p w:rsidR="008304AC" w:rsidRDefault="008304AC" w:rsidP="008304AC">
      <w:r>
        <w:t>The number of items operationally administered with each stimulus type is constant across grades; the number of stimuli and items developed</w:t>
      </w:r>
      <w:r w:rsidR="00CE5BB2">
        <w:t xml:space="preserve"> differ</w:t>
      </w:r>
      <w:r w:rsidR="0002181C">
        <w:t>s</w:t>
      </w:r>
      <w:r w:rsidR="00CE5BB2">
        <w:t xml:space="preserve"> across grades.</w:t>
      </w:r>
      <w:r w:rsidR="0002181C">
        <w:t xml:space="preserve"> </w:t>
      </w:r>
      <w:r w:rsidR="00CE5BB2">
        <w:t>Our plans for assembling the items into blocks for field testing are summarized in Table 1.</w:t>
      </w:r>
      <w:r w:rsidR="0002181C">
        <w:t xml:space="preserve"> </w:t>
      </w:r>
      <w:r w:rsidR="00CE5BB2">
        <w:t>The field</w:t>
      </w:r>
      <w:r w:rsidR="003539DB">
        <w:t>-</w:t>
      </w:r>
      <w:r w:rsidR="00CE5BB2">
        <w:t>test algorithm will ensure that students who receive one block associated with a stimulus do not receive the other block.</w:t>
      </w:r>
      <w:r w:rsidR="0002181C">
        <w:t xml:space="preserve"> </w:t>
      </w:r>
      <w:r w:rsidR="00CE5BB2">
        <w:t>The system, however, is limited to two blocks per stimulus.</w:t>
      </w:r>
    </w:p>
    <w:p w:rsidR="00CE5BB2" w:rsidRPr="00CE5BB2" w:rsidRDefault="00CE5BB2" w:rsidP="008304AC">
      <w:pPr>
        <w:rPr>
          <w:b/>
        </w:rPr>
      </w:pPr>
      <w:r>
        <w:rPr>
          <w:b/>
        </w:rPr>
        <w:t>Table 1: Field</w:t>
      </w:r>
      <w:r w:rsidR="003539DB">
        <w:rPr>
          <w:b/>
        </w:rPr>
        <w:t>-</w:t>
      </w:r>
      <w:r w:rsidR="0002181C">
        <w:rPr>
          <w:b/>
        </w:rPr>
        <w:t>T</w:t>
      </w:r>
      <w:r>
        <w:rPr>
          <w:b/>
        </w:rPr>
        <w:t xml:space="preserve">est </w:t>
      </w:r>
      <w:r w:rsidR="0002181C">
        <w:rPr>
          <w:b/>
        </w:rPr>
        <w:t>B</w:t>
      </w:r>
      <w:r>
        <w:rPr>
          <w:b/>
        </w:rPr>
        <w:t xml:space="preserve">locks to </w:t>
      </w:r>
      <w:r w:rsidR="0002181C">
        <w:rPr>
          <w:b/>
        </w:rPr>
        <w:t>B</w:t>
      </w:r>
      <w:r>
        <w:rPr>
          <w:b/>
        </w:rPr>
        <w:t xml:space="preserve">e </w:t>
      </w:r>
      <w:r w:rsidR="0002181C">
        <w:rPr>
          <w:b/>
        </w:rPr>
        <w:t>A</w:t>
      </w:r>
      <w:r>
        <w:rPr>
          <w:b/>
        </w:rPr>
        <w:t>ssembled</w:t>
      </w:r>
    </w:p>
    <w:tbl>
      <w:tblPr>
        <w:tblW w:w="6180" w:type="dxa"/>
        <w:tblInd w:w="93" w:type="dxa"/>
        <w:tblLook w:val="04A0" w:firstRow="1" w:lastRow="0" w:firstColumn="1" w:lastColumn="0" w:noHBand="0" w:noVBand="1"/>
      </w:tblPr>
      <w:tblGrid>
        <w:gridCol w:w="2252"/>
        <w:gridCol w:w="1160"/>
        <w:gridCol w:w="1620"/>
        <w:gridCol w:w="1148"/>
      </w:tblGrid>
      <w:tr w:rsidR="00CE5BB2" w:rsidRPr="00CE5BB2" w:rsidTr="00CE5BB2">
        <w:trPr>
          <w:trHeight w:val="6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CE5BB2" w:rsidRPr="00CE5BB2" w:rsidRDefault="00CE5BB2" w:rsidP="00CE5B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E5BB2">
              <w:rPr>
                <w:rFonts w:ascii="Calibri" w:eastAsia="Times New Roman" w:hAnsi="Calibri" w:cs="Times New Roman"/>
                <w:b/>
                <w:bCs/>
                <w:color w:val="000000"/>
              </w:rPr>
              <w:t>Item Group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CE5BB2" w:rsidRPr="00CE5BB2" w:rsidRDefault="00CE5BB2" w:rsidP="006C35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E5BB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Blocks per </w:t>
            </w:r>
            <w:r w:rsidR="0002181C"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  <w:r w:rsidRPr="00CE5BB2">
              <w:rPr>
                <w:rFonts w:ascii="Calibri" w:eastAsia="Times New Roman" w:hAnsi="Calibri" w:cs="Times New Roman"/>
                <w:b/>
                <w:bCs/>
                <w:color w:val="000000"/>
              </w:rPr>
              <w:t>timulus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CE5BB2" w:rsidRPr="00CE5BB2" w:rsidRDefault="00CE5BB2" w:rsidP="006C35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E5BB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Minimum </w:t>
            </w:r>
            <w:r w:rsidR="0002181C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  <w:r w:rsidRPr="00CE5BB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lock </w:t>
            </w:r>
            <w:r w:rsidR="0002181C"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  <w:r w:rsidRPr="00CE5BB2">
              <w:rPr>
                <w:rFonts w:ascii="Calibri" w:eastAsia="Times New Roman" w:hAnsi="Calibri" w:cs="Times New Roman"/>
                <w:b/>
                <w:bCs/>
                <w:color w:val="000000"/>
              </w:rPr>
              <w:t>ize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CE5BB2" w:rsidRPr="00CE5BB2" w:rsidRDefault="00CE5BB2" w:rsidP="006C35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E5BB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Maximum </w:t>
            </w:r>
            <w:r w:rsidR="0002181C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  <w:r w:rsidRPr="00CE5BB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lock </w:t>
            </w:r>
            <w:r w:rsidR="0002181C"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  <w:r w:rsidRPr="00CE5BB2">
              <w:rPr>
                <w:rFonts w:ascii="Calibri" w:eastAsia="Times New Roman" w:hAnsi="Calibri" w:cs="Times New Roman"/>
                <w:b/>
                <w:bCs/>
                <w:color w:val="000000"/>
              </w:rPr>
              <w:t>ize</w:t>
            </w:r>
          </w:p>
        </w:tc>
      </w:tr>
      <w:tr w:rsidR="00CE5BB2" w:rsidRPr="00CE5BB2" w:rsidTr="00CE5BB2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CE5BB2" w:rsidRPr="00CE5BB2" w:rsidRDefault="00CE5BB2" w:rsidP="00CE5B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E5BB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Claim 2, </w:t>
            </w:r>
            <w:r w:rsidR="0002181C"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  <w:r w:rsidRPr="00CE5BB2">
              <w:rPr>
                <w:rFonts w:ascii="Calibri" w:eastAsia="Times New Roman" w:hAnsi="Calibri" w:cs="Times New Roman"/>
                <w:b/>
                <w:bCs/>
                <w:color w:val="000000"/>
              </w:rPr>
              <w:t>tand</w:t>
            </w:r>
            <w:r w:rsidR="008B7F2D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  <w:r w:rsidR="0002181C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  <w:r w:rsidRPr="00CE5BB2">
              <w:rPr>
                <w:rFonts w:ascii="Calibri" w:eastAsia="Times New Roman" w:hAnsi="Calibri" w:cs="Times New Roman"/>
                <w:b/>
                <w:bCs/>
                <w:color w:val="000000"/>
              </w:rPr>
              <w:t>lone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BB2" w:rsidRPr="00CE5BB2" w:rsidRDefault="00CE5BB2" w:rsidP="00CE5B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BB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BB2" w:rsidRPr="00CE5BB2" w:rsidRDefault="00CE5BB2" w:rsidP="00CE5B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BB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BB2" w:rsidRPr="00CE5BB2" w:rsidRDefault="00CE5BB2" w:rsidP="00CE5B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BB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E5BB2" w:rsidRPr="00CE5BB2" w:rsidTr="00CE5BB2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CE5BB2" w:rsidRPr="00CE5BB2" w:rsidRDefault="00CE5BB2" w:rsidP="00CE5B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E5BB2">
              <w:rPr>
                <w:rFonts w:ascii="Calibri" w:eastAsia="Times New Roman" w:hAnsi="Calibri" w:cs="Times New Roman"/>
                <w:b/>
                <w:bCs/>
                <w:color w:val="000000"/>
              </w:rPr>
              <w:t>Claim 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BB2" w:rsidRPr="00CE5BB2" w:rsidRDefault="00CE5BB2" w:rsidP="00CE5B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BB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BB2" w:rsidRPr="00CE5BB2" w:rsidRDefault="00CE5BB2" w:rsidP="00CE5B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BB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BB2" w:rsidRPr="00CE5BB2" w:rsidRDefault="00CE5BB2" w:rsidP="00CE5B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BB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CE5BB2" w:rsidRPr="00CE5BB2" w:rsidTr="00CE5BB2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CE5BB2" w:rsidRPr="00CE5BB2" w:rsidRDefault="00CE5BB2" w:rsidP="00CE5B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E5BB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Claim 1, Lit </w:t>
            </w:r>
            <w:r w:rsidR="0002181C"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  <w:r w:rsidRPr="00CE5BB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hort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BB2" w:rsidRPr="00CE5BB2" w:rsidRDefault="00CE5BB2" w:rsidP="00CE5B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BB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BB2" w:rsidRPr="00CE5BB2" w:rsidRDefault="0002478A" w:rsidP="00CE5B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BB2" w:rsidRPr="00CE5BB2" w:rsidRDefault="00CE5BB2" w:rsidP="00CE5B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BB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CE5BB2" w:rsidRPr="00CE5BB2" w:rsidTr="00CE5BB2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CE5BB2" w:rsidRPr="00CE5BB2" w:rsidRDefault="00CE5BB2" w:rsidP="00CE5B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E5BB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Claim 1, Info </w:t>
            </w:r>
            <w:r w:rsidR="0002181C"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  <w:r w:rsidRPr="00CE5BB2">
              <w:rPr>
                <w:rFonts w:ascii="Calibri" w:eastAsia="Times New Roman" w:hAnsi="Calibri" w:cs="Times New Roman"/>
                <w:b/>
                <w:bCs/>
                <w:color w:val="000000"/>
              </w:rPr>
              <w:t>hort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BB2" w:rsidRPr="00CE5BB2" w:rsidRDefault="00CE5BB2" w:rsidP="00CE5B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BB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BB2" w:rsidRPr="00CE5BB2" w:rsidRDefault="0002478A" w:rsidP="00CE5B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BB2" w:rsidRPr="00CE5BB2" w:rsidRDefault="00CE5BB2" w:rsidP="00CE5B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BB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CE5BB2" w:rsidRPr="00CE5BB2" w:rsidTr="00CE5BB2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CE5BB2" w:rsidRPr="00CE5BB2" w:rsidRDefault="00CE5BB2" w:rsidP="00CE5B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E5BB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Claim 1, Lit </w:t>
            </w:r>
            <w:r w:rsidR="00203609">
              <w:rPr>
                <w:rFonts w:ascii="Calibri" w:eastAsia="Times New Roman" w:hAnsi="Calibri" w:cs="Times New Roman"/>
                <w:b/>
                <w:bCs/>
                <w:color w:val="000000"/>
              </w:rPr>
              <w:t>L</w:t>
            </w:r>
            <w:r w:rsidRPr="00CE5BB2">
              <w:rPr>
                <w:rFonts w:ascii="Calibri" w:eastAsia="Times New Roman" w:hAnsi="Calibri" w:cs="Times New Roman"/>
                <w:b/>
                <w:bCs/>
                <w:color w:val="000000"/>
              </w:rPr>
              <w:t>ong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BB2" w:rsidRPr="00CE5BB2" w:rsidRDefault="00CE5BB2" w:rsidP="00CE5B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BB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BB2" w:rsidRPr="00CE5BB2" w:rsidRDefault="00CE5BB2" w:rsidP="00CE5B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BB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BB2" w:rsidRPr="00CE5BB2" w:rsidRDefault="00CE5BB2" w:rsidP="00CE5B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BB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CE5BB2" w:rsidRPr="00CE5BB2" w:rsidTr="00CE5BB2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CE5BB2" w:rsidRPr="00CE5BB2" w:rsidRDefault="00CE5BB2" w:rsidP="00CE5BB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E5BB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Claim 1, Info </w:t>
            </w:r>
            <w:r w:rsidR="00203609">
              <w:rPr>
                <w:rFonts w:ascii="Calibri" w:eastAsia="Times New Roman" w:hAnsi="Calibri" w:cs="Times New Roman"/>
                <w:b/>
                <w:bCs/>
                <w:color w:val="000000"/>
              </w:rPr>
              <w:t>L</w:t>
            </w:r>
            <w:r w:rsidRPr="00CE5BB2">
              <w:rPr>
                <w:rFonts w:ascii="Calibri" w:eastAsia="Times New Roman" w:hAnsi="Calibri" w:cs="Times New Roman"/>
                <w:b/>
                <w:bCs/>
                <w:color w:val="000000"/>
              </w:rPr>
              <w:t>ong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BB2" w:rsidRPr="00CE5BB2" w:rsidRDefault="00CE5BB2" w:rsidP="00CE5B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BB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BB2" w:rsidRPr="00CE5BB2" w:rsidRDefault="00CE5BB2" w:rsidP="00CE5B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BB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BB2" w:rsidRPr="00CE5BB2" w:rsidRDefault="00CE5BB2" w:rsidP="00CE5B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BB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</w:tbl>
    <w:p w:rsidR="00E912CA" w:rsidRDefault="00E912CA" w:rsidP="00E912CA">
      <w:pPr>
        <w:pStyle w:val="Heading1"/>
      </w:pPr>
      <w:r>
        <w:t xml:space="preserve">Recommended </w:t>
      </w:r>
      <w:r w:rsidR="0002181C">
        <w:t>A</w:t>
      </w:r>
      <w:r>
        <w:t xml:space="preserve">dministration </w:t>
      </w:r>
      <w:r w:rsidR="0002181C">
        <w:t>D</w:t>
      </w:r>
      <w:r>
        <w:t>esign</w:t>
      </w:r>
      <w:r w:rsidR="007A14A8">
        <w:t xml:space="preserve"> and </w:t>
      </w:r>
      <w:r w:rsidR="0002181C">
        <w:t>I</w:t>
      </w:r>
      <w:r w:rsidR="007A14A8">
        <w:t>mplications</w:t>
      </w:r>
    </w:p>
    <w:p w:rsidR="001863BC" w:rsidRDefault="00CE5BB2" w:rsidP="001863BC">
      <w:r>
        <w:t>The field</w:t>
      </w:r>
      <w:r w:rsidR="003539DB">
        <w:t>-</w:t>
      </w:r>
      <w:r>
        <w:t>test algorithm accepts a minimum and maximum number of items to be administered to each student.</w:t>
      </w:r>
      <w:r w:rsidR="0002181C">
        <w:t xml:space="preserve"> </w:t>
      </w:r>
      <w:r>
        <w:t>When the time comes to administer a field</w:t>
      </w:r>
      <w:r w:rsidR="003539DB">
        <w:t>-</w:t>
      </w:r>
      <w:r>
        <w:t>test item, an item group is randomly chosen.</w:t>
      </w:r>
      <w:r w:rsidR="0002181C">
        <w:t xml:space="preserve"> </w:t>
      </w:r>
      <w:r>
        <w:t>Subsequent selections of a field</w:t>
      </w:r>
      <w:r w:rsidR="003539DB">
        <w:t>-</w:t>
      </w:r>
      <w:r>
        <w:t>test items are also random, but if the number of items in the group exceeds the number of remaining “slots,” the group is skipped over and another selection is made.</w:t>
      </w:r>
      <w:r w:rsidR="0002181C">
        <w:t xml:space="preserve"> </w:t>
      </w:r>
      <w:r>
        <w:t>If the algorithm cycles through the entire pool without an acceptable selection, no further field</w:t>
      </w:r>
      <w:r w:rsidR="003539DB">
        <w:t>-</w:t>
      </w:r>
      <w:r>
        <w:t>test selections are made.</w:t>
      </w:r>
    </w:p>
    <w:p w:rsidR="00CE5BB2" w:rsidRDefault="00CE5BB2" w:rsidP="001863BC">
      <w:r>
        <w:lastRenderedPageBreak/>
        <w:t>The algorithm also stops making field</w:t>
      </w:r>
      <w:r w:rsidR="003539DB">
        <w:t>-</w:t>
      </w:r>
      <w:r>
        <w:t xml:space="preserve">test selections if the </w:t>
      </w:r>
      <w:r w:rsidR="00240064">
        <w:t>minimum number of field</w:t>
      </w:r>
      <w:r w:rsidR="003539DB">
        <w:t>-</w:t>
      </w:r>
      <w:r w:rsidR="00240064">
        <w:t>test items has been administered.</w:t>
      </w:r>
      <w:r w:rsidR="00D64707">
        <w:t xml:space="preserve"> </w:t>
      </w:r>
    </w:p>
    <w:p w:rsidR="00240064" w:rsidRDefault="00240064" w:rsidP="001863BC">
      <w:r w:rsidRPr="00E912CA">
        <w:rPr>
          <w:b/>
        </w:rPr>
        <w:t>AIR recommends setting the minimum number of items to be administered to</w:t>
      </w:r>
      <w:r w:rsidR="00C56651">
        <w:rPr>
          <w:b/>
        </w:rPr>
        <w:t xml:space="preserve"> three</w:t>
      </w:r>
      <w:r w:rsidRPr="00E912CA">
        <w:rPr>
          <w:b/>
        </w:rPr>
        <w:t xml:space="preserve"> and the maximum </w:t>
      </w:r>
      <w:r w:rsidR="00E705DA" w:rsidRPr="00E912CA">
        <w:rPr>
          <w:b/>
        </w:rPr>
        <w:t>to</w:t>
      </w:r>
      <w:r w:rsidR="00E705DA">
        <w:rPr>
          <w:b/>
        </w:rPr>
        <w:t> six</w:t>
      </w:r>
      <w:r w:rsidRPr="00E912CA">
        <w:rPr>
          <w:b/>
        </w:rPr>
        <w:t>.</w:t>
      </w:r>
      <w:r w:rsidR="0002181C">
        <w:rPr>
          <w:b/>
        </w:rPr>
        <w:t xml:space="preserve"> </w:t>
      </w:r>
      <w:r>
        <w:t xml:space="preserve">The slightly lower minimum substantially reduces the number of students who will be asked to respond to multiple </w:t>
      </w:r>
      <w:r w:rsidR="006C35B7">
        <w:t xml:space="preserve">writing </w:t>
      </w:r>
      <w:r>
        <w:t xml:space="preserve">(Claim </w:t>
      </w:r>
      <w:r w:rsidR="006C35B7">
        <w:t>2</w:t>
      </w:r>
      <w:r>
        <w:t>) prompts.</w:t>
      </w:r>
    </w:p>
    <w:p w:rsidR="00240064" w:rsidRDefault="00240064" w:rsidP="001863BC">
      <w:r>
        <w:t xml:space="preserve">Table 2 summarizes </w:t>
      </w:r>
      <w:r w:rsidR="00E705DA">
        <w:t xml:space="preserve">(1) </w:t>
      </w:r>
      <w:r>
        <w:t>the</w:t>
      </w:r>
      <w:r w:rsidR="002209CC">
        <w:t xml:space="preserve"> expected</w:t>
      </w:r>
      <w:r>
        <w:t xml:space="preserve"> percent</w:t>
      </w:r>
      <w:r w:rsidR="003539DB">
        <w:t>age</w:t>
      </w:r>
      <w:r>
        <w:t xml:space="preserve"> of students who will see more than one </w:t>
      </w:r>
      <w:r w:rsidR="006C35B7">
        <w:t xml:space="preserve">writing </w:t>
      </w:r>
      <w:r>
        <w:t xml:space="preserve">task and </w:t>
      </w:r>
      <w:r w:rsidR="00E705DA">
        <w:t>(2</w:t>
      </w:r>
      <w:r>
        <w:t>) the percent</w:t>
      </w:r>
      <w:r w:rsidR="003539DB">
        <w:t>age</w:t>
      </w:r>
      <w:r>
        <w:t xml:space="preserve"> of students who will see </w:t>
      </w:r>
      <w:r w:rsidR="00E705DA">
        <w:t>one</w:t>
      </w:r>
      <w:r>
        <w:t xml:space="preserve">, </w:t>
      </w:r>
      <w:r w:rsidR="00E705DA">
        <w:t>two</w:t>
      </w:r>
      <w:r>
        <w:t xml:space="preserve">, </w:t>
      </w:r>
      <w:r w:rsidR="00E705DA">
        <w:t>three</w:t>
      </w:r>
      <w:r>
        <w:t xml:space="preserve">, and </w:t>
      </w:r>
      <w:r w:rsidR="00E705DA">
        <w:t>four</w:t>
      </w:r>
      <w:r>
        <w:t xml:space="preserve"> item groups.</w:t>
      </w:r>
      <w:r w:rsidR="0002181C">
        <w:t xml:space="preserve"> </w:t>
      </w:r>
      <w:r w:rsidR="007151A8">
        <w:t xml:space="preserve">Table 2 indicates that very </w:t>
      </w:r>
      <w:r w:rsidR="005426F4">
        <w:t xml:space="preserve">few </w:t>
      </w:r>
      <w:r w:rsidR="007151A8">
        <w:t xml:space="preserve">students will see multiple </w:t>
      </w:r>
      <w:r w:rsidR="006C35B7">
        <w:t xml:space="preserve">writing </w:t>
      </w:r>
      <w:r w:rsidR="007151A8">
        <w:t xml:space="preserve">tasks, and fewer than </w:t>
      </w:r>
      <w:r w:rsidR="00A10766">
        <w:t>one</w:t>
      </w:r>
      <w:r w:rsidR="007151A8">
        <w:t xml:space="preserve"> in 5,000 will see more than </w:t>
      </w:r>
      <w:r w:rsidR="00A10766">
        <w:t>two</w:t>
      </w:r>
      <w:r w:rsidR="007151A8">
        <w:t>.</w:t>
      </w:r>
      <w:r w:rsidR="0002181C">
        <w:t xml:space="preserve"> </w:t>
      </w:r>
      <w:r w:rsidR="007151A8">
        <w:t>Most students will respond to items in two groups, with fewer than 10</w:t>
      </w:r>
      <w:r w:rsidR="003539DB">
        <w:t>%</w:t>
      </w:r>
      <w:r w:rsidR="007151A8">
        <w:t>responding to more than two groups of items.</w:t>
      </w:r>
    </w:p>
    <w:p w:rsidR="00CF104A" w:rsidRDefault="00240064" w:rsidP="00CF104A">
      <w:pPr>
        <w:rPr>
          <w:b/>
        </w:rPr>
      </w:pPr>
      <w:r>
        <w:rPr>
          <w:b/>
        </w:rPr>
        <w:t>Table 2:</w:t>
      </w:r>
      <w:r w:rsidR="002209CC">
        <w:rPr>
          <w:b/>
        </w:rPr>
        <w:t xml:space="preserve"> Expected </w:t>
      </w:r>
      <w:r w:rsidR="00A10766">
        <w:rPr>
          <w:b/>
        </w:rPr>
        <w:t>P</w:t>
      </w:r>
      <w:r w:rsidR="002209CC">
        <w:rPr>
          <w:b/>
        </w:rPr>
        <w:t>ercent</w:t>
      </w:r>
      <w:r w:rsidR="000717AD">
        <w:rPr>
          <w:b/>
        </w:rPr>
        <w:t>age</w:t>
      </w:r>
      <w:r>
        <w:rPr>
          <w:b/>
        </w:rPr>
        <w:t xml:space="preserve"> of </w:t>
      </w:r>
      <w:r w:rsidR="00A10766">
        <w:rPr>
          <w:b/>
        </w:rPr>
        <w:t>S</w:t>
      </w:r>
      <w:r>
        <w:rPr>
          <w:b/>
        </w:rPr>
        <w:t xml:space="preserve">tudents </w:t>
      </w:r>
      <w:r w:rsidR="00A10766">
        <w:rPr>
          <w:b/>
        </w:rPr>
        <w:t>S</w:t>
      </w:r>
      <w:r>
        <w:rPr>
          <w:b/>
        </w:rPr>
        <w:t xml:space="preserve">eeing </w:t>
      </w:r>
      <w:r w:rsidR="00A10766">
        <w:rPr>
          <w:b/>
        </w:rPr>
        <w:t>M</w:t>
      </w:r>
      <w:r>
        <w:rPr>
          <w:b/>
        </w:rPr>
        <w:t xml:space="preserve">ultiple </w:t>
      </w:r>
      <w:r w:rsidR="006C35B7">
        <w:rPr>
          <w:b/>
        </w:rPr>
        <w:t xml:space="preserve">Writing </w:t>
      </w:r>
      <w:r w:rsidR="00A10766">
        <w:rPr>
          <w:b/>
        </w:rPr>
        <w:t>T</w:t>
      </w:r>
      <w:r>
        <w:rPr>
          <w:b/>
        </w:rPr>
        <w:t xml:space="preserve">asks and the </w:t>
      </w:r>
      <w:r w:rsidR="00A10766">
        <w:rPr>
          <w:b/>
        </w:rPr>
        <w:t>P</w:t>
      </w:r>
      <w:r>
        <w:rPr>
          <w:b/>
        </w:rPr>
        <w:t xml:space="preserve">roportion of </w:t>
      </w:r>
      <w:r w:rsidR="00A10766">
        <w:rPr>
          <w:b/>
        </w:rPr>
        <w:t>S</w:t>
      </w:r>
      <w:r>
        <w:rPr>
          <w:b/>
        </w:rPr>
        <w:t xml:space="preserve">tudents </w:t>
      </w:r>
      <w:r w:rsidR="00A10766">
        <w:rPr>
          <w:b/>
        </w:rPr>
        <w:t>S</w:t>
      </w:r>
      <w:r>
        <w:rPr>
          <w:b/>
        </w:rPr>
        <w:t xml:space="preserve">eeing </w:t>
      </w:r>
      <w:r w:rsidR="00A10766">
        <w:rPr>
          <w:b/>
        </w:rPr>
        <w:t>E</w:t>
      </w:r>
      <w:r>
        <w:rPr>
          <w:b/>
        </w:rPr>
        <w:t xml:space="preserve">ach </w:t>
      </w:r>
      <w:r w:rsidR="00A10766">
        <w:rPr>
          <w:b/>
        </w:rPr>
        <w:t>N</w:t>
      </w:r>
      <w:r>
        <w:rPr>
          <w:b/>
        </w:rPr>
        <w:t xml:space="preserve">umber of </w:t>
      </w:r>
      <w:r w:rsidR="00A10766">
        <w:rPr>
          <w:b/>
        </w:rPr>
        <w:t>I</w:t>
      </w:r>
      <w:r>
        <w:rPr>
          <w:b/>
        </w:rPr>
        <w:t xml:space="preserve">tem </w:t>
      </w:r>
      <w:r w:rsidR="00A10766">
        <w:rPr>
          <w:b/>
        </w:rPr>
        <w:t>G</w:t>
      </w:r>
      <w:r>
        <w:rPr>
          <w:b/>
        </w:rPr>
        <w:t xml:space="preserve">roups, by </w:t>
      </w:r>
      <w:r w:rsidR="00A10766">
        <w:rPr>
          <w:b/>
        </w:rPr>
        <w:t>G</w:t>
      </w:r>
      <w:r>
        <w:rPr>
          <w:b/>
        </w:rPr>
        <w:t>rade</w:t>
      </w:r>
    </w:p>
    <w:tbl>
      <w:tblPr>
        <w:tblW w:w="9375" w:type="dxa"/>
        <w:tblInd w:w="93" w:type="dxa"/>
        <w:tblLook w:val="04A0" w:firstRow="1" w:lastRow="0" w:firstColumn="1" w:lastColumn="0" w:noHBand="0" w:noVBand="1"/>
      </w:tblPr>
      <w:tblGrid>
        <w:gridCol w:w="1400"/>
        <w:gridCol w:w="960"/>
        <w:gridCol w:w="895"/>
        <w:gridCol w:w="65"/>
        <w:gridCol w:w="960"/>
        <w:gridCol w:w="960"/>
        <w:gridCol w:w="960"/>
        <w:gridCol w:w="960"/>
        <w:gridCol w:w="960"/>
        <w:gridCol w:w="1255"/>
      </w:tblGrid>
      <w:tr w:rsidR="00CF104A" w:rsidRPr="00CF104A" w:rsidTr="005404F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F104A" w:rsidRPr="00CF104A" w:rsidRDefault="00CF104A" w:rsidP="00CF10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0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F104A" w:rsidRPr="00CF104A" w:rsidRDefault="00CF104A" w:rsidP="00CF10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0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F104A" w:rsidRPr="00CF104A" w:rsidRDefault="00CF104A" w:rsidP="00CF10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04A">
              <w:rPr>
                <w:rFonts w:ascii="Calibri" w:eastAsia="Times New Roman" w:hAnsi="Calibri" w:cs="Times New Roman"/>
                <w:color w:val="000000"/>
              </w:rPr>
              <w:t>Grade</w:t>
            </w:r>
          </w:p>
        </w:tc>
      </w:tr>
      <w:tr w:rsidR="00CF104A" w:rsidRPr="00CF104A" w:rsidTr="005404F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F104A" w:rsidRPr="00CF104A" w:rsidRDefault="00CF104A" w:rsidP="00CF10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0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F104A" w:rsidRPr="00CF104A" w:rsidRDefault="00CF104A" w:rsidP="00CF10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04A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F104A" w:rsidRPr="00CF104A" w:rsidRDefault="00CF104A" w:rsidP="006C35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04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F104A" w:rsidRPr="00CF104A" w:rsidRDefault="00CF104A" w:rsidP="006C35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04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F104A" w:rsidRPr="00CF104A" w:rsidRDefault="00CF104A" w:rsidP="006C35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04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F104A" w:rsidRPr="00CF104A" w:rsidRDefault="00CF104A" w:rsidP="006C35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04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F104A" w:rsidRPr="00CF104A" w:rsidRDefault="00CF104A" w:rsidP="006C35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04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F104A" w:rsidRPr="00CF104A" w:rsidRDefault="00CF104A" w:rsidP="006C35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04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F104A" w:rsidRPr="00CF104A" w:rsidRDefault="00CF104A" w:rsidP="006C35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04A">
              <w:rPr>
                <w:rFonts w:ascii="Calibri" w:eastAsia="Times New Roman" w:hAnsi="Calibri" w:cs="Times New Roman"/>
                <w:color w:val="000000"/>
              </w:rPr>
              <w:t>HS</w:t>
            </w:r>
          </w:p>
        </w:tc>
      </w:tr>
      <w:tr w:rsidR="005404F8" w:rsidRPr="00CF104A" w:rsidTr="005404F8">
        <w:trPr>
          <w:trHeight w:val="300"/>
        </w:trPr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D9D9D9"/>
            <w:vAlign w:val="bottom"/>
            <w:hideMark/>
          </w:tcPr>
          <w:p w:rsidR="005404F8" w:rsidRPr="00CF104A" w:rsidRDefault="005404F8" w:rsidP="006C35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104A">
              <w:rPr>
                <w:rFonts w:ascii="Calibri" w:eastAsia="Times New Roman" w:hAnsi="Calibri" w:cs="Times New Roman"/>
                <w:b/>
                <w:bCs/>
                <w:color w:val="000000"/>
              </w:rPr>
              <w:t>Percent</w:t>
            </w:r>
            <w:r w:rsidR="000717AD">
              <w:rPr>
                <w:rFonts w:ascii="Calibri" w:eastAsia="Times New Roman" w:hAnsi="Calibri" w:cs="Times New Roman"/>
                <w:b/>
                <w:bCs/>
                <w:color w:val="000000"/>
              </w:rPr>
              <w:t>age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CF104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of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E</w:t>
            </w:r>
            <w:r w:rsidRPr="00CF104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xaminees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  <w:r w:rsidRPr="00CF104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eeing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</w:t>
            </w:r>
            <w:r w:rsidRPr="00CF104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his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</w:t>
            </w:r>
            <w:r w:rsidRPr="00CF104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any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Writing</w:t>
            </w:r>
            <w:r w:rsidRPr="00CF104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</w:t>
            </w:r>
            <w:r w:rsidRPr="00CF104A">
              <w:rPr>
                <w:rFonts w:ascii="Calibri" w:eastAsia="Times New Roman" w:hAnsi="Calibri" w:cs="Times New Roman"/>
                <w:b/>
                <w:bCs/>
                <w:color w:val="000000"/>
              </w:rPr>
              <w:t>asks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404F8">
              <w:rPr>
                <w:rFonts w:ascii="Calibri" w:hAnsi="Calibri"/>
                <w:b/>
                <w:bCs/>
                <w:color w:val="000000"/>
              </w:rPr>
              <w:t>0 or 1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99.57%</w:t>
            </w:r>
          </w:p>
        </w:tc>
        <w:tc>
          <w:tcPr>
            <w:tcW w:w="10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99.27%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99.35%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99.34%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99.34%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99.33%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99.97%</w:t>
            </w:r>
          </w:p>
        </w:tc>
      </w:tr>
      <w:tr w:rsidR="005404F8" w:rsidRPr="00CF104A" w:rsidTr="005404F8">
        <w:trPr>
          <w:trHeight w:val="314"/>
        </w:trPr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404F8" w:rsidRPr="00CF104A" w:rsidRDefault="005404F8" w:rsidP="00CF10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404F8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0.43%</w:t>
            </w:r>
          </w:p>
        </w:tc>
        <w:tc>
          <w:tcPr>
            <w:tcW w:w="10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0.72%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0.65%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0.66%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0.66%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0.66%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0.03%</w:t>
            </w:r>
          </w:p>
        </w:tc>
      </w:tr>
      <w:tr w:rsidR="005404F8" w:rsidRPr="00CF104A" w:rsidTr="005404F8">
        <w:trPr>
          <w:trHeight w:val="300"/>
        </w:trPr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404F8" w:rsidRPr="00CF104A" w:rsidRDefault="005404F8" w:rsidP="00CF10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404F8"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0.00%</w:t>
            </w:r>
          </w:p>
        </w:tc>
        <w:tc>
          <w:tcPr>
            <w:tcW w:w="10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0.01%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0.01%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0.01%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0.01%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0.01%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0.00%</w:t>
            </w:r>
          </w:p>
        </w:tc>
      </w:tr>
      <w:tr w:rsidR="005404F8" w:rsidRPr="00CF104A" w:rsidTr="005404F8">
        <w:trPr>
          <w:trHeight w:val="300"/>
        </w:trPr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404F8" w:rsidRPr="00CF104A" w:rsidRDefault="005404F8" w:rsidP="00CF10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404F8"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0.00%</w:t>
            </w:r>
          </w:p>
        </w:tc>
        <w:tc>
          <w:tcPr>
            <w:tcW w:w="10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0.00%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0.00%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0.00%</w:t>
            </w:r>
          </w:p>
        </w:tc>
      </w:tr>
      <w:tr w:rsidR="005404F8" w:rsidRPr="00CF104A" w:rsidTr="005404F8">
        <w:trPr>
          <w:trHeight w:val="300"/>
        </w:trPr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D9D9D9"/>
            <w:vAlign w:val="bottom"/>
            <w:hideMark/>
          </w:tcPr>
          <w:p w:rsidR="005404F8" w:rsidRPr="00CF104A" w:rsidRDefault="005404F8" w:rsidP="00271C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104A">
              <w:rPr>
                <w:rFonts w:ascii="Calibri" w:eastAsia="Times New Roman" w:hAnsi="Calibri" w:cs="Times New Roman"/>
                <w:b/>
                <w:bCs/>
                <w:color w:val="000000"/>
              </w:rPr>
              <w:t>Percent</w:t>
            </w:r>
            <w:r w:rsidR="000717AD">
              <w:rPr>
                <w:rFonts w:ascii="Calibri" w:eastAsia="Times New Roman" w:hAnsi="Calibri" w:cs="Times New Roman"/>
                <w:b/>
                <w:bCs/>
                <w:color w:val="000000"/>
              </w:rPr>
              <w:t>age</w:t>
            </w:r>
            <w:r w:rsidRPr="00CF104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of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Examinees</w:t>
            </w:r>
            <w:r w:rsidRPr="00CF104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  <w:r w:rsidRPr="00CF104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eeing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E</w:t>
            </w:r>
            <w:r w:rsidRPr="00CF104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ach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N</w:t>
            </w:r>
            <w:r w:rsidRPr="00CF104A">
              <w:rPr>
                <w:rFonts w:ascii="Calibri" w:eastAsia="Times New Roman" w:hAnsi="Calibri" w:cs="Times New Roman"/>
                <w:b/>
                <w:bCs/>
                <w:color w:val="000000"/>
              </w:rPr>
              <w:t>umber of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I</w:t>
            </w:r>
            <w:r w:rsidRPr="00CF104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tem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G</w:t>
            </w:r>
            <w:r w:rsidRPr="00CF104A">
              <w:rPr>
                <w:rFonts w:ascii="Calibri" w:eastAsia="Times New Roman" w:hAnsi="Calibri" w:cs="Times New Roman"/>
                <w:b/>
                <w:bCs/>
                <w:color w:val="000000"/>
              </w:rPr>
              <w:t>roups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404F8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80.98%</w:t>
            </w:r>
          </w:p>
        </w:tc>
        <w:tc>
          <w:tcPr>
            <w:tcW w:w="10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74.60%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75.32%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75.84%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75.84%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75.58%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90.68%</w:t>
            </w:r>
          </w:p>
        </w:tc>
      </w:tr>
      <w:tr w:rsidR="005404F8" w:rsidRPr="00CF104A" w:rsidTr="005404F8">
        <w:trPr>
          <w:trHeight w:val="300"/>
        </w:trPr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404F8" w:rsidRPr="00CF104A" w:rsidRDefault="005404F8" w:rsidP="00CF10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404F8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15.52%</w:t>
            </w:r>
          </w:p>
        </w:tc>
        <w:tc>
          <w:tcPr>
            <w:tcW w:w="10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20.51%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19.83%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19.49%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19.49%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19.83%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8.06%</w:t>
            </w:r>
          </w:p>
        </w:tc>
      </w:tr>
      <w:tr w:rsidR="005404F8" w:rsidRPr="00CF104A" w:rsidTr="005404F8">
        <w:trPr>
          <w:trHeight w:val="300"/>
        </w:trPr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404F8" w:rsidRPr="00CF104A" w:rsidRDefault="005404F8" w:rsidP="00CF10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404F8"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3.51%</w:t>
            </w:r>
          </w:p>
        </w:tc>
        <w:tc>
          <w:tcPr>
            <w:tcW w:w="10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4.88%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4.85%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4.67%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4.67%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4.59%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1.26%</w:t>
            </w:r>
          </w:p>
        </w:tc>
      </w:tr>
      <w:tr w:rsidR="005404F8" w:rsidRPr="00CF104A" w:rsidTr="005404F8">
        <w:trPr>
          <w:trHeight w:val="300"/>
        </w:trPr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404F8" w:rsidRPr="00CF104A" w:rsidRDefault="005404F8" w:rsidP="00CF10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404F8"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0.26%</w:t>
            </w:r>
          </w:p>
        </w:tc>
        <w:tc>
          <w:tcPr>
            <w:tcW w:w="10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0.26%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0.26%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0.26%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0.42%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0.37%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4F8" w:rsidRPr="005404F8" w:rsidRDefault="005404F8" w:rsidP="005404F8">
            <w:pPr>
              <w:spacing w:after="0" w:line="240" w:lineRule="auto"/>
              <w:contextualSpacing/>
              <w:jc w:val="right"/>
              <w:rPr>
                <w:rFonts w:ascii="Calibri" w:hAnsi="Calibri"/>
                <w:color w:val="000000"/>
              </w:rPr>
            </w:pPr>
            <w:r w:rsidRPr="005404F8">
              <w:rPr>
                <w:rFonts w:ascii="Calibri" w:hAnsi="Calibri"/>
                <w:color w:val="000000"/>
              </w:rPr>
              <w:t>0.04%</w:t>
            </w:r>
          </w:p>
        </w:tc>
      </w:tr>
    </w:tbl>
    <w:p w:rsidR="00866A3F" w:rsidRDefault="00CF104A" w:rsidP="00CF104A">
      <w:r w:rsidRPr="001863BC">
        <w:t xml:space="preserve"> </w:t>
      </w:r>
    </w:p>
    <w:p w:rsidR="00866A3F" w:rsidRDefault="00866A3F" w:rsidP="00866A3F">
      <w:r>
        <w:br w:type="page"/>
      </w:r>
    </w:p>
    <w:p w:rsidR="00240064" w:rsidRDefault="00055590" w:rsidP="00CF104A">
      <w:r>
        <w:lastRenderedPageBreak/>
        <w:t>Item exposure rates vary across grade</w:t>
      </w:r>
      <w:r w:rsidR="00A10766">
        <w:t>s</w:t>
      </w:r>
      <w:r>
        <w:t xml:space="preserve"> because of different numbers of item groups in the pools.</w:t>
      </w:r>
      <w:r w:rsidR="0002181C">
        <w:t xml:space="preserve"> </w:t>
      </w:r>
      <w:r>
        <w:t>Expected item exposure rates vary within grade as well.</w:t>
      </w:r>
      <w:r w:rsidR="0002181C">
        <w:t xml:space="preserve"> </w:t>
      </w:r>
      <w:r>
        <w:t>This variation happens because of the differences in the number of items in the group.</w:t>
      </w:r>
      <w:r w:rsidR="0002181C">
        <w:t xml:space="preserve"> </w:t>
      </w:r>
      <w:r>
        <w:t>The algorithm will not administer a</w:t>
      </w:r>
      <w:r w:rsidR="005426F4">
        <w:t>n item</w:t>
      </w:r>
      <w:r>
        <w:t xml:space="preserve"> group if it will cause the specified maximum number of field</w:t>
      </w:r>
      <w:r w:rsidR="00DB0266">
        <w:t>-</w:t>
      </w:r>
      <w:r>
        <w:t xml:space="preserve">test items to be exceeded. Hence, for example, passages associated with </w:t>
      </w:r>
      <w:r w:rsidR="00A10766">
        <w:t>six</w:t>
      </w:r>
      <w:r>
        <w:t xml:space="preserve"> items are only administered when they are selected as the first item group, whereas stand-alone items may </w:t>
      </w:r>
      <w:r w:rsidR="005426F4">
        <w:t xml:space="preserve">be </w:t>
      </w:r>
      <w:r>
        <w:t>selected as long as there are any allowable slots left.</w:t>
      </w:r>
    </w:p>
    <w:p w:rsidR="00866A3F" w:rsidRDefault="00866A3F" w:rsidP="00CF104A">
      <w:r>
        <w:rPr>
          <w:b/>
        </w:rPr>
        <w:t xml:space="preserve">Table 3: Item </w:t>
      </w:r>
      <w:r w:rsidR="00A10766">
        <w:rPr>
          <w:b/>
        </w:rPr>
        <w:t>E</w:t>
      </w:r>
      <w:r>
        <w:rPr>
          <w:b/>
        </w:rPr>
        <w:t xml:space="preserve">xposure </w:t>
      </w:r>
      <w:r w:rsidR="00A10766">
        <w:rPr>
          <w:b/>
        </w:rPr>
        <w:t>R</w:t>
      </w:r>
      <w:r>
        <w:rPr>
          <w:b/>
        </w:rPr>
        <w:t>ates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23"/>
        <w:gridCol w:w="2985"/>
        <w:gridCol w:w="823"/>
        <w:gridCol w:w="824"/>
        <w:gridCol w:w="824"/>
        <w:gridCol w:w="824"/>
        <w:gridCol w:w="824"/>
        <w:gridCol w:w="824"/>
        <w:gridCol w:w="825"/>
      </w:tblGrid>
      <w:tr w:rsidR="00866A3F" w:rsidRPr="00866A3F" w:rsidTr="0055579A">
        <w:trPr>
          <w:trHeight w:val="300"/>
        </w:trPr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66A3F" w:rsidRPr="00866A3F" w:rsidRDefault="00866A3F" w:rsidP="00866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866A3F" w:rsidRPr="00866A3F" w:rsidRDefault="00866A3F" w:rsidP="00866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012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66A3F" w:rsidRPr="00866A3F" w:rsidRDefault="00866A3F" w:rsidP="00866A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>Grade</w:t>
            </w:r>
          </w:p>
        </w:tc>
      </w:tr>
      <w:tr w:rsidR="00866A3F" w:rsidRPr="00866A3F" w:rsidTr="0055579A">
        <w:trPr>
          <w:trHeight w:val="300"/>
        </w:trPr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66A3F" w:rsidRPr="00866A3F" w:rsidRDefault="00866A3F" w:rsidP="00866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866A3F" w:rsidRPr="00866A3F" w:rsidRDefault="00866A3F" w:rsidP="00866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Item </w:t>
            </w:r>
            <w:r w:rsidR="00A10766">
              <w:rPr>
                <w:rFonts w:ascii="Calibri" w:eastAsia="Times New Roman" w:hAnsi="Calibri" w:cs="Times New Roman"/>
                <w:b/>
                <w:bCs/>
                <w:color w:val="000000"/>
              </w:rPr>
              <w:t>G</w:t>
            </w: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roup </w:t>
            </w:r>
            <w:r w:rsidR="00A10766">
              <w:rPr>
                <w:rFonts w:ascii="Calibri" w:eastAsia="Times New Roman" w:hAnsi="Calibri" w:cs="Times New Roman"/>
                <w:b/>
                <w:bCs/>
                <w:color w:val="000000"/>
              </w:rPr>
              <w:t>T</w:t>
            </w: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>ype (</w:t>
            </w:r>
            <w:r w:rsidR="00A10766"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>ize)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66A3F" w:rsidRPr="00866A3F" w:rsidRDefault="00866A3F" w:rsidP="006C35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66A3F" w:rsidRPr="00866A3F" w:rsidRDefault="00866A3F" w:rsidP="006C35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66A3F" w:rsidRPr="00866A3F" w:rsidRDefault="00866A3F" w:rsidP="006C35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66A3F" w:rsidRPr="00866A3F" w:rsidRDefault="00866A3F" w:rsidP="006C35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66A3F" w:rsidRPr="00866A3F" w:rsidRDefault="00866A3F" w:rsidP="006C35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66A3F" w:rsidRPr="00866A3F" w:rsidRDefault="00866A3F" w:rsidP="006C35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66A3F" w:rsidRPr="00866A3F" w:rsidRDefault="00866A3F" w:rsidP="006C35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>HS</w:t>
            </w:r>
          </w:p>
        </w:tc>
      </w:tr>
      <w:tr w:rsidR="008008EB" w:rsidRPr="00866A3F" w:rsidTr="0055579A">
        <w:trPr>
          <w:trHeight w:val="300"/>
        </w:trPr>
        <w:tc>
          <w:tcPr>
            <w:tcW w:w="430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textDirection w:val="btLr"/>
            <w:vAlign w:val="center"/>
            <w:hideMark/>
          </w:tcPr>
          <w:p w:rsidR="008008EB" w:rsidRPr="00866A3F" w:rsidRDefault="008008EB" w:rsidP="00866A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>Exposure Rates</w:t>
            </w:r>
          </w:p>
        </w:tc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8008EB" w:rsidRPr="00866A3F" w:rsidRDefault="008008EB" w:rsidP="00866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Claim 2,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>tand</w:t>
            </w:r>
            <w:r w:rsidR="008B7F2D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>lone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1.10%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1.32%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1.25%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1.25%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1.25%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1.26%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0.34%</w:t>
            </w:r>
          </w:p>
        </w:tc>
      </w:tr>
      <w:tr w:rsidR="008008EB" w:rsidRPr="00866A3F" w:rsidTr="0055579A">
        <w:trPr>
          <w:trHeight w:val="300"/>
        </w:trPr>
        <w:tc>
          <w:tcPr>
            <w:tcW w:w="43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08EB" w:rsidRPr="00866A3F" w:rsidRDefault="008008EB" w:rsidP="00866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8008EB" w:rsidRPr="00866A3F" w:rsidRDefault="008008EB" w:rsidP="00866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Claim 3 (2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</w:t>
            </w: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>tems)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1.10%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1.16%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1.17%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1.16%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1.16%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1.17%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0.32%</w:t>
            </w:r>
          </w:p>
        </w:tc>
      </w:tr>
      <w:tr w:rsidR="008008EB" w:rsidRPr="00866A3F" w:rsidTr="0055579A">
        <w:trPr>
          <w:trHeight w:val="300"/>
        </w:trPr>
        <w:tc>
          <w:tcPr>
            <w:tcW w:w="43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08EB" w:rsidRPr="00866A3F" w:rsidRDefault="008008EB" w:rsidP="00866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8008EB" w:rsidRPr="00866A3F" w:rsidRDefault="008008EB" w:rsidP="00866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Claim 3 (3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</w:t>
            </w: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>tems)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1.10%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1.16%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1.17%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1.16%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1.16%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1.17%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0.32%</w:t>
            </w:r>
          </w:p>
        </w:tc>
      </w:tr>
      <w:tr w:rsidR="008008EB" w:rsidRPr="00866A3F" w:rsidTr="0055579A">
        <w:trPr>
          <w:trHeight w:val="300"/>
        </w:trPr>
        <w:tc>
          <w:tcPr>
            <w:tcW w:w="43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08EB" w:rsidRPr="00866A3F" w:rsidRDefault="008008EB" w:rsidP="00866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8008EB" w:rsidRPr="00866A3F" w:rsidRDefault="008008EB" w:rsidP="00866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Claim 1, Lit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hort (4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</w:t>
            </w: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>tems)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1.04%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1.08%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1.09%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1.09%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1.09%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1.10%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0.31%</w:t>
            </w:r>
          </w:p>
        </w:tc>
      </w:tr>
      <w:tr w:rsidR="008008EB" w:rsidRPr="00866A3F" w:rsidTr="0055579A">
        <w:trPr>
          <w:trHeight w:val="300"/>
        </w:trPr>
        <w:tc>
          <w:tcPr>
            <w:tcW w:w="43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08EB" w:rsidRPr="00866A3F" w:rsidRDefault="008008EB" w:rsidP="00866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8008EB" w:rsidRPr="00866A3F" w:rsidRDefault="008008EB" w:rsidP="00866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Claim 1, Info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hort (4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</w:t>
            </w: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>tems)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1.04%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1.08%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1.09%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1.09%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1.09%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1.10%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8EB" w:rsidRDefault="008008EB" w:rsidP="008008EB">
            <w:pPr>
              <w:spacing w:after="0" w:line="20" w:lineRule="atLeast"/>
              <w:contextualSpacing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0.31%</w:t>
            </w:r>
          </w:p>
        </w:tc>
      </w:tr>
      <w:tr w:rsidR="001A50B0" w:rsidRPr="00866A3F" w:rsidTr="0055579A">
        <w:trPr>
          <w:trHeight w:val="300"/>
        </w:trPr>
        <w:tc>
          <w:tcPr>
            <w:tcW w:w="43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50B0" w:rsidRPr="00866A3F" w:rsidRDefault="001A50B0" w:rsidP="00866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1A50B0" w:rsidRPr="00866A3F" w:rsidRDefault="001A50B0" w:rsidP="00866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Claim 1, Lit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L</w:t>
            </w: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ong (5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</w:t>
            </w: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>tems)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0B0" w:rsidRDefault="001A50B0" w:rsidP="001A50B0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0B0" w:rsidRDefault="001A50B0" w:rsidP="001A50B0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0B0" w:rsidRDefault="001A50B0" w:rsidP="001A50B0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0B0" w:rsidRDefault="001A50B0" w:rsidP="001A50B0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0B0" w:rsidRDefault="001A50B0" w:rsidP="001A50B0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0B0" w:rsidRDefault="001A50B0" w:rsidP="001A50B0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0.99%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0B0" w:rsidRDefault="001A50B0" w:rsidP="001A50B0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0.29%</w:t>
            </w:r>
          </w:p>
        </w:tc>
      </w:tr>
      <w:tr w:rsidR="001A50B0" w:rsidRPr="00866A3F" w:rsidTr="0055579A">
        <w:trPr>
          <w:trHeight w:val="300"/>
        </w:trPr>
        <w:tc>
          <w:tcPr>
            <w:tcW w:w="43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50B0" w:rsidRPr="00866A3F" w:rsidRDefault="001A50B0" w:rsidP="00866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1A50B0" w:rsidRPr="00866A3F" w:rsidRDefault="001A50B0" w:rsidP="00866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Claim 1, Lit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L</w:t>
            </w: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ong (6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</w:t>
            </w: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>tems)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0B0" w:rsidRDefault="001A50B0" w:rsidP="001A50B0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0B0" w:rsidRDefault="001A50B0" w:rsidP="001A50B0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0B0" w:rsidRDefault="001A50B0" w:rsidP="001A50B0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0B0" w:rsidRDefault="001A50B0" w:rsidP="001A50B0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0B0" w:rsidRDefault="001A50B0" w:rsidP="001A50B0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0B0" w:rsidRDefault="001A50B0" w:rsidP="001A50B0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0.86%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0B0" w:rsidRDefault="001A50B0" w:rsidP="001A50B0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0.28%</w:t>
            </w:r>
          </w:p>
        </w:tc>
      </w:tr>
      <w:tr w:rsidR="001A50B0" w:rsidRPr="00866A3F" w:rsidTr="0055579A">
        <w:trPr>
          <w:trHeight w:val="300"/>
        </w:trPr>
        <w:tc>
          <w:tcPr>
            <w:tcW w:w="43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50B0" w:rsidRPr="00866A3F" w:rsidRDefault="001A50B0" w:rsidP="00866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1A50B0" w:rsidRPr="00866A3F" w:rsidRDefault="001A50B0" w:rsidP="00866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Claim 1, Info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L</w:t>
            </w: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ong (5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</w:t>
            </w: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>tems)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0B0" w:rsidRDefault="001A50B0" w:rsidP="001A50B0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0B0" w:rsidRDefault="001A50B0" w:rsidP="001A50B0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0B0" w:rsidRDefault="001A50B0" w:rsidP="001A50B0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0B0" w:rsidRDefault="001A50B0" w:rsidP="001A50B0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0B0" w:rsidRDefault="001A50B0" w:rsidP="001A50B0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0B0" w:rsidRDefault="001A50B0" w:rsidP="001A50B0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0.99%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0B0" w:rsidRDefault="001A50B0" w:rsidP="001A50B0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0.29%</w:t>
            </w:r>
          </w:p>
        </w:tc>
      </w:tr>
      <w:tr w:rsidR="001A50B0" w:rsidRPr="00866A3F" w:rsidTr="0055579A">
        <w:trPr>
          <w:trHeight w:val="300"/>
        </w:trPr>
        <w:tc>
          <w:tcPr>
            <w:tcW w:w="43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50B0" w:rsidRPr="00866A3F" w:rsidRDefault="001A50B0" w:rsidP="00866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1A50B0" w:rsidRPr="00866A3F" w:rsidRDefault="001A50B0" w:rsidP="00866A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Claim 1, Info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L</w:t>
            </w: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ong (6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</w:t>
            </w:r>
            <w:r w:rsidRPr="00866A3F">
              <w:rPr>
                <w:rFonts w:ascii="Calibri" w:eastAsia="Times New Roman" w:hAnsi="Calibri" w:cs="Times New Roman"/>
                <w:b/>
                <w:bCs/>
                <w:color w:val="000000"/>
              </w:rPr>
              <w:t>tems)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0B0" w:rsidRDefault="001A50B0" w:rsidP="001A50B0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0B0" w:rsidRDefault="001A50B0" w:rsidP="001A50B0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0B0" w:rsidRDefault="001A50B0" w:rsidP="001A50B0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0B0" w:rsidRDefault="001A50B0" w:rsidP="001A50B0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0B0" w:rsidRDefault="001A50B0" w:rsidP="001A50B0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0.85%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0B0" w:rsidRDefault="001A50B0" w:rsidP="001A50B0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0.86%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0B0" w:rsidRDefault="001A50B0" w:rsidP="001A50B0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0.28%</w:t>
            </w:r>
          </w:p>
        </w:tc>
      </w:tr>
    </w:tbl>
    <w:p w:rsidR="00866A3F" w:rsidRDefault="00866A3F" w:rsidP="00CF104A"/>
    <w:p w:rsidR="001F511F" w:rsidRDefault="001F511F" w:rsidP="00CF104A">
      <w:r>
        <w:t xml:space="preserve">For the most part, the item exposure rates are approximately </w:t>
      </w:r>
      <w:r w:rsidR="00DB0266">
        <w:t>1–2%</w:t>
      </w:r>
      <w:r>
        <w:t>.</w:t>
      </w:r>
      <w:r w:rsidR="0002181C">
        <w:t xml:space="preserve"> </w:t>
      </w:r>
      <w:r w:rsidR="00736C05">
        <w:t>The worst case is just under 0.28</w:t>
      </w:r>
      <w:r>
        <w:t>% in the high school assessment, where a larger pool is being field tested.</w:t>
      </w:r>
      <w:r w:rsidR="0002181C">
        <w:t xml:space="preserve"> </w:t>
      </w:r>
      <w:r>
        <w:t xml:space="preserve">Assuming a target of approximately 1,500 responses per item, this </w:t>
      </w:r>
      <w:r w:rsidR="008B7F2D">
        <w:t>percentage</w:t>
      </w:r>
      <w:r w:rsidR="00DB0266">
        <w:t xml:space="preserve"> </w:t>
      </w:r>
      <w:r>
        <w:t>implies</w:t>
      </w:r>
      <w:r w:rsidR="006767B3">
        <w:t xml:space="preserve"> an operational administration to at least </w:t>
      </w:r>
      <w:r w:rsidR="00736C05">
        <w:t>536</w:t>
      </w:r>
      <w:r w:rsidR="006767B3">
        <w:t>,000 students in high school.</w:t>
      </w:r>
      <w:r w:rsidR="00D64707">
        <w:t xml:space="preserve"> </w:t>
      </w:r>
      <w:r w:rsidR="006767B3">
        <w:t>This plan leaves little risk that we will not receive a sufficient number of responses on each item.</w:t>
      </w:r>
    </w:p>
    <w:p w:rsidR="00E912CA" w:rsidRPr="00866A3F" w:rsidRDefault="00E912CA" w:rsidP="00CF104A"/>
    <w:sectPr w:rsidR="00E912CA" w:rsidRPr="00866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D4AE0"/>
    <w:multiLevelType w:val="hybridMultilevel"/>
    <w:tmpl w:val="5490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463B2A"/>
    <w:multiLevelType w:val="hybridMultilevel"/>
    <w:tmpl w:val="F5D80E5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73107FF4"/>
    <w:multiLevelType w:val="hybridMultilevel"/>
    <w:tmpl w:val="3662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3BC"/>
    <w:rsid w:val="0002181C"/>
    <w:rsid w:val="0002478A"/>
    <w:rsid w:val="00055590"/>
    <w:rsid w:val="000717AD"/>
    <w:rsid w:val="000C13F2"/>
    <w:rsid w:val="001863BC"/>
    <w:rsid w:val="001A50B0"/>
    <w:rsid w:val="001C43C7"/>
    <w:rsid w:val="001F511F"/>
    <w:rsid w:val="00203609"/>
    <w:rsid w:val="002209CC"/>
    <w:rsid w:val="002249F3"/>
    <w:rsid w:val="00226728"/>
    <w:rsid w:val="00240064"/>
    <w:rsid w:val="00271C80"/>
    <w:rsid w:val="0029453D"/>
    <w:rsid w:val="003539DB"/>
    <w:rsid w:val="00392762"/>
    <w:rsid w:val="00393975"/>
    <w:rsid w:val="0041105F"/>
    <w:rsid w:val="00443A42"/>
    <w:rsid w:val="0049403C"/>
    <w:rsid w:val="005048A4"/>
    <w:rsid w:val="005404F8"/>
    <w:rsid w:val="005426F4"/>
    <w:rsid w:val="0055579A"/>
    <w:rsid w:val="00657144"/>
    <w:rsid w:val="006767B3"/>
    <w:rsid w:val="006C35B7"/>
    <w:rsid w:val="0070014C"/>
    <w:rsid w:val="00710EC4"/>
    <w:rsid w:val="007151A8"/>
    <w:rsid w:val="00736C05"/>
    <w:rsid w:val="007A14A8"/>
    <w:rsid w:val="008008EB"/>
    <w:rsid w:val="008304AC"/>
    <w:rsid w:val="0085015F"/>
    <w:rsid w:val="00866A3F"/>
    <w:rsid w:val="008B7F2D"/>
    <w:rsid w:val="00962B50"/>
    <w:rsid w:val="00A10766"/>
    <w:rsid w:val="00A357FB"/>
    <w:rsid w:val="00AD74B1"/>
    <w:rsid w:val="00AE7E7F"/>
    <w:rsid w:val="00AF3316"/>
    <w:rsid w:val="00B3194F"/>
    <w:rsid w:val="00C56651"/>
    <w:rsid w:val="00CA58D4"/>
    <w:rsid w:val="00CE5BB2"/>
    <w:rsid w:val="00CF104A"/>
    <w:rsid w:val="00D001C0"/>
    <w:rsid w:val="00D31AF1"/>
    <w:rsid w:val="00D64707"/>
    <w:rsid w:val="00DB0266"/>
    <w:rsid w:val="00E30C39"/>
    <w:rsid w:val="00E33C03"/>
    <w:rsid w:val="00E705DA"/>
    <w:rsid w:val="00E912CA"/>
    <w:rsid w:val="00FD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012EB1-F6D6-48FE-B119-725977D6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2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3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63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863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12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C8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939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39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39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39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397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7E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2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77719-CF00-462C-847F-3C6E0DF04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7484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jcohen</dc:creator>
  <cp:lastModifiedBy>Brandt Redd</cp:lastModifiedBy>
  <cp:revision>2</cp:revision>
  <dcterms:created xsi:type="dcterms:W3CDTF">2015-01-17T17:30:00Z</dcterms:created>
  <dcterms:modified xsi:type="dcterms:W3CDTF">2015-01-17T17:30:00Z</dcterms:modified>
</cp:coreProperties>
</file>