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CC07B6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CC07B6">
              <w:rPr>
                <w:rStyle w:val="SubtitleChar"/>
              </w:rPr>
              <w:t>19 November</w:t>
            </w:r>
            <w:r>
              <w:rPr>
                <w:rStyle w:val="SubtitleChar"/>
              </w:rPr>
              <w:t xml:space="preserve"> 2015</w:t>
            </w:r>
          </w:p>
        </w:tc>
      </w:tr>
    </w:tbl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lastRenderedPageBreak/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7F0D86" w:rsidRPr="001B4805" w:rsidTr="00271375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Feature Family</w:t>
            </w:r>
          </w:p>
        </w:tc>
        <w:tc>
          <w:tcPr>
            <w:tcW w:w="2880" w:type="dxa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Feature Code</w:t>
            </w:r>
          </w:p>
        </w:tc>
        <w:tc>
          <w:tcPr>
            <w:tcW w:w="3685" w:type="dxa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Description</w:t>
            </w:r>
          </w:p>
        </w:tc>
      </w:tr>
      <w:tr w:rsidR="007F0D86" w:rsidTr="00271375">
        <w:trPr>
          <w:cantSplit/>
          <w:jc w:val="center"/>
        </w:trPr>
        <w:tc>
          <w:tcPr>
            <w:tcW w:w="2785" w:type="dxa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AmericanSignLanguage</w:t>
            </w:r>
            <w:proofErr w:type="spellEnd"/>
          </w:p>
        </w:tc>
        <w:tc>
          <w:tcPr>
            <w:tcW w:w="2880" w:type="dxa"/>
          </w:tcPr>
          <w:p w:rsidR="007F0D86" w:rsidRDefault="007F0D86" w:rsidP="001B4805">
            <w:pPr>
              <w:pStyle w:val="SingleSpace"/>
            </w:pPr>
            <w:r>
              <w:t>TDS_ASL0</w:t>
            </w:r>
          </w:p>
        </w:tc>
        <w:tc>
          <w:tcPr>
            <w:tcW w:w="3685" w:type="dxa"/>
          </w:tcPr>
          <w:p w:rsidR="007F0D86" w:rsidRDefault="007F0D86" w:rsidP="001B4805">
            <w:pPr>
              <w:pStyle w:val="SingleSpace"/>
            </w:pPr>
            <w:r>
              <w:t>Do not show ASL Videos (default)</w:t>
            </w:r>
          </w:p>
        </w:tc>
      </w:tr>
      <w:tr w:rsidR="007F0D86" w:rsidTr="00271375">
        <w:trPr>
          <w:cantSplit/>
          <w:jc w:val="center"/>
        </w:trPr>
        <w:tc>
          <w:tcPr>
            <w:tcW w:w="2785" w:type="dxa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7F0D86" w:rsidRDefault="007F0D86" w:rsidP="001B4805">
            <w:pPr>
              <w:pStyle w:val="SingleSpace"/>
            </w:pPr>
            <w:r>
              <w:t>TDS_ASL1</w:t>
            </w:r>
          </w:p>
        </w:tc>
        <w:tc>
          <w:tcPr>
            <w:tcW w:w="3685" w:type="dxa"/>
          </w:tcPr>
          <w:p w:rsidR="007F0D86" w:rsidRDefault="007F0D86" w:rsidP="001B4805">
            <w:pPr>
              <w:pStyle w:val="SingleSpace"/>
            </w:pPr>
            <w:r>
              <w:t>Show ASL Videos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B480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BrailleType</w:t>
            </w:r>
            <w:proofErr w:type="spellEnd"/>
          </w:p>
        </w:tc>
        <w:tc>
          <w:tcPr>
            <w:tcW w:w="2880" w:type="dxa"/>
          </w:tcPr>
          <w:p w:rsidR="001867BF" w:rsidRDefault="001867BF" w:rsidP="001B4805">
            <w:pPr>
              <w:pStyle w:val="SingleSpace"/>
            </w:pPr>
            <w:r>
              <w:t>TDS_BT0</w:t>
            </w:r>
          </w:p>
        </w:tc>
        <w:tc>
          <w:tcPr>
            <w:tcW w:w="3685" w:type="dxa"/>
          </w:tcPr>
          <w:p w:rsidR="001867BF" w:rsidRDefault="001867BF" w:rsidP="001B4805">
            <w:pPr>
              <w:pStyle w:val="SingleSpace"/>
            </w:pPr>
            <w:r>
              <w:t>No Braille (default)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r>
              <w:t>TDS_BT_G1</w:t>
            </w:r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Uncontracted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r>
              <w:t>TDS_BT_G2</w:t>
            </w:r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Contracted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r>
              <w:t>TDS_BT_NM</w:t>
            </w:r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Nemeth</w:t>
            </w:r>
          </w:p>
        </w:tc>
      </w:tr>
      <w:tr w:rsidR="00B466EC" w:rsidTr="00271375">
        <w:trPr>
          <w:cantSplit/>
          <w:jc w:val="center"/>
        </w:trPr>
        <w:tc>
          <w:tcPr>
            <w:tcW w:w="2785" w:type="dxa"/>
          </w:tcPr>
          <w:p w:rsidR="00B466EC" w:rsidRPr="001B4805" w:rsidRDefault="00B466EC" w:rsidP="00B466EC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ClosedCaptioning</w:t>
            </w:r>
            <w:proofErr w:type="spellEnd"/>
          </w:p>
        </w:tc>
        <w:tc>
          <w:tcPr>
            <w:tcW w:w="2880" w:type="dxa"/>
          </w:tcPr>
          <w:p w:rsidR="00B466EC" w:rsidRDefault="00B466EC" w:rsidP="00B466EC">
            <w:pPr>
              <w:pStyle w:val="SingleSpace"/>
            </w:pPr>
            <w:r>
              <w:t>TDS_ClosedCap0</w:t>
            </w:r>
          </w:p>
        </w:tc>
        <w:tc>
          <w:tcPr>
            <w:tcW w:w="3685" w:type="dxa"/>
          </w:tcPr>
          <w:p w:rsidR="00B466EC" w:rsidRDefault="00B466EC" w:rsidP="00B466EC">
            <w:pPr>
              <w:pStyle w:val="SingleSpace"/>
            </w:pPr>
            <w:r>
              <w:t>Closed captioning not available (default)</w:t>
            </w:r>
          </w:p>
        </w:tc>
      </w:tr>
      <w:tr w:rsidR="00B466EC" w:rsidTr="00271375">
        <w:trPr>
          <w:cantSplit/>
          <w:jc w:val="center"/>
        </w:trPr>
        <w:tc>
          <w:tcPr>
            <w:tcW w:w="2785" w:type="dxa"/>
          </w:tcPr>
          <w:p w:rsidR="00B466EC" w:rsidRPr="001B4805" w:rsidRDefault="00B466EC" w:rsidP="00B466EC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B466EC" w:rsidRDefault="00B466EC" w:rsidP="00B466EC">
            <w:pPr>
              <w:pStyle w:val="SingleSpace"/>
            </w:pPr>
            <w:r>
              <w:t>TDS_ClosedCap1</w:t>
            </w:r>
          </w:p>
        </w:tc>
        <w:tc>
          <w:tcPr>
            <w:tcW w:w="3685" w:type="dxa"/>
          </w:tcPr>
          <w:p w:rsidR="00B466EC" w:rsidRDefault="00B466EC" w:rsidP="00B466EC">
            <w:pPr>
              <w:pStyle w:val="SingleSpace"/>
            </w:pPr>
            <w:r>
              <w:t>Closed captioning available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ColorContrast</w:t>
            </w:r>
            <w:proofErr w:type="spellEnd"/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r>
              <w:t>TDS_CC0</w:t>
            </w:r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Black on White (default)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proofErr w:type="spellStart"/>
            <w:r>
              <w:t>TDS_CCInvert</w:t>
            </w:r>
            <w:proofErr w:type="spellEnd"/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Reverse Contrast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proofErr w:type="spellStart"/>
            <w:r>
              <w:t>TDS_CCMagenta</w:t>
            </w:r>
            <w:proofErr w:type="spellEnd"/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proofErr w:type="spellStart"/>
            <w:r>
              <w:t>BlackOnRose</w:t>
            </w:r>
            <w:proofErr w:type="spellEnd"/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proofErr w:type="spellStart"/>
            <w:r>
              <w:t>TDS_CCMedGrayLtGray</w:t>
            </w:r>
            <w:proofErr w:type="spellEnd"/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Medium Gray on Light Gray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proofErr w:type="spellStart"/>
            <w:r>
              <w:t>TDS_CCYellowB</w:t>
            </w:r>
            <w:proofErr w:type="spellEnd"/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Yellow on Blue</w:t>
            </w:r>
          </w:p>
        </w:tc>
      </w:tr>
      <w:tr w:rsidR="00CD1B47" w:rsidTr="0027137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271375">
            <w:pPr>
              <w:pStyle w:val="SingleSpace"/>
              <w:rPr>
                <w:b/>
              </w:rPr>
            </w:pPr>
            <w:r>
              <w:rPr>
                <w:b/>
              </w:rPr>
              <w:t>Highlight</w:t>
            </w:r>
          </w:p>
        </w:tc>
        <w:tc>
          <w:tcPr>
            <w:tcW w:w="2880" w:type="dxa"/>
          </w:tcPr>
          <w:p w:rsidR="00CD1B47" w:rsidRDefault="00CD1B47" w:rsidP="00271375">
            <w:pPr>
              <w:pStyle w:val="SingleSpace"/>
            </w:pPr>
            <w:r>
              <w:t>TDS_Highlight1</w:t>
            </w:r>
          </w:p>
        </w:tc>
        <w:tc>
          <w:tcPr>
            <w:tcW w:w="3685" w:type="dxa"/>
          </w:tcPr>
          <w:p w:rsidR="00CD1B47" w:rsidRDefault="00CD1B47" w:rsidP="00271375">
            <w:pPr>
              <w:pStyle w:val="SingleSpace"/>
            </w:pPr>
            <w:r>
              <w:t>Permit highlighting (default)</w:t>
            </w:r>
          </w:p>
        </w:tc>
      </w:tr>
      <w:tr w:rsidR="00CD1B47" w:rsidTr="00271375">
        <w:trPr>
          <w:cantSplit/>
          <w:jc w:val="center"/>
        </w:trPr>
        <w:tc>
          <w:tcPr>
            <w:tcW w:w="2785" w:type="dxa"/>
          </w:tcPr>
          <w:p w:rsidR="00CD1B47" w:rsidRDefault="00CD1B47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271375">
            <w:pPr>
              <w:pStyle w:val="SingleSpace"/>
            </w:pPr>
            <w:r>
              <w:t>TDS_Highlight0</w:t>
            </w:r>
          </w:p>
        </w:tc>
        <w:tc>
          <w:tcPr>
            <w:tcW w:w="3685" w:type="dxa"/>
          </w:tcPr>
          <w:p w:rsidR="00CD1B47" w:rsidRDefault="00CD1B47" w:rsidP="00271375">
            <w:pPr>
              <w:pStyle w:val="SingleSpace"/>
            </w:pPr>
            <w:r>
              <w:t>Disable highlighting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Language</w:t>
            </w: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ENU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English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ENU-Braille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Braille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ESN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Spanish stacked translation (math only)</w:t>
            </w:r>
          </w:p>
        </w:tc>
      </w:tr>
      <w:tr w:rsidR="00CD1B47" w:rsidTr="0027137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271375">
            <w:pPr>
              <w:pStyle w:val="SingleSpace"/>
              <w:rPr>
                <w:b/>
              </w:rPr>
            </w:pPr>
            <w:r>
              <w:rPr>
                <w:b/>
              </w:rPr>
              <w:t>Mark for Review</w:t>
            </w:r>
          </w:p>
        </w:tc>
        <w:tc>
          <w:tcPr>
            <w:tcW w:w="2880" w:type="dxa"/>
          </w:tcPr>
          <w:p w:rsidR="00CD1B47" w:rsidRDefault="00CD1B47" w:rsidP="00271375">
            <w:pPr>
              <w:pStyle w:val="SingleSpace"/>
            </w:pPr>
            <w:r>
              <w:t>TDS_MfR1</w:t>
            </w:r>
          </w:p>
        </w:tc>
        <w:tc>
          <w:tcPr>
            <w:tcW w:w="3685" w:type="dxa"/>
          </w:tcPr>
          <w:p w:rsidR="00CD1B47" w:rsidRDefault="00CD1B47" w:rsidP="00CD1B47">
            <w:pPr>
              <w:pStyle w:val="SingleSpace"/>
            </w:pPr>
            <w:r>
              <w:t>Allow mark for review (default)</w:t>
            </w:r>
          </w:p>
        </w:tc>
      </w:tr>
      <w:tr w:rsidR="00CD1B47" w:rsidTr="00271375">
        <w:trPr>
          <w:cantSplit/>
          <w:jc w:val="center"/>
        </w:trPr>
        <w:tc>
          <w:tcPr>
            <w:tcW w:w="2785" w:type="dxa"/>
          </w:tcPr>
          <w:p w:rsidR="00CD1B47" w:rsidRDefault="00CD1B47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271375">
            <w:pPr>
              <w:pStyle w:val="SingleSpace"/>
            </w:pPr>
            <w:r>
              <w:t>TDS_MfR0</w:t>
            </w:r>
          </w:p>
        </w:tc>
        <w:tc>
          <w:tcPr>
            <w:tcW w:w="3685" w:type="dxa"/>
          </w:tcPr>
          <w:p w:rsidR="00CD1B47" w:rsidRDefault="00CD1B47" w:rsidP="00271375">
            <w:pPr>
              <w:pStyle w:val="SingleSpace"/>
            </w:pPr>
            <w:r>
              <w:t>Disable mark for review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Masking</w:t>
            </w: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TDS_Masking0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Masking not available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TDS_Masking1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Masking available: allows blocking of content that is not of immediate need or that might be distracting to the student.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Pr="001B4805" w:rsidRDefault="00F8620F" w:rsidP="00271375">
            <w:pPr>
              <w:pStyle w:val="SingleSpace"/>
              <w:rPr>
                <w:b/>
              </w:rPr>
            </w:pPr>
            <w:r>
              <w:rPr>
                <w:b/>
              </w:rPr>
              <w:t>Notepad (comments)</w:t>
            </w: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proofErr w:type="spellStart"/>
            <w:r>
              <w:t>TDS_SCNotepad</w:t>
            </w:r>
            <w:proofErr w:type="spellEnd"/>
          </w:p>
        </w:tc>
        <w:tc>
          <w:tcPr>
            <w:tcW w:w="3685" w:type="dxa"/>
          </w:tcPr>
          <w:p w:rsidR="00F8620F" w:rsidRDefault="00F8620F" w:rsidP="00F8620F">
            <w:pPr>
              <w:pStyle w:val="SingleSpace"/>
            </w:pPr>
            <w:r>
              <w:t>Notepad available (default)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Default="00F8620F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r>
              <w:t>TDS_SC0</w:t>
            </w:r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Notepad disabled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PermissiveMode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TDS_PM0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Permissive mode disabled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TDS_PM1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PrintOnDemand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TDS_PoD0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Print on demand disabled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TDS_PoD_Stim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Allows students to request a printout of the item stimulus.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Pr="001B4805" w:rsidRDefault="00F8620F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proofErr w:type="spellStart"/>
            <w:r>
              <w:t>TDS_PoD_Item</w:t>
            </w:r>
            <w:proofErr w:type="spellEnd"/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Print on Demand for items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Pr="001B4805" w:rsidRDefault="00F8620F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proofErr w:type="spellStart"/>
            <w:r>
              <w:t>TDS_PoD_Stim&amp;TDS_PoD_Item</w:t>
            </w:r>
            <w:proofErr w:type="spellEnd"/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Print on Demand for items and stimuli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PrintSize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TDS_PS_L0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Default initial print size.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TDS_PS_L1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Initial print size set to zoom level 1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TDS_PS_L2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Initial print size set to zoom level 2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TDS_PS_L3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Initial print size set to zoom level 3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TDS_PS_L4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Initial print size set to zoom level 4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StreamlinedInterface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TDS_TS_Modern</w:t>
            </w:r>
            <w:proofErr w:type="spellEnd"/>
          </w:p>
          <w:p w:rsidR="00F8620F" w:rsidRDefault="00F8620F" w:rsidP="00271375">
            <w:pPr>
              <w:pStyle w:val="SingleSpace"/>
            </w:pPr>
            <w:r>
              <w:t>TDS_SLM0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Standard layout with stimulus displayed alongside assessment items.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TDS_TS_Accessibility</w:t>
            </w:r>
            <w:proofErr w:type="spellEnd"/>
          </w:p>
          <w:p w:rsidR="00F8620F" w:rsidRDefault="00F8620F" w:rsidP="00271375">
            <w:pPr>
              <w:pStyle w:val="SingleSpace"/>
            </w:pPr>
            <w:r>
              <w:t>TDS_SLM1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Pr="001B4805" w:rsidRDefault="00F8620F" w:rsidP="00271375">
            <w:pPr>
              <w:pStyle w:val="SingleSpace"/>
              <w:rPr>
                <w:b/>
              </w:rPr>
            </w:pPr>
            <w:r>
              <w:rPr>
                <w:b/>
              </w:rPr>
              <w:t>Strikethrough</w:t>
            </w: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r>
              <w:t>TDS_ST1</w:t>
            </w:r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Strikethrough enabled (default)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Default="00F8620F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r>
              <w:t>TDS_ST0</w:t>
            </w:r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Strikethrough disabled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Default="00F8620F" w:rsidP="00271375">
            <w:pPr>
              <w:pStyle w:val="SingleSpace"/>
              <w:rPr>
                <w:b/>
              </w:rPr>
            </w:pPr>
            <w:r>
              <w:rPr>
                <w:b/>
              </w:rPr>
              <w:t>System Volume Control</w:t>
            </w: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r>
              <w:t>TDS_SVC1</w:t>
            </w:r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System volume control enabled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TextToSpeech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TDS_TTS0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No text-to-speech available.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TDS_TTS_Item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Text-to-speech available for items.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TDS_TTS_Stim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Text-to-speech available for stimuli.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TDS_TTS_Stim&amp;TDS_TTS_Item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Text-to-speech available for stimuli and items.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Translation (Glossary)</w:t>
            </w: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(default)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If no code is specified, English glossary is made available by default.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TDS_WL0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No glossary (suppresses all glossaries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TDS_WL_Glossary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English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TDS_WL_ArabicGloss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Arabic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TDS_WL_CantoneseGloss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Cantonese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TDS_WL_ESNGloss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Spanish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TDS_WL_KoreanGloss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Korean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TDS_WL_MandarinGloss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Mandarin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TDS_WL_PunjabiGloss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Punjabi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TDS_WL_RussianGloss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Russian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TDS_WL_TagalGloss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Filipino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TDS_WL_UkrainianGloss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Ukrainian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TDS_WL_VietnameseGloss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Vietnamese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Multiple</w:t>
            </w:r>
          </w:p>
        </w:tc>
        <w:tc>
          <w:tcPr>
            <w:tcW w:w="3685" w:type="dxa"/>
          </w:tcPr>
          <w:p w:rsidR="00271375" w:rsidRDefault="00A82527" w:rsidP="00A82527">
            <w:pPr>
              <w:pStyle w:val="SingleSpace"/>
            </w:pPr>
            <w:r>
              <w:t>English one language glossaries can be combined using an ampersand. The language glossary should be specified first. E.g.</w:t>
            </w:r>
          </w:p>
          <w:p w:rsidR="00A82527" w:rsidRDefault="00A82527" w:rsidP="00A82527">
            <w:pPr>
              <w:pStyle w:val="SingleSpace"/>
            </w:pPr>
            <w:proofErr w:type="spellStart"/>
            <w:r>
              <w:t>TDS_WL_MandarinGloss&amp;TDS_WL_Glossary</w:t>
            </w:r>
            <w:proofErr w:type="spellEnd"/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lastRenderedPageBreak/>
              <w:t>NonEmbeddedDesignatedSupports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NEDS0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No non-embedded designated supports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NEDS_BD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Bilingual dictionary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NEDS_CC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Color Contrast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NEDS_CO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Color Overlay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NEDS_Mag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Magnification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NEDS_RA_Items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Read aloud items</w:t>
            </w:r>
          </w:p>
        </w:tc>
      </w:tr>
      <w:tr w:rsidR="00CD1B47" w:rsidTr="0027137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271375">
            <w:pPr>
              <w:pStyle w:val="SingleSpace"/>
            </w:pPr>
            <w:proofErr w:type="spellStart"/>
            <w:r>
              <w:t>NEDS_RA_Stimuli</w:t>
            </w:r>
            <w:proofErr w:type="spellEnd"/>
          </w:p>
        </w:tc>
        <w:tc>
          <w:tcPr>
            <w:tcW w:w="3685" w:type="dxa"/>
          </w:tcPr>
          <w:p w:rsidR="00CD1B47" w:rsidRDefault="00CD1B47" w:rsidP="00271375">
            <w:pPr>
              <w:pStyle w:val="SingleSpace"/>
            </w:pPr>
            <w:r>
              <w:t>Read aloud stimuli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NEDS_SC_Items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Scribe items (non-writing)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NEDS_SS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Separate setting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NEDS_TArabic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Arabic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NEDS_TCantonese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Cantonese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NEDS_TFilipino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Filipino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NEDS_TKorean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Korean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NEDS_TMandarin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Mandarin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NEDS_TPunjabi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Punjabi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NEDS_TRussian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Russian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NEDS_TSpanish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Spanish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NEDS_TUkrainian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Ukrainian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NEDS_TVietnamese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Vietnamese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NEDS_TransDirs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Translated test directions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NEDS_NoiseBuf</w:t>
            </w:r>
            <w:proofErr w:type="spellEnd"/>
          </w:p>
        </w:tc>
        <w:tc>
          <w:tcPr>
            <w:tcW w:w="3685" w:type="dxa"/>
          </w:tcPr>
          <w:p w:rsidR="00271375" w:rsidRDefault="00F8620F" w:rsidP="00271375">
            <w:pPr>
              <w:pStyle w:val="SingleSpace"/>
            </w:pPr>
            <w:r>
              <w:t>Noise buffers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NEDS_Other</w:t>
            </w:r>
            <w:proofErr w:type="spellEnd"/>
            <w:r>
              <w:t>(</w:t>
            </w:r>
            <w:r w:rsidRPr="00EB6441">
              <w:rPr>
                <w:i/>
              </w:rPr>
              <w:t>text</w:t>
            </w:r>
            <w:r>
              <w:t>)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 custom non-embedded designated support (see below)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NonEmbeddedAccommodations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NEA0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No non-embedded accommodations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NEA_AR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Alternate response options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NEA_RA_Stimuli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Read aloud stimuli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NEA_SC_WritItems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Scribe items (writing)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NEA_STT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Speech-to-Text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NEA_Abacus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Abacus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NEA_Calc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Calculator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NEA_MT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Multiplication Table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NEA_NoiseBuf</w:t>
            </w:r>
            <w:proofErr w:type="spellEnd"/>
          </w:p>
        </w:tc>
        <w:tc>
          <w:tcPr>
            <w:tcW w:w="3685" w:type="dxa"/>
          </w:tcPr>
          <w:p w:rsidR="00271375" w:rsidRDefault="00271375" w:rsidP="003821D5">
            <w:pPr>
              <w:pStyle w:val="SingleSpace"/>
            </w:pPr>
            <w:r>
              <w:t>Noise buffers (</w:t>
            </w:r>
            <w:r w:rsidR="003821D5">
              <w:t>obsolete</w:t>
            </w:r>
            <w:r>
              <w:t>)</w:t>
            </w:r>
            <w:r>
              <w:rPr>
                <w:rStyle w:val="FootnoteReference"/>
              </w:rPr>
              <w:footnoteReference w:id="1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</w:t>
      </w:r>
      <w:r>
        <w:lastRenderedPageBreak/>
        <w:t xml:space="preserve">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lastRenderedPageBreak/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Play Stop and Pause (default)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No Calculator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Basic Calculator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TDS)</w:t>
            </w:r>
            <w:proofErr w:type="spellStart"/>
            <w:r>
              <w:t>SciInv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Scientific Calculator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No Dictionary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Merriam Webster School Dictionary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All Dictionary Options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No embossing (default)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Emboss stimuli and items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Not Applicable (default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Auto Request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Emboss on request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Expandable Passages Off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Expandable Passages On (default)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Times New Roman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Verdana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Global Notes Off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Global Notes On (default)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Check Playback Capabilities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14pt items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On</w:t>
            </w:r>
          </w:p>
        </w:tc>
      </w:tr>
      <w:tr w:rsidR="00F8620F" w:rsidTr="00E23B93">
        <w:trPr>
          <w:cantSplit/>
          <w:jc w:val="center"/>
        </w:trPr>
        <w:tc>
          <w:tcPr>
            <w:tcW w:w="2785" w:type="dxa"/>
          </w:tcPr>
          <w:p w:rsidR="00F8620F" w:rsidRDefault="00F8620F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E23B93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E23B93">
            <w:pPr>
              <w:pStyle w:val="SingleSpace"/>
            </w:pPr>
            <w:r>
              <w:t>14pt Passages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Not muted (default)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Muted</w:t>
            </w:r>
          </w:p>
        </w:tc>
      </w:tr>
      <w:tr w:rsidR="00F8620F" w:rsidTr="00E23B93">
        <w:trPr>
          <w:cantSplit/>
          <w:jc w:val="center"/>
        </w:trPr>
        <w:tc>
          <w:tcPr>
            <w:tcW w:w="2785" w:type="dxa"/>
          </w:tcPr>
          <w:p w:rsidR="00F8620F" w:rsidRDefault="00F8620F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E23B93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:rsidR="00F8620F" w:rsidRDefault="00F8620F" w:rsidP="00E23B93">
            <w:pPr>
              <w:pStyle w:val="SingleSpace"/>
            </w:pPr>
            <w:r>
              <w:t>List view</w:t>
            </w:r>
          </w:p>
        </w:tc>
      </w:tr>
      <w:tr w:rsidR="00F8620F" w:rsidTr="00E23B93">
        <w:trPr>
          <w:cantSplit/>
          <w:jc w:val="center"/>
        </w:trPr>
        <w:tc>
          <w:tcPr>
            <w:tcW w:w="2785" w:type="dxa"/>
          </w:tcPr>
          <w:p w:rsidR="00F8620F" w:rsidRDefault="00F8620F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lastRenderedPageBreak/>
              <w:t>Pool Filter</w:t>
            </w:r>
          </w:p>
        </w:tc>
        <w:tc>
          <w:tcPr>
            <w:tcW w:w="2880" w:type="dxa"/>
          </w:tcPr>
          <w:p w:rsidR="00F8620F" w:rsidRDefault="00F8620F" w:rsidP="00E23B93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E23B93">
            <w:pPr>
              <w:pStyle w:val="SingleSpace"/>
            </w:pPr>
            <w:r>
              <w:t>Below-grade items included in pool</w:t>
            </w:r>
          </w:p>
        </w:tc>
      </w:tr>
      <w:tr w:rsidR="00F8620F" w:rsidTr="00E23B93">
        <w:trPr>
          <w:cantSplit/>
          <w:jc w:val="center"/>
        </w:trPr>
        <w:tc>
          <w:tcPr>
            <w:tcW w:w="2785" w:type="dxa"/>
          </w:tcPr>
          <w:p w:rsidR="00F8620F" w:rsidRDefault="00F8620F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E23B93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E23B93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Above-grade items included in pool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Universal test shell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No thesaurus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All thesaurus options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06F" w:rsidRDefault="00F8206F" w:rsidP="0035476E">
      <w:r>
        <w:separator/>
      </w:r>
    </w:p>
  </w:endnote>
  <w:endnote w:type="continuationSeparator" w:id="0">
    <w:p w:rsidR="00F8206F" w:rsidRDefault="00F8206F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6EC" w:rsidRPr="00A26BA3" w:rsidRDefault="00B466EC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3821D5">
      <w:rPr>
        <w:noProof/>
      </w:rPr>
      <w:t>7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06F" w:rsidRDefault="00F8206F" w:rsidP="0035476E">
      <w:r>
        <w:separator/>
      </w:r>
    </w:p>
  </w:footnote>
  <w:footnote w:type="continuationSeparator" w:id="0">
    <w:p w:rsidR="00F8206F" w:rsidRDefault="00F8206F" w:rsidP="0035476E">
      <w:r>
        <w:continuationSeparator/>
      </w:r>
    </w:p>
  </w:footnote>
  <w:footnote w:id="1">
    <w:p w:rsidR="00271375" w:rsidRDefault="00271375">
      <w:pPr>
        <w:pStyle w:val="FootnoteText"/>
      </w:pPr>
      <w:r>
        <w:rPr>
          <w:rStyle w:val="FootnoteReference"/>
        </w:rPr>
        <w:footnoteRef/>
      </w:r>
      <w:r>
        <w:t xml:space="preserve"> Noise buffers were previously included as a non-embedded Accommodation. That code, </w:t>
      </w:r>
      <w:proofErr w:type="spellStart"/>
      <w:r>
        <w:t>NEA_NoiseBuf</w:t>
      </w:r>
      <w:proofErr w:type="spellEnd"/>
      <w:r>
        <w:t>,</w:t>
      </w:r>
      <w:bookmarkStart w:id="0" w:name="_GoBack"/>
      <w:bookmarkEnd w:id="0"/>
      <w:r>
        <w:t xml:space="preserve"> is </w:t>
      </w:r>
      <w:r w:rsidR="003821D5">
        <w:t>obsolete</w:t>
      </w:r>
      <w:r>
        <w:t xml:space="preserve">. New code should use the </w:t>
      </w:r>
      <w:proofErr w:type="spellStart"/>
      <w:r>
        <w:t>NEDS_NoiseBuf</w:t>
      </w:r>
      <w:proofErr w:type="spellEnd"/>
      <w: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C2379"/>
    <w:rsid w:val="000C5DA5"/>
    <w:rsid w:val="000E359A"/>
    <w:rsid w:val="000F31E3"/>
    <w:rsid w:val="001025C1"/>
    <w:rsid w:val="00102C1B"/>
    <w:rsid w:val="001207D4"/>
    <w:rsid w:val="00122961"/>
    <w:rsid w:val="00124FAC"/>
    <w:rsid w:val="0013215E"/>
    <w:rsid w:val="00141E4C"/>
    <w:rsid w:val="00144462"/>
    <w:rsid w:val="00164A22"/>
    <w:rsid w:val="0017606C"/>
    <w:rsid w:val="001823F0"/>
    <w:rsid w:val="001867BF"/>
    <w:rsid w:val="001A133B"/>
    <w:rsid w:val="001A24DB"/>
    <w:rsid w:val="001A3156"/>
    <w:rsid w:val="001B04D1"/>
    <w:rsid w:val="001B4805"/>
    <w:rsid w:val="001D5278"/>
    <w:rsid w:val="001D53C6"/>
    <w:rsid w:val="002006BD"/>
    <w:rsid w:val="00221D2B"/>
    <w:rsid w:val="00250F39"/>
    <w:rsid w:val="002536B8"/>
    <w:rsid w:val="002576A2"/>
    <w:rsid w:val="00271375"/>
    <w:rsid w:val="002B63E3"/>
    <w:rsid w:val="002C37F5"/>
    <w:rsid w:val="002D3273"/>
    <w:rsid w:val="002E15F9"/>
    <w:rsid w:val="002F32B5"/>
    <w:rsid w:val="002F6E54"/>
    <w:rsid w:val="003208FB"/>
    <w:rsid w:val="003263CE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E1C59"/>
    <w:rsid w:val="003E67EE"/>
    <w:rsid w:val="003F0451"/>
    <w:rsid w:val="00425116"/>
    <w:rsid w:val="00480BD9"/>
    <w:rsid w:val="004A5714"/>
    <w:rsid w:val="004B6328"/>
    <w:rsid w:val="004D1F2A"/>
    <w:rsid w:val="004E735B"/>
    <w:rsid w:val="005555D0"/>
    <w:rsid w:val="00557105"/>
    <w:rsid w:val="00567734"/>
    <w:rsid w:val="005754D1"/>
    <w:rsid w:val="00583EE5"/>
    <w:rsid w:val="00587714"/>
    <w:rsid w:val="005A6354"/>
    <w:rsid w:val="005C7283"/>
    <w:rsid w:val="005D55A5"/>
    <w:rsid w:val="005E07C1"/>
    <w:rsid w:val="005F4324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703FF4"/>
    <w:rsid w:val="00710CD6"/>
    <w:rsid w:val="0071336A"/>
    <w:rsid w:val="007134CC"/>
    <w:rsid w:val="0072008E"/>
    <w:rsid w:val="00727FE0"/>
    <w:rsid w:val="007867E5"/>
    <w:rsid w:val="007911FF"/>
    <w:rsid w:val="007B7F35"/>
    <w:rsid w:val="007C3B0C"/>
    <w:rsid w:val="007D1322"/>
    <w:rsid w:val="007D526A"/>
    <w:rsid w:val="007F0D86"/>
    <w:rsid w:val="007F768D"/>
    <w:rsid w:val="00802054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6375"/>
    <w:rsid w:val="00935F84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6BA3"/>
    <w:rsid w:val="00A42620"/>
    <w:rsid w:val="00A42E68"/>
    <w:rsid w:val="00A47FE4"/>
    <w:rsid w:val="00A77B56"/>
    <w:rsid w:val="00A82527"/>
    <w:rsid w:val="00A872B6"/>
    <w:rsid w:val="00AB2E01"/>
    <w:rsid w:val="00AC7562"/>
    <w:rsid w:val="00AD287D"/>
    <w:rsid w:val="00B466EC"/>
    <w:rsid w:val="00B77D86"/>
    <w:rsid w:val="00B854A1"/>
    <w:rsid w:val="00BA58E8"/>
    <w:rsid w:val="00C02B81"/>
    <w:rsid w:val="00C16716"/>
    <w:rsid w:val="00C36239"/>
    <w:rsid w:val="00C41084"/>
    <w:rsid w:val="00C52BB2"/>
    <w:rsid w:val="00C565E1"/>
    <w:rsid w:val="00C57955"/>
    <w:rsid w:val="00C72F65"/>
    <w:rsid w:val="00C83748"/>
    <w:rsid w:val="00C95740"/>
    <w:rsid w:val="00C9713C"/>
    <w:rsid w:val="00CC07B6"/>
    <w:rsid w:val="00CD1B47"/>
    <w:rsid w:val="00CF289E"/>
    <w:rsid w:val="00D04882"/>
    <w:rsid w:val="00D10132"/>
    <w:rsid w:val="00D24181"/>
    <w:rsid w:val="00D61CF6"/>
    <w:rsid w:val="00D94507"/>
    <w:rsid w:val="00DC4DE8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85C8E"/>
    <w:rsid w:val="00E91762"/>
    <w:rsid w:val="00E977BD"/>
    <w:rsid w:val="00EB0B4E"/>
    <w:rsid w:val="00EB1AC4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70352"/>
    <w:rsid w:val="00F70D85"/>
    <w:rsid w:val="00F8206F"/>
    <w:rsid w:val="00F8620F"/>
    <w:rsid w:val="00F90C4B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63341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4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ADEEC-E9DB-47E9-B940-04CC222B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74</TotalTime>
  <Pages>7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Brandt Redd</cp:lastModifiedBy>
  <cp:revision>8</cp:revision>
  <cp:lastPrinted>2015-11-20T01:09:00Z</cp:lastPrinted>
  <dcterms:created xsi:type="dcterms:W3CDTF">2015-10-28T16:40:00Z</dcterms:created>
  <dcterms:modified xsi:type="dcterms:W3CDTF">2015-12-03T21:04:00Z</dcterms:modified>
</cp:coreProperties>
</file>