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163515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163515">
              <w:rPr>
                <w:rStyle w:val="SubtitleChar"/>
              </w:rPr>
              <w:t>29</w:t>
            </w:r>
            <w:r w:rsidR="001732C9">
              <w:rPr>
                <w:rStyle w:val="SubtitleChar"/>
              </w:rPr>
              <w:t xml:space="preserve"> </w:t>
            </w:r>
            <w:r w:rsidR="00163515">
              <w:rPr>
                <w:rStyle w:val="SubtitleChar"/>
              </w:rPr>
              <w:t xml:space="preserve">May </w:t>
            </w:r>
            <w:r>
              <w:rPr>
                <w:rStyle w:val="SubtitleChar"/>
              </w:rPr>
              <w:t>201</w:t>
            </w:r>
            <w:r w:rsidR="00163515">
              <w:rPr>
                <w:rStyle w:val="SubtitleChar"/>
              </w:rPr>
              <w:t>8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732C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5C6CC3">
            <w:pPr>
              <w:pStyle w:val="SBACTableText"/>
              <w:spacing w:after="0"/>
            </w:pPr>
            <w:r>
              <w:t>Update braille math codes to match the UEB Braille Transition Technical Framework.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CB2B54">
            <w:pPr>
              <w:pStyle w:val="SBACTableText"/>
              <w:spacing w:after="0"/>
            </w:pPr>
            <w:r>
              <w:t>November 2, 2016</w:t>
            </w:r>
          </w:p>
        </w:tc>
      </w:tr>
      <w:tr w:rsidR="007160C6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5C6CC3">
            <w:pPr>
              <w:pStyle w:val="SBACTableText"/>
              <w:spacing w:after="0"/>
            </w:pPr>
            <w:r>
              <w:t>Update the Item Tools Menu feature to set the default as TDS_ITM1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CB2B54">
            <w:pPr>
              <w:pStyle w:val="SBACTableText"/>
              <w:spacing w:after="0"/>
            </w:pPr>
            <w:r>
              <w:t>August 16, 2016</w:t>
            </w:r>
          </w:p>
        </w:tc>
      </w:tr>
      <w:tr w:rsidR="00B25E99" w:rsidTr="00CB2B5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CB2B54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 and codes;</w:t>
            </w:r>
          </w:p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 and codes;</w:t>
            </w:r>
          </w:p>
          <w:p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  <w:tr w:rsidR="005054A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Added the Burmese glossary code;</w:t>
            </w:r>
          </w:p>
          <w:p w:rsidR="005054AD" w:rsidRDefault="005054AD" w:rsidP="00C20144">
            <w:pPr>
              <w:pStyle w:val="SBACTableText"/>
              <w:spacing w:after="0"/>
            </w:pPr>
            <w:r>
              <w:t>Added the Illustration glossary code used by the AIR Test Delivery System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5054AD" w:rsidRDefault="005054AD" w:rsidP="00C20144">
            <w:pPr>
              <w:pStyle w:val="SBACTableText"/>
              <w:spacing w:after="0"/>
            </w:pPr>
            <w:r>
              <w:t>May 29, 2018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lastRenderedPageBreak/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StreamlinedInterface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  <w:r w:rsidR="00CB2B54">
              <w:rPr>
                <w:sz w:val="20"/>
                <w:szCs w:val="20"/>
              </w:rPr>
              <w:t>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TDS_WL_BurmeseGloss</w:t>
            </w:r>
            <w:proofErr w:type="spellEnd"/>
          </w:p>
        </w:tc>
        <w:tc>
          <w:tcPr>
            <w:tcW w:w="3775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CB2B54" w:rsidRPr="00FC0A7C" w:rsidTr="00FC0A7C">
        <w:trPr>
          <w:cantSplit/>
          <w:jc w:val="center"/>
        </w:trPr>
        <w:tc>
          <w:tcPr>
            <w:tcW w:w="2785" w:type="dxa"/>
          </w:tcPr>
          <w:p w:rsidR="00CB2B54" w:rsidRPr="00FC0A7C" w:rsidRDefault="00CB2B54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B2B54" w:rsidRPr="00FC0A7C" w:rsidRDefault="00CB2B54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TDS_WL_Illustration</w:t>
            </w:r>
            <w:proofErr w:type="spellEnd"/>
            <w:r w:rsidR="005054AD">
              <w:rPr>
                <w:rStyle w:val="FootnoteReference"/>
                <w:sz w:val="20"/>
                <w:szCs w:val="20"/>
              </w:rPr>
              <w:footnoteReference w:id="4"/>
            </w:r>
          </w:p>
        </w:tc>
        <w:tc>
          <w:tcPr>
            <w:tcW w:w="3775" w:type="dxa"/>
          </w:tcPr>
          <w:p w:rsidR="00CB2B54" w:rsidRPr="00FC0A7C" w:rsidRDefault="00CB2B54" w:rsidP="005054AD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 glossary</w:t>
            </w:r>
            <w:r w:rsidR="005054AD">
              <w:rPr>
                <w:sz w:val="20"/>
                <w:szCs w:val="20"/>
              </w:rPr>
              <w:t xml:space="preserve"> 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EA2D10" w:rsidRPr="00FC0A7C" w:rsidTr="00CB2B54">
        <w:trPr>
          <w:cantSplit/>
          <w:jc w:val="center"/>
        </w:trPr>
        <w:tc>
          <w:tcPr>
            <w:tcW w:w="2785" w:type="dxa"/>
          </w:tcPr>
          <w:p w:rsidR="00EA2D10" w:rsidRPr="00FC0A7C" w:rsidRDefault="00EA2D1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A2D10" w:rsidRPr="00FC0A7C" w:rsidRDefault="00B03CBD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NEDS_Simp</w:t>
            </w:r>
            <w:r w:rsidR="00EA2D10">
              <w:rPr>
                <w:sz w:val="20"/>
                <w:szCs w:val="20"/>
              </w:rPr>
              <w:t>Dirs</w:t>
            </w:r>
            <w:proofErr w:type="spellEnd"/>
          </w:p>
        </w:tc>
        <w:tc>
          <w:tcPr>
            <w:tcW w:w="3775" w:type="dxa"/>
          </w:tcPr>
          <w:p w:rsidR="00EA2D10" w:rsidRPr="00FC0A7C" w:rsidRDefault="00EA2D1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NonEmbeddedAccommodations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5C4040" w:rsidRPr="00FC0A7C" w:rsidTr="00CB2B54">
        <w:trPr>
          <w:cantSplit/>
          <w:jc w:val="center"/>
        </w:trPr>
        <w:tc>
          <w:tcPr>
            <w:tcW w:w="2785" w:type="dxa"/>
          </w:tcPr>
          <w:p w:rsidR="005C4040" w:rsidRPr="00FC0A7C" w:rsidRDefault="005C4040" w:rsidP="00CB2B54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5C4040" w:rsidRPr="00FC0A7C" w:rsidRDefault="00CC0843" w:rsidP="00CB2B54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NEA_NumTbl</w:t>
            </w:r>
            <w:proofErr w:type="spellEnd"/>
          </w:p>
        </w:tc>
        <w:tc>
          <w:tcPr>
            <w:tcW w:w="3775" w:type="dxa"/>
          </w:tcPr>
          <w:p w:rsidR="005C4040" w:rsidRPr="00FC0A7C" w:rsidRDefault="005C4040" w:rsidP="00CB2B54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5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lastRenderedPageBreak/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lastRenderedPageBreak/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  <w:r w:rsidR="007160C6">
              <w:t xml:space="preserve"> (default)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A0E" w:rsidRDefault="00B65A0E" w:rsidP="0035476E">
      <w:r>
        <w:separator/>
      </w:r>
    </w:p>
  </w:endnote>
  <w:endnote w:type="continuationSeparator" w:id="0">
    <w:p w:rsidR="00B65A0E" w:rsidRDefault="00B65A0E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54" w:rsidRPr="00A26BA3" w:rsidRDefault="00CB2B5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083B63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A0E" w:rsidRDefault="00B65A0E" w:rsidP="0035476E">
      <w:r>
        <w:separator/>
      </w:r>
    </w:p>
  </w:footnote>
  <w:footnote w:type="continuationSeparator" w:id="0">
    <w:p w:rsidR="00B65A0E" w:rsidRDefault="00B65A0E" w:rsidP="0035476E">
      <w:r>
        <w:continuationSeparator/>
      </w:r>
    </w:p>
  </w:footnote>
  <w:footnote w:id="1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CB2B54" w:rsidRDefault="00CB2B5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:rsidR="00CB2B54" w:rsidRPr="00BA3231" w:rsidRDefault="00CB2B5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</w:t>
      </w:r>
      <w:proofErr w:type="spellStart"/>
      <w:r w:rsidRPr="00310D76">
        <w:t>BrailleType</w:t>
      </w:r>
      <w:proofErr w:type="spellEnd"/>
      <w:r w:rsidRPr="00310D76">
        <w:t xml:space="preserve">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5054AD" w:rsidRDefault="005054AD" w:rsidP="005054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TDS_WL_Illustration</w:t>
      </w:r>
      <w:proofErr w:type="spellEnd"/>
      <w:r>
        <w:t xml:space="preserve"> is an alternative code used by the AIR Test Delivery System.</w:t>
      </w:r>
      <w:r w:rsidR="00083B63">
        <w:t xml:space="preserve"> </w:t>
      </w:r>
      <w:r w:rsidR="00083B63">
        <w:t>It has equivalent meaning to TDS_ILG1.</w:t>
      </w:r>
      <w:bookmarkStart w:id="0" w:name="_GoBack"/>
      <w:bookmarkEnd w:id="0"/>
    </w:p>
  </w:footnote>
  <w:footnote w:id="5">
    <w:p w:rsidR="00CB2B54" w:rsidRDefault="00CB2B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 xml:space="preserve">Noise buffers were previously included as a non-embedded Accommodation. That code, </w:t>
      </w:r>
      <w:proofErr w:type="spellStart"/>
      <w:r w:rsidRPr="00DC6EA0">
        <w:rPr>
          <w:sz w:val="16"/>
          <w:szCs w:val="16"/>
        </w:rPr>
        <w:t>NEA_NoiseBuf</w:t>
      </w:r>
      <w:proofErr w:type="spellEnd"/>
      <w:r w:rsidRPr="00DC6EA0">
        <w:rPr>
          <w:sz w:val="16"/>
          <w:szCs w:val="16"/>
        </w:rPr>
        <w:t xml:space="preserve">, is obsolete. New code should use the </w:t>
      </w:r>
      <w:proofErr w:type="spellStart"/>
      <w:r w:rsidRPr="00DC6EA0">
        <w:rPr>
          <w:sz w:val="16"/>
          <w:szCs w:val="16"/>
        </w:rPr>
        <w:t>NEDS_NoiseBuf</w:t>
      </w:r>
      <w:proofErr w:type="spellEnd"/>
      <w:r w:rsidRPr="00DC6EA0">
        <w:rPr>
          <w:sz w:val="16"/>
          <w:szCs w:val="16"/>
        </w:rP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561C6"/>
    <w:rsid w:val="00083B63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3515"/>
    <w:rsid w:val="00164A22"/>
    <w:rsid w:val="001732C9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C4389"/>
    <w:rsid w:val="004D1F2A"/>
    <w:rsid w:val="004E735B"/>
    <w:rsid w:val="005054AD"/>
    <w:rsid w:val="00524316"/>
    <w:rsid w:val="005555D0"/>
    <w:rsid w:val="00557105"/>
    <w:rsid w:val="005665A3"/>
    <w:rsid w:val="00567734"/>
    <w:rsid w:val="00570331"/>
    <w:rsid w:val="005754D1"/>
    <w:rsid w:val="00583EE5"/>
    <w:rsid w:val="00587714"/>
    <w:rsid w:val="0059363F"/>
    <w:rsid w:val="005A6354"/>
    <w:rsid w:val="005C4040"/>
    <w:rsid w:val="005C6CC3"/>
    <w:rsid w:val="005C7283"/>
    <w:rsid w:val="005D55A5"/>
    <w:rsid w:val="005E07C1"/>
    <w:rsid w:val="005F4324"/>
    <w:rsid w:val="005F673E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160C6"/>
    <w:rsid w:val="0072008E"/>
    <w:rsid w:val="00727FE0"/>
    <w:rsid w:val="00740DAB"/>
    <w:rsid w:val="007867E5"/>
    <w:rsid w:val="007911FF"/>
    <w:rsid w:val="007B3E98"/>
    <w:rsid w:val="007B7F35"/>
    <w:rsid w:val="007C3B0C"/>
    <w:rsid w:val="007D1322"/>
    <w:rsid w:val="007D526A"/>
    <w:rsid w:val="007F0D86"/>
    <w:rsid w:val="007F768D"/>
    <w:rsid w:val="00802054"/>
    <w:rsid w:val="00805DCF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19A3"/>
    <w:rsid w:val="00943660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2058"/>
    <w:rsid w:val="00AC7562"/>
    <w:rsid w:val="00AD287D"/>
    <w:rsid w:val="00AE6FA5"/>
    <w:rsid w:val="00B03CBD"/>
    <w:rsid w:val="00B25E99"/>
    <w:rsid w:val="00B466EC"/>
    <w:rsid w:val="00B65A0E"/>
    <w:rsid w:val="00B77D86"/>
    <w:rsid w:val="00B854A1"/>
    <w:rsid w:val="00BA3231"/>
    <w:rsid w:val="00BA58E8"/>
    <w:rsid w:val="00C02B81"/>
    <w:rsid w:val="00C16716"/>
    <w:rsid w:val="00C20144"/>
    <w:rsid w:val="00C36239"/>
    <w:rsid w:val="00C40E51"/>
    <w:rsid w:val="00C41084"/>
    <w:rsid w:val="00C52BB2"/>
    <w:rsid w:val="00C565E1"/>
    <w:rsid w:val="00C57955"/>
    <w:rsid w:val="00C72F65"/>
    <w:rsid w:val="00C83748"/>
    <w:rsid w:val="00C84902"/>
    <w:rsid w:val="00C85A80"/>
    <w:rsid w:val="00C9417B"/>
    <w:rsid w:val="00C95740"/>
    <w:rsid w:val="00C9713C"/>
    <w:rsid w:val="00CB2B54"/>
    <w:rsid w:val="00CC07B6"/>
    <w:rsid w:val="00CC0843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44254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DCC7D-443F-425A-B0E5-6199219B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88</TotalTime>
  <Pages>7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Alex Dean</cp:lastModifiedBy>
  <cp:revision>26</cp:revision>
  <cp:lastPrinted>2016-08-16T16:58:00Z</cp:lastPrinted>
  <dcterms:created xsi:type="dcterms:W3CDTF">2016-03-15T02:13:00Z</dcterms:created>
  <dcterms:modified xsi:type="dcterms:W3CDTF">2018-06-01T16:05:00Z</dcterms:modified>
</cp:coreProperties>
</file>