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7F0D86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>Updated 28</w:t>
            </w:r>
            <w:bookmarkStart w:id="0" w:name="_GoBack"/>
            <w:bookmarkEnd w:id="0"/>
            <w:r>
              <w:rPr>
                <w:rStyle w:val="SubtitleChar"/>
              </w:rPr>
              <w:t xml:space="preserve"> October 2015</w:t>
            </w:r>
          </w:p>
        </w:tc>
      </w:tr>
    </w:tbl>
    <w:p w:rsidR="007F0D86" w:rsidRDefault="007F0D86" w:rsidP="007F0D86">
      <w:pPr>
        <w:pStyle w:val="Heading1"/>
      </w:pPr>
      <w:r>
        <w:t>Introduction</w:t>
      </w:r>
    </w:p>
    <w:p w:rsidR="00612D7D" w:rsidRDefault="00EC2914" w:rsidP="007F0D86">
      <w:r>
        <w:t xml:space="preserve">An </w:t>
      </w:r>
      <w:r w:rsidR="00612D7D">
        <w:t>Individual Student Assessment Accessibility Profile (ISAAP)</w:t>
      </w:r>
      <w:r w:rsidR="00612D7D">
        <w:t xml:space="preserve"> is an indication of which accessibility features should be made available to a student when taking a test. The Accessibility Feature Codes defined in this specification are the digital encoding of those accessibility settings. The feature codes can be combined with Accessibility Feature </w:t>
      </w:r>
      <w:r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 xml:space="preserve">The </w:t>
      </w:r>
      <w:r>
        <w:t xml:space="preserve">ISAAP </w:t>
      </w:r>
      <w:r>
        <w:t>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lastRenderedPageBreak/>
        <w:t xml:space="preserve">Table 1 lists the current Accessibility Feature Codes. Please see the </w:t>
      </w:r>
      <w:r>
        <w:t>Usability, Accessibility, and Accommodations Guidelines</w:t>
      </w:r>
      <w:r>
        <w:t xml:space="preserve">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features.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3068"/>
        <w:gridCol w:w="2792"/>
      </w:tblGrid>
      <w:tr w:rsidR="007F0D86" w:rsidRPr="001B4805" w:rsidTr="002006BD">
        <w:trPr>
          <w:tblHeader/>
          <w:jc w:val="center"/>
        </w:trPr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Family</w:t>
            </w:r>
          </w:p>
        </w:tc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Code</w:t>
            </w:r>
          </w:p>
        </w:tc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Description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AmericanSignLanguage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TDS_ASL0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Do not show ASL Videos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TDS_ASL1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Show ASL Videos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ColorContrast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Black on White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TDS_CCInvert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Reverse Contrast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TDS_CCMagenta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BlackOnRose</w:t>
            </w:r>
            <w:proofErr w:type="spellEnd"/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TDS_CCMedGrayLtGray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Medium Gray on Light Gray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TDS_CCYellowB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Yellow on Blue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ClosedCaptioning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TDS_ClosedCap0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Closed captioning not available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TDS_ClosedCap1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Closed captioning available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Language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ENU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ENU-Braille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Braille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ESN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stacked translation (math only)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Masking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TDS_Masking0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Masking not available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TDS_Masking1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Masking available: allows blocking of content that is not of immediate need or that might be distracting to the student.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PermissiveMode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TDS_PM0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Permissive mode disabled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TDS_PM1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PrintOnDemand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TDS_PoD0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Print on demand disabled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TDS_PoD_Stim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Allows students to request a printout of the item stimulus.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PrintSize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Default initial print size.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1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TDS_PS_L2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2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TDS_PS_L3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3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TDS_PS_L4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4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StreamlinedInterface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TDS_TS_Modern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Standard layout with stimulus displayed alongside assessment items.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TDS_TS_Accessibility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TextToSpeech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TDS_TTS0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text-to-speech available.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TDS_TTS_Item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items.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TDS_TTS_Stim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stimuli.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TDS_TTS_Stim&amp;TDS_TTS_Item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stimuli and items.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Translation (Glossary)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(default)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If no code is specified, English glossary is made available by default.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glossary (suppresses all glossaries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TDS_WL_Glossary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TDS_WL_ArabicGloss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Arabic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TDS_WL_CantoneseGloss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Cantonese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TDS_WL_ESNGloss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TDS_WL_KoreanGloss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Korean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TDS_WL_MandarinGloss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Mandarin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TDS_WL_PunjabiGloss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Punjabi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TDS_WL_RussianGloss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Russian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TDS_WL_TagalGloss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Filipino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TDS_WL_UkranianGloss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Ukrainian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TDS_WL_VietnameseGloss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Vietnamese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Multiple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 xml:space="preserve">English and translated glossaries can both be included by specifying multiple codes. E.g. </w:t>
            </w:r>
            <w:proofErr w:type="spellStart"/>
            <w:r>
              <w:t>TDS_WL_Glossary</w:t>
            </w:r>
            <w:proofErr w:type="spellEnd"/>
            <w:r>
              <w:t xml:space="preserve"> (English) </w:t>
            </w:r>
            <w:r>
              <w:lastRenderedPageBreak/>
              <w:t xml:space="preserve">and </w:t>
            </w:r>
            <w:proofErr w:type="spellStart"/>
            <w:r>
              <w:t>TDS_WL_ESNGloss</w:t>
            </w:r>
            <w:proofErr w:type="spellEnd"/>
            <w:r>
              <w:t xml:space="preserve"> (Spanish).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lastRenderedPageBreak/>
              <w:t>NonEmbeddedDesignatedSupports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non-embedded designated supports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NEDS_BD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Bilingual dictionary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NEDS_CC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Color Contrast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NEDS_CO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Color Overlay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NEDS_Mag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Magnification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NEDS_RA_Items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Read aloud items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NEDS_SC_Items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Scribe items (non-writing)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Separate setting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NEDS_TArabic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Arabic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NEDS_TCantonese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Cantonese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NEDS_TFilipino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Filipino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NEDS_TKorean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Korean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NEDS_TMandarin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Mandarin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NEDS_TPunjabi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Punjabi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NEDS_TRussian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Russian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NEDS_TSpanish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NEDS_TUkranian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Ukranian</w:t>
            </w:r>
            <w:proofErr w:type="spellEnd"/>
            <w:r>
              <w:t xml:space="preserve">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NEDS_TVietnamese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Vietnamese glossary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NEDS_TransDirs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Translated test directions</w:t>
            </w:r>
          </w:p>
        </w:tc>
      </w:tr>
      <w:tr w:rsidR="00EB6441" w:rsidTr="00355816">
        <w:trPr>
          <w:jc w:val="center"/>
        </w:trPr>
        <w:tc>
          <w:tcPr>
            <w:tcW w:w="0" w:type="auto"/>
          </w:tcPr>
          <w:p w:rsidR="00EB6441" w:rsidRPr="001B4805" w:rsidRDefault="00EB6441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EB6441" w:rsidRDefault="00EB6441" w:rsidP="001B4805">
            <w:pPr>
              <w:pStyle w:val="SingleSpace"/>
            </w:pPr>
            <w:proofErr w:type="spellStart"/>
            <w:r>
              <w:t>NEDS_Other</w:t>
            </w:r>
            <w:proofErr w:type="spellEnd"/>
            <w:r>
              <w:t>(</w:t>
            </w:r>
            <w:r w:rsidRPr="00EB6441">
              <w:rPr>
                <w:i/>
              </w:rPr>
              <w:t>text</w:t>
            </w:r>
            <w:r>
              <w:t>)</w:t>
            </w:r>
          </w:p>
        </w:tc>
        <w:tc>
          <w:tcPr>
            <w:tcW w:w="0" w:type="auto"/>
          </w:tcPr>
          <w:p w:rsidR="00EB6441" w:rsidRDefault="00EB6441" w:rsidP="001B4805">
            <w:pPr>
              <w:pStyle w:val="SingleSpace"/>
            </w:pPr>
            <w:r>
              <w:t>A custom non-embedded designated support (see below)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NonEmbeddedAccommodations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non-embedded accommodations (default)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NEA_AR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Alternate response options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NEA_RA_Stimuli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Read aloud stimuli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NEA_SC_WritItems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Scribe items (writing)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NEA_STT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Speech-to-Text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NEA_Abacus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Abacus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NEA_Calc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Calculator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NEA_MT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Multiplication Table</w:t>
            </w:r>
          </w:p>
        </w:tc>
      </w:tr>
      <w:tr w:rsidR="007F0D86" w:rsidTr="00355816">
        <w:trPr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NEA_NoiseBuf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Noise buffers</w:t>
            </w:r>
          </w:p>
        </w:tc>
      </w:tr>
    </w:tbl>
    <w:p w:rsidR="00EB6441" w:rsidRDefault="00EB6441" w:rsidP="00EB6441"/>
    <w:p w:rsidR="00EB6441" w:rsidRDefault="00EB6441" w:rsidP="00EB6441">
      <w:r>
        <w:t>Non-Embedded designated supports 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 for describing a custom support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lastRenderedPageBreak/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 xml:space="preserve">Systems generating codes SHOULD use </w:t>
      </w:r>
      <w:r w:rsidR="001B4805">
        <w:t>upper case</w:t>
      </w:r>
      <w:r w:rsidR="001B4805">
        <w:t xml:space="preserve">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Pr="0087187E" w:rsidRDefault="0087187E" w:rsidP="001B4805"/>
    <w:sectPr w:rsidR="0087187E" w:rsidRPr="0087187E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08E" w:rsidRDefault="0072008E" w:rsidP="0035476E">
      <w:r>
        <w:separator/>
      </w:r>
    </w:p>
  </w:endnote>
  <w:endnote w:type="continuationSeparator" w:id="0">
    <w:p w:rsidR="0072008E" w:rsidRDefault="0072008E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40" w:rsidRPr="00A26BA3" w:rsidRDefault="001A3156" w:rsidP="0035476E">
    <w:pPr>
      <w:pStyle w:val="Footer"/>
    </w:pPr>
    <w:r>
      <w:t>Concise Title</w:t>
    </w:r>
    <w:r w:rsidR="00802054">
      <w:t xml:space="preserve"> </w:t>
    </w:r>
    <w:r w:rsidR="00802054">
      <w:tab/>
    </w:r>
    <w:r w:rsidR="002C37F5" w:rsidRPr="00A26BA3">
      <w:fldChar w:fldCharType="begin"/>
    </w:r>
    <w:r w:rsidR="00124FAC" w:rsidRPr="00A26BA3">
      <w:instrText xml:space="preserve"> PAGE   \* MERGEFORMAT </w:instrText>
    </w:r>
    <w:r w:rsidR="002C37F5" w:rsidRPr="00A26BA3">
      <w:fldChar w:fldCharType="separate"/>
    </w:r>
    <w:r w:rsidR="006B59C3">
      <w:rPr>
        <w:noProof/>
      </w:rPr>
      <w:t>1</w:t>
    </w:r>
    <w:r w:rsidR="002C37F5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08E" w:rsidRDefault="0072008E" w:rsidP="0035476E">
      <w:r>
        <w:separator/>
      </w:r>
    </w:p>
  </w:footnote>
  <w:footnote w:type="continuationSeparator" w:id="0">
    <w:p w:rsidR="0072008E" w:rsidRDefault="0072008E" w:rsidP="0035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C2379"/>
    <w:rsid w:val="000C5DA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64A22"/>
    <w:rsid w:val="0017606C"/>
    <w:rsid w:val="001823F0"/>
    <w:rsid w:val="001A133B"/>
    <w:rsid w:val="001A24DB"/>
    <w:rsid w:val="001A3156"/>
    <w:rsid w:val="001B04D1"/>
    <w:rsid w:val="001B4805"/>
    <w:rsid w:val="001D5278"/>
    <w:rsid w:val="001D53C6"/>
    <w:rsid w:val="002006BD"/>
    <w:rsid w:val="00221D2B"/>
    <w:rsid w:val="00250F39"/>
    <w:rsid w:val="002536B8"/>
    <w:rsid w:val="002576A2"/>
    <w:rsid w:val="002B63E3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73C66"/>
    <w:rsid w:val="00383A76"/>
    <w:rsid w:val="003A54BA"/>
    <w:rsid w:val="003B403D"/>
    <w:rsid w:val="003C13EA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7734"/>
    <w:rsid w:val="005754D1"/>
    <w:rsid w:val="00583EE5"/>
    <w:rsid w:val="00587714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336A"/>
    <w:rsid w:val="007134CC"/>
    <w:rsid w:val="0072008E"/>
    <w:rsid w:val="00727FE0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72B6"/>
    <w:rsid w:val="00AB2E01"/>
    <w:rsid w:val="00AC7562"/>
    <w:rsid w:val="00AD287D"/>
    <w:rsid w:val="00B77D86"/>
    <w:rsid w:val="00B854A1"/>
    <w:rsid w:val="00BA58E8"/>
    <w:rsid w:val="00C02B81"/>
    <w:rsid w:val="00C16716"/>
    <w:rsid w:val="00C41084"/>
    <w:rsid w:val="00C52BB2"/>
    <w:rsid w:val="00C565E1"/>
    <w:rsid w:val="00C57955"/>
    <w:rsid w:val="00C72F65"/>
    <w:rsid w:val="00C83748"/>
    <w:rsid w:val="00C95740"/>
    <w:rsid w:val="00C9713C"/>
    <w:rsid w:val="00CF289E"/>
    <w:rsid w:val="00D04882"/>
    <w:rsid w:val="00D10132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6EEF"/>
    <w:rsid w:val="00F40580"/>
    <w:rsid w:val="00F70352"/>
    <w:rsid w:val="00F70D85"/>
    <w:rsid w:val="00F90C4B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E381F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7EA6-CACA-4E36-BC37-CEE26D85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2</TotalTime>
  <Pages>5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3</cp:revision>
  <cp:lastPrinted>2015-10-28T16:40:00Z</cp:lastPrinted>
  <dcterms:created xsi:type="dcterms:W3CDTF">2015-10-28T16:40:00Z</dcterms:created>
  <dcterms:modified xsi:type="dcterms:W3CDTF">2015-10-28T16:41:00Z</dcterms:modified>
</cp:coreProperties>
</file>