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64DC1EA9" w14:textId="77777777" w:rsidTr="00951C73">
        <w:trPr>
          <w:cantSplit/>
        </w:trPr>
        <w:tc>
          <w:tcPr>
            <w:tcW w:w="3066" w:type="dxa"/>
          </w:tcPr>
          <w:p w14:paraId="44D37EEF" w14:textId="77777777" w:rsidR="00951C73" w:rsidRPr="00951C73" w:rsidRDefault="00567734" w:rsidP="00951C73">
            <w:r>
              <w:rPr>
                <w:noProof/>
              </w:rPr>
              <w:drawing>
                <wp:inline distT="0" distB="0" distL="0" distR="0" wp14:anchorId="1399664C" wp14:editId="7EF620A9">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8">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00B96ECB" w14:textId="32E9EEFB" w:rsidR="00951C73" w:rsidRPr="00951C73" w:rsidRDefault="00F03245" w:rsidP="00F03245">
            <w:pPr>
              <w:pStyle w:val="Title"/>
            </w:pPr>
            <w:r>
              <w:t>Item Type</w:t>
            </w:r>
            <w:r w:rsidR="007435D0">
              <w:t>s</w:t>
            </w:r>
            <w:bookmarkStart w:id="0" w:name="_GoBack"/>
            <w:bookmarkEnd w:id="0"/>
            <w:r>
              <w:t xml:space="preserve"> and Accessibility Features</w:t>
            </w:r>
            <w:r w:rsidR="00DC0FCF">
              <w:t xml:space="preserve"> (Preliminary)</w:t>
            </w:r>
          </w:p>
        </w:tc>
      </w:tr>
    </w:tbl>
    <w:p w14:paraId="11076BDA" w14:textId="77777777" w:rsidR="00F03245" w:rsidRDefault="00F03245" w:rsidP="00F03245"/>
    <w:p w14:paraId="6BBDA839" w14:textId="3D2E4D8A" w:rsidR="00F03245" w:rsidRPr="00D70BD2" w:rsidRDefault="00F03245" w:rsidP="00F03245">
      <w:pPr>
        <w:pStyle w:val="ListParagraph"/>
        <w:numPr>
          <w:ilvl w:val="0"/>
          <w:numId w:val="34"/>
        </w:numPr>
        <w:rPr>
          <w:b/>
          <w:sz w:val="28"/>
          <w:szCs w:val="28"/>
        </w:rPr>
      </w:pPr>
      <w:r w:rsidRPr="00D70BD2">
        <w:rPr>
          <w:b/>
          <w:sz w:val="28"/>
          <w:szCs w:val="28"/>
        </w:rPr>
        <w:t>Introduction</w:t>
      </w:r>
    </w:p>
    <w:p w14:paraId="1BFBD311" w14:textId="77777777" w:rsidR="00F03245" w:rsidRPr="00D70BD2" w:rsidRDefault="00F03245" w:rsidP="00F03245">
      <w:pPr>
        <w:pStyle w:val="ListParagraph"/>
        <w:numPr>
          <w:ilvl w:val="1"/>
          <w:numId w:val="34"/>
        </w:numPr>
        <w:rPr>
          <w:b/>
        </w:rPr>
      </w:pPr>
      <w:r w:rsidRPr="00D70BD2">
        <w:rPr>
          <w:b/>
        </w:rPr>
        <w:t>Purpose</w:t>
      </w:r>
    </w:p>
    <w:p w14:paraId="0957BE89" w14:textId="30B23BA3" w:rsidR="00BC6CE1" w:rsidRDefault="00F03245" w:rsidP="00DA61F9">
      <w:pPr>
        <w:pStyle w:val="ListParagraph"/>
        <w:ind w:left="1080"/>
      </w:pPr>
      <w:r>
        <w:t>This document describes each item interaction type and each item-embedded accessibility feature for Smarter Balanced assessments.</w:t>
      </w:r>
      <w:r w:rsidR="004B705A">
        <w:t xml:space="preserve">  Refer to this document for examples of item types and </w:t>
      </w:r>
      <w:r w:rsidR="00DA61F9">
        <w:t>accessibility features, including information about how accessibility features are made available.</w:t>
      </w:r>
      <w:r w:rsidR="005600B9">
        <w:t xml:space="preserve">  </w:t>
      </w:r>
    </w:p>
    <w:p w14:paraId="04B4AB85" w14:textId="77777777" w:rsidR="00DA61F9" w:rsidRDefault="00DA61F9" w:rsidP="00DA61F9">
      <w:pPr>
        <w:pStyle w:val="ListParagraph"/>
        <w:ind w:left="1080"/>
      </w:pPr>
    </w:p>
    <w:p w14:paraId="0FBCF4A6" w14:textId="7B479394" w:rsidR="00F03245" w:rsidRPr="00D70BD2" w:rsidRDefault="005D40F0" w:rsidP="00F03245">
      <w:pPr>
        <w:pStyle w:val="ListParagraph"/>
        <w:numPr>
          <w:ilvl w:val="0"/>
          <w:numId w:val="34"/>
        </w:numPr>
        <w:rPr>
          <w:b/>
        </w:rPr>
      </w:pPr>
      <w:r w:rsidRPr="00D70BD2">
        <w:rPr>
          <w:b/>
        </w:rPr>
        <w:t>Primary Item Types</w:t>
      </w:r>
    </w:p>
    <w:p w14:paraId="33558FA2" w14:textId="52354FB6" w:rsidR="00F03245" w:rsidRDefault="00F03245" w:rsidP="00F03245">
      <w:pPr>
        <w:pStyle w:val="ListParagraph"/>
        <w:numPr>
          <w:ilvl w:val="1"/>
          <w:numId w:val="34"/>
        </w:numPr>
      </w:pPr>
      <w:r>
        <w:t>Evidence-Based Selected Response</w:t>
      </w:r>
      <w:r w:rsidR="00D647D0">
        <w:t xml:space="preserve"> (EBSR</w:t>
      </w:r>
      <w:r>
        <w:t>)</w:t>
      </w:r>
    </w:p>
    <w:p w14:paraId="080992B5" w14:textId="77777777" w:rsidR="0061064E" w:rsidRDefault="0061064E" w:rsidP="0061064E">
      <w:pPr>
        <w:pStyle w:val="ListParagraph"/>
        <w:ind w:left="1080"/>
      </w:pPr>
    </w:p>
    <w:p w14:paraId="6D96FEAF" w14:textId="01799769" w:rsidR="005600B9" w:rsidRDefault="005600B9" w:rsidP="0061064E">
      <w:pPr>
        <w:pStyle w:val="ListParagraph"/>
        <w:ind w:left="1080"/>
      </w:pPr>
      <w:r>
        <w:t>EBSR items combine two sets of stems and response options into a single item. Unlike MultipleChoice and Multi-Select item types, EBSR items cannot be displayed in horizontal or stacked layouts. EBSR items can only display response options vertically.</w:t>
      </w:r>
    </w:p>
    <w:p w14:paraId="5D74985C" w14:textId="590421C9" w:rsidR="00A62018" w:rsidRDefault="00646FB2" w:rsidP="00F82A33">
      <w:pPr>
        <w:jc w:val="center"/>
      </w:pPr>
      <w:r>
        <w:rPr>
          <w:noProof/>
        </w:rPr>
        <w:drawing>
          <wp:inline distT="0" distB="0" distL="0" distR="0" wp14:anchorId="0CE69A99" wp14:editId="3C6481F4">
            <wp:extent cx="4397577" cy="3429610"/>
            <wp:effectExtent l="19050" t="19050" r="22225" b="19050"/>
            <wp:docPr id="8" name="Picture 8" descr="C:\Users\JamikaD\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ikaD\AppData\Local\Microsoft\Windows\INetCache\Content.Word\Screenshot (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915" cy="3438452"/>
                    </a:xfrm>
                    <a:prstGeom prst="rect">
                      <a:avLst/>
                    </a:prstGeom>
                    <a:noFill/>
                    <a:ln>
                      <a:solidFill>
                        <a:schemeClr val="tx1"/>
                      </a:solidFill>
                    </a:ln>
                  </pic:spPr>
                </pic:pic>
              </a:graphicData>
            </a:graphic>
          </wp:inline>
        </w:drawing>
      </w:r>
    </w:p>
    <w:p w14:paraId="07395517" w14:textId="77777777" w:rsidR="00731E62" w:rsidRDefault="00731E62" w:rsidP="00F82A33">
      <w:pPr>
        <w:jc w:val="center"/>
      </w:pPr>
    </w:p>
    <w:p w14:paraId="3D81FC31" w14:textId="77777777" w:rsidR="00731E62" w:rsidRDefault="00731E62" w:rsidP="00F82A33">
      <w:pPr>
        <w:jc w:val="center"/>
      </w:pPr>
    </w:p>
    <w:p w14:paraId="3EB4BD6A" w14:textId="77777777" w:rsidR="00731E62" w:rsidRDefault="00731E62" w:rsidP="00F82A33">
      <w:pPr>
        <w:jc w:val="center"/>
      </w:pPr>
    </w:p>
    <w:p w14:paraId="36D36EA4" w14:textId="77777777" w:rsidR="00731E62" w:rsidRDefault="00731E62" w:rsidP="00F82A33">
      <w:pPr>
        <w:jc w:val="center"/>
      </w:pPr>
    </w:p>
    <w:p w14:paraId="684848F7" w14:textId="77777777" w:rsidR="00731E62" w:rsidRDefault="00731E62" w:rsidP="00F82A33">
      <w:pPr>
        <w:jc w:val="center"/>
      </w:pPr>
    </w:p>
    <w:p w14:paraId="38241F32" w14:textId="77777777" w:rsidR="00731E62" w:rsidRDefault="00731E62" w:rsidP="00F82A33">
      <w:pPr>
        <w:jc w:val="center"/>
      </w:pPr>
    </w:p>
    <w:p w14:paraId="724DD433" w14:textId="77777777" w:rsidR="0061064E" w:rsidRDefault="0061064E" w:rsidP="00F82A33">
      <w:pPr>
        <w:jc w:val="center"/>
      </w:pPr>
    </w:p>
    <w:p w14:paraId="010F2528" w14:textId="380C257A" w:rsidR="00F03245" w:rsidRDefault="00F03245" w:rsidP="00F03245">
      <w:pPr>
        <w:pStyle w:val="ListParagraph"/>
        <w:numPr>
          <w:ilvl w:val="1"/>
          <w:numId w:val="34"/>
        </w:numPr>
        <w:rPr>
          <w:b/>
        </w:rPr>
      </w:pPr>
      <w:r w:rsidRPr="00D70BD2">
        <w:rPr>
          <w:b/>
        </w:rPr>
        <w:lastRenderedPageBreak/>
        <w:t>Equation</w:t>
      </w:r>
      <w:r w:rsidR="00D70BD2" w:rsidRPr="00D70BD2">
        <w:rPr>
          <w:b/>
        </w:rPr>
        <w:t xml:space="preserve"> (EQ</w:t>
      </w:r>
      <w:r w:rsidRPr="00D70BD2">
        <w:rPr>
          <w:b/>
        </w:rPr>
        <w:t>)</w:t>
      </w:r>
    </w:p>
    <w:p w14:paraId="5F2BF769" w14:textId="77777777" w:rsidR="0061064E" w:rsidRPr="00D70BD2" w:rsidRDefault="0061064E" w:rsidP="0061064E">
      <w:pPr>
        <w:pStyle w:val="ListParagraph"/>
        <w:ind w:left="1080"/>
        <w:rPr>
          <w:b/>
        </w:rPr>
      </w:pPr>
    </w:p>
    <w:p w14:paraId="7A51B3CA" w14:textId="5AC0388A" w:rsidR="00A62018" w:rsidRDefault="005600B9" w:rsidP="00A62018">
      <w:pPr>
        <w:pStyle w:val="ListParagraph"/>
      </w:pPr>
      <w:r>
        <w:t>The Equation item response area consists of one or more entry boxes and an on-screen keyboard containing mathematical characters. These items are 769 pixels wide or use 100% of the available response area width (whichever is smaller). The default height is 254 pixels.</w:t>
      </w:r>
    </w:p>
    <w:p w14:paraId="1B45FC39" w14:textId="77777777" w:rsidR="005600B9" w:rsidRDefault="005600B9" w:rsidP="00A62018">
      <w:pPr>
        <w:pStyle w:val="ListParagraph"/>
      </w:pPr>
    </w:p>
    <w:p w14:paraId="5BEEFC4B" w14:textId="7A8E9A4F" w:rsidR="00A62018" w:rsidRDefault="00F759E0" w:rsidP="00D647D0">
      <w:pPr>
        <w:pStyle w:val="ListParagraph"/>
        <w:jc w:val="center"/>
      </w:pPr>
      <w:r>
        <w:rPr>
          <w:noProof/>
        </w:rPr>
        <w:drawing>
          <wp:inline distT="0" distB="0" distL="0" distR="0" wp14:anchorId="322AFD4B" wp14:editId="3B8AE5FE">
            <wp:extent cx="3509605" cy="1515971"/>
            <wp:effectExtent l="19050" t="19050" r="15240" b="27305"/>
            <wp:docPr id="9" name="Picture 9" descr="C:\Users\JamikaD\AppData\Local\Microsoft\Windows\INetCache\Content.Word\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mikaD\AppData\Local\Microsoft\Windows\INetCache\Content.Word\Screenshot (4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8150" cy="1519662"/>
                    </a:xfrm>
                    <a:prstGeom prst="rect">
                      <a:avLst/>
                    </a:prstGeom>
                    <a:noFill/>
                    <a:ln>
                      <a:solidFill>
                        <a:schemeClr val="tx1"/>
                      </a:solidFill>
                    </a:ln>
                  </pic:spPr>
                </pic:pic>
              </a:graphicData>
            </a:graphic>
          </wp:inline>
        </w:drawing>
      </w:r>
    </w:p>
    <w:p w14:paraId="4A3D04DA" w14:textId="77777777" w:rsidR="00F759E0" w:rsidRDefault="00F759E0" w:rsidP="00A62018">
      <w:pPr>
        <w:pStyle w:val="ListParagraph"/>
      </w:pPr>
    </w:p>
    <w:p w14:paraId="75355B24" w14:textId="77777777" w:rsidR="00542F3D" w:rsidRDefault="00F03245" w:rsidP="00542F3D">
      <w:pPr>
        <w:pStyle w:val="ListParagraph"/>
        <w:numPr>
          <w:ilvl w:val="1"/>
          <w:numId w:val="34"/>
        </w:numPr>
        <w:rPr>
          <w:b/>
        </w:rPr>
      </w:pPr>
      <w:r w:rsidRPr="00D70BD2">
        <w:rPr>
          <w:b/>
        </w:rPr>
        <w:t>Extended Response</w:t>
      </w:r>
      <w:r w:rsidR="00D70BD2" w:rsidRPr="00D70BD2">
        <w:rPr>
          <w:b/>
        </w:rPr>
        <w:t xml:space="preserve"> (ER</w:t>
      </w:r>
      <w:r w:rsidRPr="00D70BD2">
        <w:rPr>
          <w:b/>
        </w:rPr>
        <w:t>)</w:t>
      </w:r>
      <w:r w:rsidR="00542F3D">
        <w:rPr>
          <w:b/>
        </w:rPr>
        <w:t xml:space="preserve"> and Short Answer (SA)</w:t>
      </w:r>
    </w:p>
    <w:p w14:paraId="7CF4532C" w14:textId="77777777" w:rsidR="00542F3D" w:rsidRDefault="00542F3D" w:rsidP="00542F3D">
      <w:pPr>
        <w:pStyle w:val="ListParagraph"/>
        <w:ind w:left="1080"/>
        <w:rPr>
          <w:b/>
        </w:rPr>
      </w:pPr>
    </w:p>
    <w:p w14:paraId="33852D29" w14:textId="1AF67BB3" w:rsidR="005600B9" w:rsidRPr="00542F3D" w:rsidRDefault="00542F3D" w:rsidP="00542F3D">
      <w:pPr>
        <w:pStyle w:val="ListParagraph"/>
        <w:ind w:left="1080"/>
        <w:rPr>
          <w:b/>
        </w:rPr>
      </w:pPr>
      <w:r>
        <w:t xml:space="preserve">The response areas for Extended Response (ER) and Short Answer (SA) item types essentially have the same appearance. </w:t>
      </w:r>
      <w:r w:rsidR="005600B9">
        <w:t>Extended Response (ER) areas accommodate more text than Short Answer response areas. You can configure the character limit for both item types.</w:t>
      </w:r>
    </w:p>
    <w:p w14:paraId="37C38FA7" w14:textId="3EF4C66B" w:rsidR="0075419F" w:rsidRDefault="0075419F" w:rsidP="00680A63">
      <w:pPr>
        <w:ind w:firstLine="720"/>
        <w:jc w:val="center"/>
      </w:pPr>
      <w:r>
        <w:rPr>
          <w:noProof/>
        </w:rPr>
        <w:drawing>
          <wp:inline distT="0" distB="0" distL="0" distR="0" wp14:anchorId="2E8DB883" wp14:editId="2F3207D4">
            <wp:extent cx="4276009" cy="1194828"/>
            <wp:effectExtent l="19050" t="19050" r="10795" b="24765"/>
            <wp:docPr id="2" name="Picture 2" descr="C:\Users\JamikaD\AppData\Local\Microsoft\Windows\INetCache\Content.Word\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kaD\AppData\Local\Microsoft\Windows\INetCache\Content.Word\Screenshot (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711" cy="1197818"/>
                    </a:xfrm>
                    <a:prstGeom prst="rect">
                      <a:avLst/>
                    </a:prstGeom>
                    <a:noFill/>
                    <a:ln>
                      <a:solidFill>
                        <a:schemeClr val="tx1"/>
                      </a:solidFill>
                    </a:ln>
                  </pic:spPr>
                </pic:pic>
              </a:graphicData>
            </a:graphic>
          </wp:inline>
        </w:drawing>
      </w:r>
    </w:p>
    <w:p w14:paraId="18C962A9" w14:textId="37CC6ED2" w:rsidR="00F03245" w:rsidRPr="00D70BD2" w:rsidRDefault="00F03245" w:rsidP="00F03245">
      <w:pPr>
        <w:pStyle w:val="ListParagraph"/>
        <w:numPr>
          <w:ilvl w:val="1"/>
          <w:numId w:val="34"/>
        </w:numPr>
        <w:rPr>
          <w:b/>
        </w:rPr>
      </w:pPr>
      <w:r w:rsidRPr="00D70BD2">
        <w:rPr>
          <w:b/>
        </w:rPr>
        <w:t>Grid Item</w:t>
      </w:r>
      <w:r w:rsidR="00D70BD2" w:rsidRPr="00D70BD2">
        <w:rPr>
          <w:b/>
        </w:rPr>
        <w:t xml:space="preserve"> (GI</w:t>
      </w:r>
      <w:r w:rsidRPr="00D70BD2">
        <w:rPr>
          <w:b/>
        </w:rPr>
        <w:t>)</w:t>
      </w:r>
    </w:p>
    <w:p w14:paraId="1AF15646" w14:textId="77777777" w:rsidR="00A62018" w:rsidRDefault="00A62018" w:rsidP="00A62018">
      <w:pPr>
        <w:pStyle w:val="ListParagraph"/>
      </w:pPr>
    </w:p>
    <w:p w14:paraId="6486C280" w14:textId="658BB2C5" w:rsidR="0061064E" w:rsidRDefault="00542F3D" w:rsidP="00A62018">
      <w:pPr>
        <w:pStyle w:val="ListParagraph"/>
      </w:pPr>
      <w:r>
        <w:t xml:space="preserve">The Grid item response area consists of a grid in which students can select objects, place objects, and construct graphs. Each grid area is usually 550 pixels tall by 650 pixels wide, depending on the layout (in layout 21 the grid is 465 x 575). </w:t>
      </w:r>
    </w:p>
    <w:p w14:paraId="3B5629C6" w14:textId="77777777" w:rsidR="00542F3D" w:rsidRDefault="00542F3D" w:rsidP="00A62018">
      <w:pPr>
        <w:pStyle w:val="ListParagraph"/>
      </w:pPr>
    </w:p>
    <w:p w14:paraId="1D3525A1" w14:textId="34A0B4D3" w:rsidR="00A62018" w:rsidRDefault="00F759E0" w:rsidP="00D647D0">
      <w:pPr>
        <w:pStyle w:val="ListParagraph"/>
        <w:jc w:val="center"/>
      </w:pPr>
      <w:r>
        <w:rPr>
          <w:noProof/>
        </w:rPr>
        <w:drawing>
          <wp:inline distT="0" distB="0" distL="0" distR="0" wp14:anchorId="5C307B8A" wp14:editId="6CDB5731">
            <wp:extent cx="2722058" cy="2160782"/>
            <wp:effectExtent l="19050" t="19050" r="21590" b="11430"/>
            <wp:docPr id="10" name="Picture 10" descr="C:\Users\JamikaD\AppData\Local\Microsoft\Windows\INetCache\Content.Word\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mikaD\AppData\Local\Microsoft\Windows\INetCache\Content.Word\Screenshot (4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722058" cy="216078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D1DDADC" w14:textId="5B04C332" w:rsidR="00F03245" w:rsidRPr="00D70BD2" w:rsidRDefault="00F03245" w:rsidP="00F03245">
      <w:pPr>
        <w:pStyle w:val="ListParagraph"/>
        <w:numPr>
          <w:ilvl w:val="1"/>
          <w:numId w:val="34"/>
        </w:numPr>
        <w:rPr>
          <w:b/>
        </w:rPr>
      </w:pPr>
      <w:r w:rsidRPr="00D70BD2">
        <w:rPr>
          <w:b/>
        </w:rPr>
        <w:lastRenderedPageBreak/>
        <w:t>Hot Text</w:t>
      </w:r>
      <w:r w:rsidR="00D70BD2" w:rsidRPr="00D70BD2">
        <w:rPr>
          <w:b/>
        </w:rPr>
        <w:t xml:space="preserve"> (HTQ</w:t>
      </w:r>
      <w:r w:rsidRPr="00D70BD2">
        <w:rPr>
          <w:b/>
        </w:rPr>
        <w:t>)</w:t>
      </w:r>
    </w:p>
    <w:p w14:paraId="7B99F2DB" w14:textId="77777777" w:rsidR="002C26C9" w:rsidRDefault="002C26C9" w:rsidP="002C26C9">
      <w:pPr>
        <w:pStyle w:val="ListParagraph"/>
        <w:ind w:left="1080"/>
      </w:pPr>
    </w:p>
    <w:p w14:paraId="738D7495" w14:textId="737C5996" w:rsidR="00542F3D" w:rsidRDefault="00542F3D" w:rsidP="002C26C9">
      <w:pPr>
        <w:pStyle w:val="ListParagraph"/>
        <w:ind w:left="1080"/>
      </w:pPr>
      <w:r>
        <w:t>The response area for Hot Text items consists of a section of text containing interactive words or phrases that students can either select (highlight) by clicking or rearrange by clicking and dragging.  In the image below, the word ‘stacked’, outlined in light blue, is an example.</w:t>
      </w:r>
    </w:p>
    <w:p w14:paraId="616AC477" w14:textId="77777777" w:rsidR="0061064E" w:rsidRDefault="0061064E" w:rsidP="002C26C9">
      <w:pPr>
        <w:pStyle w:val="ListParagraph"/>
        <w:ind w:left="1080"/>
      </w:pPr>
    </w:p>
    <w:p w14:paraId="0D77D820" w14:textId="71755BDD" w:rsidR="00A62018" w:rsidRDefault="002C26C9" w:rsidP="00D647D0">
      <w:pPr>
        <w:pStyle w:val="ListParagraph"/>
        <w:jc w:val="center"/>
      </w:pPr>
      <w:r>
        <w:rPr>
          <w:noProof/>
        </w:rPr>
        <w:drawing>
          <wp:inline distT="0" distB="0" distL="0" distR="0" wp14:anchorId="2248948A" wp14:editId="65A3C94B">
            <wp:extent cx="4915561" cy="1774355"/>
            <wp:effectExtent l="19050" t="19050" r="18415" b="16510"/>
            <wp:docPr id="11" name="Picture 11" descr="C:\Users\JamikaD\AppData\Local\Microsoft\Windows\INetCache\Content.Word\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mikaD\AppData\Local\Microsoft\Windows\INetCache\Content.Word\Screenshot (4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4753" cy="1781283"/>
                    </a:xfrm>
                    <a:prstGeom prst="rect">
                      <a:avLst/>
                    </a:prstGeom>
                    <a:noFill/>
                    <a:ln>
                      <a:solidFill>
                        <a:schemeClr val="tx1"/>
                      </a:solidFill>
                    </a:ln>
                  </pic:spPr>
                </pic:pic>
              </a:graphicData>
            </a:graphic>
          </wp:inline>
        </w:drawing>
      </w:r>
    </w:p>
    <w:p w14:paraId="5C06B863" w14:textId="0485B6F9" w:rsidR="002C26C9" w:rsidRDefault="002C26C9" w:rsidP="00F82A33">
      <w:pPr>
        <w:pStyle w:val="ListParagraph"/>
        <w:jc w:val="center"/>
      </w:pPr>
    </w:p>
    <w:p w14:paraId="1015A7A9" w14:textId="714E6757" w:rsidR="00F03245" w:rsidRPr="00680A63" w:rsidRDefault="00F03245" w:rsidP="00F03245">
      <w:pPr>
        <w:pStyle w:val="ListParagraph"/>
        <w:numPr>
          <w:ilvl w:val="1"/>
          <w:numId w:val="34"/>
        </w:numPr>
        <w:rPr>
          <w:b/>
        </w:rPr>
      </w:pPr>
      <w:r w:rsidRPr="00680A63">
        <w:rPr>
          <w:b/>
        </w:rPr>
        <w:t>Multiple Choice</w:t>
      </w:r>
      <w:r w:rsidR="00D70BD2" w:rsidRPr="00680A63">
        <w:rPr>
          <w:b/>
        </w:rPr>
        <w:t xml:space="preserve"> (MC</w:t>
      </w:r>
      <w:r w:rsidRPr="00680A63">
        <w:rPr>
          <w:b/>
        </w:rPr>
        <w:t>)</w:t>
      </w:r>
    </w:p>
    <w:p w14:paraId="3EF050F4" w14:textId="77777777" w:rsidR="00A62018" w:rsidRDefault="00A62018" w:rsidP="00A62018">
      <w:pPr>
        <w:pStyle w:val="ListParagraph"/>
      </w:pPr>
    </w:p>
    <w:p w14:paraId="18C91C17" w14:textId="1F5A2D88" w:rsidR="00542F3D" w:rsidRDefault="00542F3D" w:rsidP="00A62018">
      <w:pPr>
        <w:pStyle w:val="ListParagraph"/>
      </w:pPr>
      <w:r>
        <w:t xml:space="preserve">For multiple choice responses, only one answer can be selected among several possibilities. </w:t>
      </w:r>
    </w:p>
    <w:p w14:paraId="0ED979AA" w14:textId="77777777" w:rsidR="0061064E" w:rsidRDefault="0061064E" w:rsidP="00A62018">
      <w:pPr>
        <w:pStyle w:val="ListParagraph"/>
      </w:pPr>
    </w:p>
    <w:p w14:paraId="6E15D7DB" w14:textId="7BC632E1" w:rsidR="0075419F" w:rsidRDefault="0075419F" w:rsidP="00D647D0">
      <w:pPr>
        <w:pStyle w:val="ListParagraph"/>
        <w:jc w:val="center"/>
      </w:pPr>
      <w:r>
        <w:rPr>
          <w:noProof/>
        </w:rPr>
        <w:drawing>
          <wp:inline distT="0" distB="0" distL="0" distR="0" wp14:anchorId="4A6DF7FD" wp14:editId="2BE47A2E">
            <wp:extent cx="4841563" cy="1368957"/>
            <wp:effectExtent l="19050" t="19050" r="16510" b="22225"/>
            <wp:docPr id="3" name="Picture 3" descr="C:\Users\JamikaD\AppData\Local\Microsoft\Windows\INetCache\Content.Word\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ikaD\AppData\Local\Microsoft\Windows\INetCache\Content.Word\Screenshot (3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7371"/>
                    <a:stretch/>
                  </pic:blipFill>
                  <pic:spPr bwMode="auto">
                    <a:xfrm>
                      <a:off x="0" y="0"/>
                      <a:ext cx="4855490" cy="137289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45E7B4E" w14:textId="77777777" w:rsidR="00A62018" w:rsidRDefault="00A62018" w:rsidP="00A62018">
      <w:pPr>
        <w:pStyle w:val="ListParagraph"/>
      </w:pPr>
    </w:p>
    <w:p w14:paraId="481D16B2" w14:textId="77777777" w:rsidR="0061064E" w:rsidRDefault="0061064E" w:rsidP="00A62018">
      <w:pPr>
        <w:pStyle w:val="ListParagraph"/>
      </w:pPr>
    </w:p>
    <w:p w14:paraId="69BAE146" w14:textId="392A1950" w:rsidR="00F03245" w:rsidRPr="00680A63" w:rsidRDefault="00F03245" w:rsidP="00F03245">
      <w:pPr>
        <w:pStyle w:val="ListParagraph"/>
        <w:numPr>
          <w:ilvl w:val="1"/>
          <w:numId w:val="34"/>
        </w:numPr>
        <w:rPr>
          <w:b/>
        </w:rPr>
      </w:pPr>
      <w:r w:rsidRPr="00680A63">
        <w:rPr>
          <w:b/>
        </w:rPr>
        <w:t>Match Interaction</w:t>
      </w:r>
      <w:r w:rsidR="00680A63" w:rsidRPr="00680A63">
        <w:rPr>
          <w:b/>
        </w:rPr>
        <w:t xml:space="preserve"> (MI</w:t>
      </w:r>
      <w:r w:rsidRPr="00680A63">
        <w:rPr>
          <w:b/>
        </w:rPr>
        <w:t>)</w:t>
      </w:r>
    </w:p>
    <w:p w14:paraId="57AD30EF" w14:textId="77777777" w:rsidR="00A62018" w:rsidRDefault="00A62018" w:rsidP="00A62018">
      <w:pPr>
        <w:pStyle w:val="ListParagraph"/>
      </w:pPr>
    </w:p>
    <w:p w14:paraId="1EFC7D63" w14:textId="3F674BE0" w:rsidR="0061064E" w:rsidRDefault="00542F3D" w:rsidP="00A62018">
      <w:pPr>
        <w:pStyle w:val="ListParagraph"/>
      </w:pPr>
      <w:r>
        <w:t>For the Match Interaction (MI) types, the student will select all boxes that apply</w:t>
      </w:r>
      <w:r w:rsidR="005B10A5">
        <w:t>.</w:t>
      </w:r>
    </w:p>
    <w:p w14:paraId="1B2E4CBE" w14:textId="77777777" w:rsidR="00542F3D" w:rsidRDefault="00542F3D" w:rsidP="00A62018">
      <w:pPr>
        <w:pStyle w:val="ListParagraph"/>
      </w:pPr>
    </w:p>
    <w:p w14:paraId="2A3B133F" w14:textId="71108670" w:rsidR="00A62018" w:rsidRDefault="002C26C9" w:rsidP="00D647D0">
      <w:pPr>
        <w:pStyle w:val="ListParagraph"/>
        <w:jc w:val="center"/>
      </w:pPr>
      <w:r>
        <w:rPr>
          <w:noProof/>
        </w:rPr>
        <w:drawing>
          <wp:inline distT="0" distB="0" distL="0" distR="0" wp14:anchorId="045871F2" wp14:editId="2655405D">
            <wp:extent cx="4772850" cy="1435701"/>
            <wp:effectExtent l="19050" t="19050" r="8890" b="12700"/>
            <wp:docPr id="13" name="Picture 13" descr="C:\Users\JamikaD\AppData\Local\Microsoft\Windows\INetCache\Content.Word\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mikaD\AppData\Local\Microsoft\Windows\INetCache\Content.Word\Screenshot (4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11" b="2544"/>
                    <a:stretch/>
                  </pic:blipFill>
                  <pic:spPr bwMode="auto">
                    <a:xfrm>
                      <a:off x="0" y="0"/>
                      <a:ext cx="4789936" cy="14408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8A8E772" w14:textId="77777777" w:rsidR="002C26C9" w:rsidRDefault="002C26C9" w:rsidP="00A62018">
      <w:pPr>
        <w:pStyle w:val="ListParagraph"/>
      </w:pPr>
    </w:p>
    <w:p w14:paraId="576306D2" w14:textId="77777777" w:rsidR="0061064E" w:rsidRDefault="0061064E" w:rsidP="00A62018">
      <w:pPr>
        <w:pStyle w:val="ListParagraph"/>
      </w:pPr>
    </w:p>
    <w:p w14:paraId="5827C060" w14:textId="77777777" w:rsidR="001411B1" w:rsidRDefault="001411B1" w:rsidP="00A62018">
      <w:pPr>
        <w:pStyle w:val="ListParagraph"/>
      </w:pPr>
    </w:p>
    <w:p w14:paraId="080BF6B0" w14:textId="77777777" w:rsidR="001411B1" w:rsidRDefault="001411B1" w:rsidP="00A62018">
      <w:pPr>
        <w:pStyle w:val="ListParagraph"/>
      </w:pPr>
    </w:p>
    <w:p w14:paraId="3F304194" w14:textId="03883929" w:rsidR="00F03245" w:rsidRPr="00680A63" w:rsidRDefault="00F03245" w:rsidP="00F03245">
      <w:pPr>
        <w:pStyle w:val="ListParagraph"/>
        <w:numPr>
          <w:ilvl w:val="1"/>
          <w:numId w:val="34"/>
        </w:numPr>
        <w:rPr>
          <w:b/>
        </w:rPr>
      </w:pPr>
      <w:r w:rsidRPr="00680A63">
        <w:rPr>
          <w:b/>
        </w:rPr>
        <w:lastRenderedPageBreak/>
        <w:t>Multi Select</w:t>
      </w:r>
      <w:r w:rsidR="00680A63" w:rsidRPr="00680A63">
        <w:rPr>
          <w:b/>
        </w:rPr>
        <w:t xml:space="preserve"> (MS</w:t>
      </w:r>
      <w:r w:rsidRPr="00680A63">
        <w:rPr>
          <w:b/>
        </w:rPr>
        <w:t>)</w:t>
      </w:r>
    </w:p>
    <w:p w14:paraId="375E2A3C" w14:textId="77777777" w:rsidR="00A62018" w:rsidRDefault="00A62018" w:rsidP="00A62018">
      <w:pPr>
        <w:pStyle w:val="ListParagraph"/>
      </w:pPr>
    </w:p>
    <w:p w14:paraId="78D6B2C1" w14:textId="2008D977" w:rsidR="005B10A5" w:rsidRDefault="005B10A5" w:rsidP="00A62018">
      <w:pPr>
        <w:pStyle w:val="ListParagraph"/>
      </w:pPr>
      <w:r>
        <w:t>For the Multi Select (MS) option, students are given a number of items to select to answer the questions.  For the example below, two of the listed items will be selected.</w:t>
      </w:r>
    </w:p>
    <w:p w14:paraId="79BEB1CA" w14:textId="77777777" w:rsidR="0061064E" w:rsidRDefault="0061064E" w:rsidP="00A62018">
      <w:pPr>
        <w:pStyle w:val="ListParagraph"/>
      </w:pPr>
    </w:p>
    <w:p w14:paraId="400905EB" w14:textId="2413EB77" w:rsidR="0073598D" w:rsidRDefault="0073598D" w:rsidP="00D647D0">
      <w:pPr>
        <w:pStyle w:val="ListParagraph"/>
        <w:jc w:val="center"/>
      </w:pPr>
      <w:r>
        <w:rPr>
          <w:noProof/>
        </w:rPr>
        <w:drawing>
          <wp:inline distT="0" distB="0" distL="0" distR="0" wp14:anchorId="6DD14FBE" wp14:editId="147EEE6B">
            <wp:extent cx="4957845" cy="2338710"/>
            <wp:effectExtent l="19050" t="19050" r="14605" b="23495"/>
            <wp:docPr id="5" name="Picture 5" descr="C:\Users\JamikaD\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ikaD\AppData\Local\Microsoft\Windows\INetCache\Content.Word\Screenshot (3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7084" cy="2343068"/>
                    </a:xfrm>
                    <a:prstGeom prst="rect">
                      <a:avLst/>
                    </a:prstGeom>
                    <a:noFill/>
                    <a:ln>
                      <a:solidFill>
                        <a:schemeClr val="tx1"/>
                      </a:solidFill>
                    </a:ln>
                  </pic:spPr>
                </pic:pic>
              </a:graphicData>
            </a:graphic>
          </wp:inline>
        </w:drawing>
      </w:r>
    </w:p>
    <w:p w14:paraId="7957C833" w14:textId="77777777" w:rsidR="0061064E" w:rsidRDefault="0061064E" w:rsidP="00D647D0">
      <w:pPr>
        <w:pStyle w:val="ListParagraph"/>
        <w:jc w:val="center"/>
      </w:pPr>
    </w:p>
    <w:p w14:paraId="3684678B" w14:textId="313CC5E3" w:rsidR="00F03245" w:rsidRPr="00680A63" w:rsidRDefault="00F03245" w:rsidP="00F03245">
      <w:pPr>
        <w:pStyle w:val="ListParagraph"/>
        <w:numPr>
          <w:ilvl w:val="1"/>
          <w:numId w:val="34"/>
        </w:numPr>
        <w:rPr>
          <w:b/>
        </w:rPr>
      </w:pPr>
      <w:r w:rsidRPr="00680A63">
        <w:rPr>
          <w:b/>
        </w:rPr>
        <w:t>Table Interaction</w:t>
      </w:r>
      <w:r w:rsidR="00680A63" w:rsidRPr="00680A63">
        <w:rPr>
          <w:b/>
        </w:rPr>
        <w:t xml:space="preserve"> (TI</w:t>
      </w:r>
      <w:r w:rsidRPr="00680A63">
        <w:rPr>
          <w:b/>
        </w:rPr>
        <w:t>)</w:t>
      </w:r>
    </w:p>
    <w:p w14:paraId="19666C43" w14:textId="77777777" w:rsidR="00A62018" w:rsidRDefault="00A62018" w:rsidP="00A62018">
      <w:pPr>
        <w:pStyle w:val="ListParagraph"/>
      </w:pPr>
    </w:p>
    <w:p w14:paraId="0E8B6427" w14:textId="556264E4" w:rsidR="005B10A5" w:rsidRDefault="005B10A5" w:rsidP="00A62018">
      <w:pPr>
        <w:pStyle w:val="ListParagraph"/>
      </w:pPr>
      <w:r>
        <w:t>For Table Interaction (TI) item types, students are provided with a table that includes a separate area of cells in which students may enter text.</w:t>
      </w:r>
    </w:p>
    <w:p w14:paraId="576494AA" w14:textId="77777777" w:rsidR="0061064E" w:rsidRDefault="0061064E" w:rsidP="00A62018">
      <w:pPr>
        <w:pStyle w:val="ListParagraph"/>
      </w:pPr>
    </w:p>
    <w:p w14:paraId="76805C0B" w14:textId="26E93828" w:rsidR="00D37B88" w:rsidRDefault="00D37B88" w:rsidP="00D647D0">
      <w:pPr>
        <w:pStyle w:val="ListParagraph"/>
        <w:jc w:val="center"/>
      </w:pPr>
      <w:r>
        <w:rPr>
          <w:noProof/>
        </w:rPr>
        <w:drawing>
          <wp:inline distT="0" distB="0" distL="0" distR="0" wp14:anchorId="5758366C" wp14:editId="12E5FBF3">
            <wp:extent cx="4455718" cy="2508976"/>
            <wp:effectExtent l="19050" t="19050" r="21590" b="24765"/>
            <wp:docPr id="14" name="Picture 14" descr="C:\Users\JamikaD\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mikaD\AppData\Local\Microsoft\Windows\INetCache\Content.Word\Screenshot (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9813" cy="2511282"/>
                    </a:xfrm>
                    <a:prstGeom prst="rect">
                      <a:avLst/>
                    </a:prstGeom>
                    <a:noFill/>
                    <a:ln>
                      <a:solidFill>
                        <a:schemeClr val="tx1"/>
                      </a:solidFill>
                    </a:ln>
                  </pic:spPr>
                </pic:pic>
              </a:graphicData>
            </a:graphic>
          </wp:inline>
        </w:drawing>
      </w:r>
    </w:p>
    <w:p w14:paraId="62CE2D25" w14:textId="77777777" w:rsidR="00D37B88" w:rsidRDefault="00D37B88" w:rsidP="00A62018">
      <w:pPr>
        <w:pStyle w:val="ListParagraph"/>
      </w:pPr>
    </w:p>
    <w:p w14:paraId="2EA2DF97" w14:textId="77777777" w:rsidR="00731E62" w:rsidRDefault="00731E62" w:rsidP="00A62018">
      <w:pPr>
        <w:pStyle w:val="ListParagraph"/>
      </w:pPr>
    </w:p>
    <w:p w14:paraId="11873114" w14:textId="77777777" w:rsidR="00B27AF6" w:rsidRDefault="00F03245" w:rsidP="00B27AF6">
      <w:pPr>
        <w:pStyle w:val="ListParagraph"/>
        <w:numPr>
          <w:ilvl w:val="1"/>
          <w:numId w:val="34"/>
        </w:numPr>
        <w:rPr>
          <w:b/>
        </w:rPr>
      </w:pPr>
      <w:r w:rsidRPr="00680A63">
        <w:rPr>
          <w:b/>
        </w:rPr>
        <w:t>Writing Extended Response</w:t>
      </w:r>
      <w:r w:rsidR="00680A63" w:rsidRPr="00680A63">
        <w:rPr>
          <w:b/>
        </w:rPr>
        <w:t xml:space="preserve"> (WER</w:t>
      </w:r>
      <w:r w:rsidRPr="00680A63">
        <w:rPr>
          <w:b/>
        </w:rPr>
        <w:t>)</w:t>
      </w:r>
    </w:p>
    <w:p w14:paraId="6608A8C7" w14:textId="77777777" w:rsidR="00B27AF6" w:rsidRDefault="00B27AF6" w:rsidP="00B27AF6">
      <w:pPr>
        <w:pStyle w:val="ListParagraph"/>
        <w:ind w:left="1080"/>
        <w:rPr>
          <w:b/>
        </w:rPr>
      </w:pPr>
    </w:p>
    <w:p w14:paraId="70FA188E" w14:textId="0A728298" w:rsidR="00B27AF6" w:rsidRPr="00B27AF6" w:rsidRDefault="00B27AF6" w:rsidP="00B27AF6">
      <w:pPr>
        <w:pStyle w:val="ListParagraph"/>
        <w:ind w:left="1080"/>
        <w:rPr>
          <w:b/>
        </w:rPr>
      </w:pPr>
      <w:r>
        <w:rPr>
          <w:noProof/>
        </w:rPr>
        <w:t>Writing Extended Response (WER) item types provide more space for students to provide their written responses.</w:t>
      </w:r>
    </w:p>
    <w:p w14:paraId="48A8175F" w14:textId="2BFBBB52" w:rsidR="0061064E" w:rsidRDefault="00B27AF6" w:rsidP="00680A63">
      <w:pPr>
        <w:ind w:firstLine="720"/>
        <w:jc w:val="center"/>
        <w:rPr>
          <w:noProof/>
        </w:rPr>
      </w:pPr>
      <w:r>
        <w:rPr>
          <w:noProof/>
        </w:rPr>
        <w:lastRenderedPageBreak/>
        <w:drawing>
          <wp:inline distT="0" distB="0" distL="0" distR="0" wp14:anchorId="7D987AC0" wp14:editId="131B4FB2">
            <wp:extent cx="5026557" cy="1168967"/>
            <wp:effectExtent l="19050" t="19050" r="22225" b="12700"/>
            <wp:docPr id="7" name="Picture 7" descr="C:\Users\JamikaD\AppData\Local\Microsoft\Windows\INetCache\Content.Word\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kaD\AppData\Local\Microsoft\Windows\INetCache\Content.Word\Screenshot (5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563" b="2256"/>
                    <a:stretch/>
                  </pic:blipFill>
                  <pic:spPr bwMode="auto">
                    <a:xfrm>
                      <a:off x="0" y="0"/>
                      <a:ext cx="5027347" cy="11691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968814B" w14:textId="77777777" w:rsidR="00731E62" w:rsidRDefault="00731E62" w:rsidP="00680A63">
      <w:pPr>
        <w:ind w:firstLine="720"/>
        <w:jc w:val="center"/>
      </w:pPr>
    </w:p>
    <w:p w14:paraId="4C51756F" w14:textId="6413F6A3" w:rsidR="00DC0FCF" w:rsidRDefault="00DC0FCF" w:rsidP="00DC0FCF">
      <w:pPr>
        <w:pStyle w:val="ListParagraph"/>
        <w:numPr>
          <w:ilvl w:val="1"/>
          <w:numId w:val="34"/>
        </w:numPr>
        <w:contextualSpacing w:val="0"/>
      </w:pPr>
      <w:r>
        <w:t>Supplementary</w:t>
      </w:r>
      <w:r>
        <w:t xml:space="preserve"> item types are</w:t>
      </w:r>
      <w:r w:rsidR="00696A30">
        <w:t xml:space="preserve">, </w:t>
      </w:r>
      <w:r w:rsidR="00D1682F" w:rsidRPr="00D1682F">
        <w:rPr>
          <w:i/>
        </w:rPr>
        <w:t>Passage</w:t>
      </w:r>
      <w:r w:rsidR="00F03245">
        <w:t xml:space="preserve"> </w:t>
      </w:r>
      <w:r w:rsidR="00A26CF1">
        <w:t xml:space="preserve">(Pass), </w:t>
      </w:r>
      <w:r w:rsidR="00D647D0">
        <w:t xml:space="preserve">and </w:t>
      </w:r>
      <w:r w:rsidR="00D647D0" w:rsidRPr="00D1682F">
        <w:rPr>
          <w:i/>
        </w:rPr>
        <w:t>Tutorial</w:t>
      </w:r>
      <w:r w:rsidR="00D1682F">
        <w:t xml:space="preserve"> </w:t>
      </w:r>
      <w:r w:rsidR="00A26CF1">
        <w:t>(Tut)</w:t>
      </w:r>
      <w:r w:rsidR="00696A30">
        <w:t xml:space="preserve">, and </w:t>
      </w:r>
      <w:r w:rsidR="00696A30">
        <w:rPr>
          <w:i/>
        </w:rPr>
        <w:t xml:space="preserve">Wordlist </w:t>
      </w:r>
      <w:r w:rsidR="00696A30" w:rsidRPr="00696A30">
        <w:t>(</w:t>
      </w:r>
      <w:r w:rsidR="00696A30">
        <w:t>Glossary)</w:t>
      </w:r>
      <w:r w:rsidR="00A26CF1">
        <w:t>.</w:t>
      </w:r>
    </w:p>
    <w:p w14:paraId="4AB7312E" w14:textId="77777777" w:rsidR="00FD5183" w:rsidRPr="00DC0FCF" w:rsidRDefault="00FD5183" w:rsidP="00DC0FCF">
      <w:pPr>
        <w:pStyle w:val="ListParagraph"/>
        <w:numPr>
          <w:ilvl w:val="2"/>
          <w:numId w:val="34"/>
        </w:numPr>
        <w:rPr>
          <w:b/>
        </w:rPr>
      </w:pPr>
      <w:r w:rsidRPr="00DC0FCF">
        <w:rPr>
          <w:b/>
        </w:rPr>
        <w:t>Passage (Pass)</w:t>
      </w:r>
    </w:p>
    <w:p w14:paraId="70E693B7" w14:textId="6C607ABC" w:rsidR="00FD5183" w:rsidRDefault="00FD5183" w:rsidP="00FD5183">
      <w:pPr>
        <w:ind w:left="720"/>
      </w:pPr>
      <w:r>
        <w:t xml:space="preserve">A passage is an extended stimulus that is referenced by multiple response items that follow. Typically a passage is an extended-length text in HTML format. However, it can include multimedia </w:t>
      </w:r>
      <w:r w:rsidR="00DC0FCF">
        <w:t>such as</w:t>
      </w:r>
      <w:r>
        <w:t xml:space="preserve"> an audio listening passage or a video. As with response items, passages may have accessibili</w:t>
      </w:r>
      <w:r w:rsidR="00DC0FCF">
        <w:t>ty features such as ASL video and</w:t>
      </w:r>
      <w:r>
        <w:t xml:space="preserve"> closed captioning.</w:t>
      </w:r>
    </w:p>
    <w:p w14:paraId="58BDC3CC" w14:textId="77777777" w:rsidR="00FD5183" w:rsidRPr="00DC0FCF" w:rsidRDefault="00FD5183" w:rsidP="00DC0FCF">
      <w:pPr>
        <w:pStyle w:val="ListParagraph"/>
        <w:numPr>
          <w:ilvl w:val="2"/>
          <w:numId w:val="34"/>
        </w:numPr>
        <w:rPr>
          <w:b/>
        </w:rPr>
      </w:pPr>
      <w:r w:rsidRPr="00DC0FCF">
        <w:rPr>
          <w:b/>
        </w:rPr>
        <w:t>Tutorial (Tut)</w:t>
      </w:r>
    </w:p>
    <w:p w14:paraId="306C2354" w14:textId="5209959A" w:rsidR="00FD5183" w:rsidRDefault="00FD5183" w:rsidP="00FD5183">
      <w:pPr>
        <w:ind w:left="720"/>
      </w:pPr>
      <w:r>
        <w:t>Like a passage, a tutorial is extended HTML text which may include multimedia and accessibility features. Each tutorial is associated with a particular response type and is used to inform students how to respond to that particular interaction type.</w:t>
      </w:r>
    </w:p>
    <w:p w14:paraId="030D4DBE" w14:textId="54BD25B6" w:rsidR="00FD5183" w:rsidRPr="00DC0FCF" w:rsidRDefault="00FD5183" w:rsidP="00DC0FCF">
      <w:pPr>
        <w:pStyle w:val="ListParagraph"/>
        <w:numPr>
          <w:ilvl w:val="2"/>
          <w:numId w:val="34"/>
        </w:numPr>
        <w:rPr>
          <w:b/>
        </w:rPr>
      </w:pPr>
      <w:r w:rsidRPr="00DC0FCF">
        <w:rPr>
          <w:b/>
        </w:rPr>
        <w:t>Wordlist (Glossary)</w:t>
      </w:r>
    </w:p>
    <w:p w14:paraId="775C9F1D" w14:textId="484918C9" w:rsidR="00FD5183" w:rsidRDefault="00FD5183" w:rsidP="00FD5183">
      <w:pPr>
        <w:ind w:left="720"/>
      </w:pPr>
      <w:r>
        <w:t>A wordlist is supplementary</w:t>
      </w:r>
      <w:r w:rsidR="00963E46">
        <w:t xml:space="preserve"> material to an item that provides glossary entries in English and other languages. Glossary information may include text, audio, and images.</w:t>
      </w:r>
    </w:p>
    <w:p w14:paraId="1CB29383" w14:textId="26625D02" w:rsidR="00BC6CE1" w:rsidRDefault="00F03245" w:rsidP="00BC6CE1">
      <w:pPr>
        <w:pStyle w:val="ListParagraph"/>
        <w:numPr>
          <w:ilvl w:val="0"/>
          <w:numId w:val="34"/>
        </w:numPr>
      </w:pPr>
      <w:r>
        <w:t>Accessibility features are made available in one of three ways</w:t>
      </w:r>
      <w:r w:rsidR="00BC6CE1">
        <w:t xml:space="preserve">: </w:t>
      </w:r>
      <w:r w:rsidR="00BC6CE1">
        <w:rPr>
          <w:i/>
        </w:rPr>
        <w:t>Item-Embedded Features, System-Embedded Features</w:t>
      </w:r>
      <w:r w:rsidR="00BC6CE1">
        <w:t xml:space="preserve">, and </w:t>
      </w:r>
      <w:r w:rsidR="00BC6CE1">
        <w:rPr>
          <w:i/>
        </w:rPr>
        <w:t>Non-Embedded Features</w:t>
      </w:r>
      <w:r w:rsidR="00BC6CE1" w:rsidRPr="00BC6CE1">
        <w:t>.</w:t>
      </w:r>
      <w:r w:rsidR="00BC6CE1">
        <w:t xml:space="preserve">  This document only defines the item-embedded features.  Additional details about system- and non-embedded features can be referenced through the Usability, Accessibility, and Accommodations Guidelines (UAAG) found on SmarterBalanced.org (</w:t>
      </w:r>
      <w:hyperlink r:id="rId19" w:history="1">
        <w:r w:rsidR="00BC6CE1" w:rsidRPr="00A96C16">
          <w:rPr>
            <w:rStyle w:val="Hyperlink"/>
          </w:rPr>
          <w:t>http://www.smarterbalanced.org/wp-content/uploads/2015/09/Usability-Accessibility-Accomodations-Guidelines.pdf</w:t>
        </w:r>
      </w:hyperlink>
      <w:r w:rsidR="00BC6CE1">
        <w:t>).</w:t>
      </w:r>
    </w:p>
    <w:p w14:paraId="06FC6B71" w14:textId="77777777" w:rsidR="00BC6CE1" w:rsidRDefault="00BC6CE1" w:rsidP="00BC6CE1">
      <w:pPr>
        <w:pStyle w:val="ListParagraph"/>
      </w:pPr>
    </w:p>
    <w:p w14:paraId="04E6B339" w14:textId="51CA95CE" w:rsidR="00172E6C" w:rsidRDefault="00F03245" w:rsidP="00172E6C">
      <w:pPr>
        <w:pStyle w:val="ListParagraph"/>
        <w:numPr>
          <w:ilvl w:val="1"/>
          <w:numId w:val="34"/>
        </w:numPr>
      </w:pPr>
      <w:r>
        <w:rPr>
          <w:b/>
          <w:bCs/>
        </w:rPr>
        <w:t>Item-Embedded Features</w:t>
      </w:r>
      <w:r>
        <w:t xml:space="preserve"> appear </w:t>
      </w:r>
      <w:r w:rsidRPr="001411B1">
        <w:rPr>
          <w:i/>
        </w:rPr>
        <w:t>within</w:t>
      </w:r>
      <w:r>
        <w:t xml:space="preserve"> the assessment item</w:t>
      </w:r>
      <w:r w:rsidR="001411B1">
        <w:t>s</w:t>
      </w:r>
      <w:r>
        <w:t xml:space="preserve">. </w:t>
      </w:r>
      <w:r w:rsidR="001411B1">
        <w:t xml:space="preserve">This category </w:t>
      </w:r>
      <w:r>
        <w:t>includes information that may not be visible in a conventional browser but interacts with assistive technology</w:t>
      </w:r>
      <w:r w:rsidR="001411B1">
        <w:t>,</w:t>
      </w:r>
      <w:r>
        <w:t xml:space="preserve"> such as alternative spellings for text-to-speech and braille screen readers.</w:t>
      </w:r>
    </w:p>
    <w:p w14:paraId="7BE79549" w14:textId="3FD9BA98" w:rsidR="00172E6C" w:rsidRDefault="00172E6C" w:rsidP="00172E6C">
      <w:pPr>
        <w:pStyle w:val="ListParagraph"/>
        <w:numPr>
          <w:ilvl w:val="2"/>
          <w:numId w:val="34"/>
        </w:numPr>
      </w:pPr>
      <w:r>
        <w:t>Embedded American Sign Language (ASL</w:t>
      </w:r>
      <w:r w:rsidR="00BC6CE1">
        <w:t>) videos for math items, math performance tasks (PT</w:t>
      </w:r>
      <w:r>
        <w:t>s</w:t>
      </w:r>
      <w:r w:rsidR="00BC6CE1">
        <w:t>)</w:t>
      </w:r>
      <w:r>
        <w:t>, and ELA listening sets (audio stimulus and associated items).</w:t>
      </w:r>
    </w:p>
    <w:p w14:paraId="0CDCA89B" w14:textId="77777777" w:rsidR="00172E6C" w:rsidRDefault="00172E6C" w:rsidP="00172E6C">
      <w:pPr>
        <w:pStyle w:val="ListParagraph"/>
        <w:numPr>
          <w:ilvl w:val="2"/>
          <w:numId w:val="34"/>
        </w:numPr>
      </w:pPr>
      <w:r>
        <w:t>Closed captioning for ELA listening stimuli and other audio components in the test delivery interface.</w:t>
      </w:r>
    </w:p>
    <w:p w14:paraId="32C46809" w14:textId="77777777" w:rsidR="00172E6C" w:rsidRDefault="00172E6C" w:rsidP="00172E6C">
      <w:pPr>
        <w:pStyle w:val="ListParagraph"/>
        <w:numPr>
          <w:ilvl w:val="2"/>
          <w:numId w:val="34"/>
        </w:numPr>
      </w:pPr>
      <w:r>
        <w:t>Text-to-speech annotations (alternate text spelling to improve text-to-speech performance) – for use by assistive technology.</w:t>
      </w:r>
    </w:p>
    <w:p w14:paraId="0C4EAD87" w14:textId="77777777" w:rsidR="00172E6C" w:rsidRDefault="00172E6C" w:rsidP="00172E6C">
      <w:pPr>
        <w:pStyle w:val="ListParagraph"/>
        <w:numPr>
          <w:ilvl w:val="2"/>
          <w:numId w:val="34"/>
        </w:numPr>
      </w:pPr>
      <w:r>
        <w:t>Braille annotations – for use by assistive technology including refreshable braille displays.</w:t>
      </w:r>
    </w:p>
    <w:p w14:paraId="101F1C4F" w14:textId="77777777" w:rsidR="00172E6C" w:rsidRDefault="00172E6C" w:rsidP="00172E6C">
      <w:pPr>
        <w:pStyle w:val="ListParagraph"/>
        <w:numPr>
          <w:ilvl w:val="2"/>
          <w:numId w:val="34"/>
        </w:numPr>
      </w:pPr>
      <w:r>
        <w:t>Braille emboss-on-demand attachments</w:t>
      </w:r>
    </w:p>
    <w:p w14:paraId="6EEB7DBD" w14:textId="77777777" w:rsidR="00172E6C" w:rsidRDefault="00172E6C" w:rsidP="00172E6C">
      <w:pPr>
        <w:pStyle w:val="ListParagraph"/>
        <w:numPr>
          <w:ilvl w:val="2"/>
          <w:numId w:val="34"/>
        </w:numPr>
      </w:pPr>
      <w:r>
        <w:t>Stacked translation into multiple languages</w:t>
      </w:r>
    </w:p>
    <w:p w14:paraId="59EB79BA" w14:textId="77777777" w:rsidR="00172E6C" w:rsidRDefault="00172E6C" w:rsidP="00172E6C">
      <w:pPr>
        <w:pStyle w:val="ListParagraph"/>
        <w:numPr>
          <w:ilvl w:val="2"/>
          <w:numId w:val="34"/>
        </w:numPr>
      </w:pPr>
      <w:r>
        <w:t>English glossary for specific words or phrases.</w:t>
      </w:r>
    </w:p>
    <w:p w14:paraId="04EBDF5C" w14:textId="77777777" w:rsidR="00172E6C" w:rsidRDefault="00172E6C" w:rsidP="00172E6C">
      <w:pPr>
        <w:pStyle w:val="ListParagraph"/>
        <w:numPr>
          <w:ilvl w:val="2"/>
          <w:numId w:val="34"/>
        </w:numPr>
      </w:pPr>
      <w:r>
        <w:t>Translated glossary for specific words or phrases</w:t>
      </w:r>
    </w:p>
    <w:p w14:paraId="73C86A90" w14:textId="77777777" w:rsidR="00172E6C" w:rsidRDefault="00172E6C" w:rsidP="00172E6C">
      <w:pPr>
        <w:pStyle w:val="ListParagraph"/>
        <w:numPr>
          <w:ilvl w:val="2"/>
          <w:numId w:val="34"/>
        </w:numPr>
      </w:pPr>
      <w:r>
        <w:lastRenderedPageBreak/>
        <w:t>Audio clips attached to English and translated glossary entries</w:t>
      </w:r>
    </w:p>
    <w:p w14:paraId="3B994B57" w14:textId="6AAD00EF" w:rsidR="00172E6C" w:rsidRDefault="00172E6C" w:rsidP="00172E6C">
      <w:pPr>
        <w:pStyle w:val="ListParagraph"/>
        <w:numPr>
          <w:ilvl w:val="2"/>
          <w:numId w:val="34"/>
        </w:numPr>
      </w:pPr>
      <w:r>
        <w:t>Image glossary for specific words or phrases</w:t>
      </w:r>
    </w:p>
    <w:p w14:paraId="12105EDD" w14:textId="0A09BCF3" w:rsidR="00172E6C" w:rsidRDefault="00172E6C" w:rsidP="00172E6C">
      <w:pPr>
        <w:pStyle w:val="ListParagraph"/>
        <w:numPr>
          <w:ilvl w:val="2"/>
          <w:numId w:val="34"/>
        </w:numPr>
      </w:pPr>
      <w:r>
        <w:t>Braille transcripts of closed captions.</w:t>
      </w:r>
    </w:p>
    <w:p w14:paraId="3447E782" w14:textId="77777777" w:rsidR="008D785F" w:rsidRDefault="00F03245" w:rsidP="008D785F">
      <w:pPr>
        <w:pStyle w:val="ListParagraph"/>
        <w:numPr>
          <w:ilvl w:val="1"/>
          <w:numId w:val="34"/>
        </w:numPr>
      </w:pPr>
      <w:r>
        <w:rPr>
          <w:b/>
          <w:bCs/>
        </w:rPr>
        <w:t>System-Embedded Features</w:t>
      </w:r>
      <w:r>
        <w:t xml:space="preserve"> are offered online by the test delivery system but are not embedded in the item. Examples include a dictionary, or calculator. Availability of these features may be restricted according to item metadata.</w:t>
      </w:r>
    </w:p>
    <w:p w14:paraId="3CF840CF" w14:textId="45893739" w:rsidR="00F03245" w:rsidRDefault="00F03245" w:rsidP="008D785F">
      <w:pPr>
        <w:pStyle w:val="ListParagraph"/>
        <w:numPr>
          <w:ilvl w:val="1"/>
          <w:numId w:val="34"/>
        </w:numPr>
      </w:pPr>
      <w:r>
        <w:rPr>
          <w:b/>
          <w:bCs/>
        </w:rPr>
        <w:t>Non-Embedded Features</w:t>
      </w:r>
      <w:r>
        <w:t xml:space="preserve"> are provided by the test administrator or organization. Examples are a paper multiplication table, translated test directions, or a bilingual dictionary.</w:t>
      </w:r>
    </w:p>
    <w:p w14:paraId="1ADB0E42" w14:textId="77777777" w:rsidR="00F03245" w:rsidRDefault="00F03245" w:rsidP="00F03245">
      <w:pPr>
        <w:pStyle w:val="ListParagraph"/>
        <w:ind w:left="1080"/>
      </w:pPr>
    </w:p>
    <w:p w14:paraId="77678631" w14:textId="77777777" w:rsidR="00EA4CC2" w:rsidRDefault="00EA4CC2" w:rsidP="00F823CA"/>
    <w:sectPr w:rsidR="00EA4CC2" w:rsidSect="00951C73">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A6ED7" w14:textId="77777777" w:rsidR="00B95058" w:rsidRDefault="00B95058" w:rsidP="0035476E">
      <w:r>
        <w:separator/>
      </w:r>
    </w:p>
  </w:endnote>
  <w:endnote w:type="continuationSeparator" w:id="0">
    <w:p w14:paraId="649556E7" w14:textId="77777777" w:rsidR="00B95058" w:rsidRDefault="00B95058"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AF2D" w14:textId="5EA0C45F" w:rsidR="00C95740" w:rsidRPr="00731E62" w:rsidRDefault="00731E62" w:rsidP="00731E62">
    <w:pPr>
      <w:pStyle w:val="Title"/>
      <w:jc w:val="left"/>
      <w:rPr>
        <w:b w:val="0"/>
        <w:sz w:val="20"/>
        <w:szCs w:val="20"/>
      </w:rPr>
    </w:pPr>
    <w:r w:rsidRPr="00731E62">
      <w:rPr>
        <w:b w:val="0"/>
        <w:sz w:val="20"/>
        <w:szCs w:val="20"/>
      </w:rPr>
      <w:t>Item Type and Accessibility Features</w:t>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002C37F5" w:rsidRPr="00731E62">
      <w:rPr>
        <w:b w:val="0"/>
        <w:sz w:val="20"/>
        <w:szCs w:val="20"/>
      </w:rPr>
      <w:fldChar w:fldCharType="begin"/>
    </w:r>
    <w:r w:rsidR="00124FAC" w:rsidRPr="00731E62">
      <w:rPr>
        <w:b w:val="0"/>
        <w:sz w:val="20"/>
        <w:szCs w:val="20"/>
      </w:rPr>
      <w:instrText xml:space="preserve"> PAGE   \* MERGEFORMAT </w:instrText>
    </w:r>
    <w:r w:rsidR="002C37F5" w:rsidRPr="00731E62">
      <w:rPr>
        <w:b w:val="0"/>
        <w:sz w:val="20"/>
        <w:szCs w:val="20"/>
      </w:rPr>
      <w:fldChar w:fldCharType="separate"/>
    </w:r>
    <w:r w:rsidR="007435D0">
      <w:rPr>
        <w:b w:val="0"/>
        <w:noProof/>
        <w:sz w:val="20"/>
        <w:szCs w:val="20"/>
      </w:rPr>
      <w:t>6</w:t>
    </w:r>
    <w:r w:rsidR="002C37F5" w:rsidRPr="00731E62">
      <w:rPr>
        <w:b w:val="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8F7AA" w14:textId="77777777" w:rsidR="00B95058" w:rsidRDefault="00B95058" w:rsidP="0035476E">
      <w:r>
        <w:separator/>
      </w:r>
    </w:p>
  </w:footnote>
  <w:footnote w:type="continuationSeparator" w:id="0">
    <w:p w14:paraId="3CA0125A" w14:textId="77777777" w:rsidR="00B95058" w:rsidRDefault="00B95058"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2B4CCF"/>
    <w:multiLevelType w:val="hybridMultilevel"/>
    <w:tmpl w:val="CE52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1494A"/>
    <w:multiLevelType w:val="hybridMultilevel"/>
    <w:tmpl w:val="C740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D50E6"/>
    <w:multiLevelType w:val="multilevel"/>
    <w:tmpl w:val="2480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C5792"/>
    <w:multiLevelType w:val="hybridMultilevel"/>
    <w:tmpl w:val="A6C4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71CCD"/>
    <w:multiLevelType w:val="hybridMultilevel"/>
    <w:tmpl w:val="15C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42595"/>
    <w:multiLevelType w:val="hybridMultilevel"/>
    <w:tmpl w:val="FF2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20"/>
  </w:num>
  <w:num w:numId="21">
    <w:abstractNumId w:val="10"/>
  </w:num>
  <w:num w:numId="22">
    <w:abstractNumId w:val="8"/>
    <w:lvlOverride w:ilvl="0">
      <w:startOverride w:val="1"/>
    </w:lvlOverride>
  </w:num>
  <w:num w:numId="23">
    <w:abstractNumId w:val="3"/>
    <w:lvlOverride w:ilvl="0">
      <w:startOverride w:val="1"/>
    </w:lvlOverride>
  </w:num>
  <w:num w:numId="24">
    <w:abstractNumId w:val="24"/>
  </w:num>
  <w:num w:numId="25">
    <w:abstractNumId w:val="13"/>
  </w:num>
  <w:num w:numId="26">
    <w:abstractNumId w:val="18"/>
  </w:num>
  <w:num w:numId="27">
    <w:abstractNumId w:val="17"/>
  </w:num>
  <w:num w:numId="28">
    <w:abstractNumId w:val="14"/>
  </w:num>
  <w:num w:numId="29">
    <w:abstractNumId w:val="23"/>
  </w:num>
  <w:num w:numId="30">
    <w:abstractNumId w:val="15"/>
  </w:num>
  <w:num w:numId="31">
    <w:abstractNumId w:val="21"/>
  </w:num>
  <w:num w:numId="32">
    <w:abstractNumId w:val="12"/>
  </w:num>
  <w:num w:numId="33">
    <w:abstractNumId w:val="1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CA"/>
    <w:rsid w:val="0004693F"/>
    <w:rsid w:val="000532CC"/>
    <w:rsid w:val="00062CFC"/>
    <w:rsid w:val="000C2379"/>
    <w:rsid w:val="000C5DA5"/>
    <w:rsid w:val="000D310D"/>
    <w:rsid w:val="000E359A"/>
    <w:rsid w:val="000F31E3"/>
    <w:rsid w:val="001025C1"/>
    <w:rsid w:val="00102C1B"/>
    <w:rsid w:val="001207D4"/>
    <w:rsid w:val="00122961"/>
    <w:rsid w:val="00124FAC"/>
    <w:rsid w:val="0013215E"/>
    <w:rsid w:val="001411B1"/>
    <w:rsid w:val="00141E4C"/>
    <w:rsid w:val="00144462"/>
    <w:rsid w:val="00166678"/>
    <w:rsid w:val="00172E6C"/>
    <w:rsid w:val="0017606C"/>
    <w:rsid w:val="001823F0"/>
    <w:rsid w:val="001A133B"/>
    <w:rsid w:val="001A24DB"/>
    <w:rsid w:val="001A3156"/>
    <w:rsid w:val="001B04D1"/>
    <w:rsid w:val="001D5278"/>
    <w:rsid w:val="001D53C6"/>
    <w:rsid w:val="00221D2B"/>
    <w:rsid w:val="00250F39"/>
    <w:rsid w:val="002536B8"/>
    <w:rsid w:val="002576A2"/>
    <w:rsid w:val="002B63E3"/>
    <w:rsid w:val="002C26C9"/>
    <w:rsid w:val="002C37F5"/>
    <w:rsid w:val="002D3273"/>
    <w:rsid w:val="002E15F9"/>
    <w:rsid w:val="002E17BC"/>
    <w:rsid w:val="002F32B5"/>
    <w:rsid w:val="002F6E54"/>
    <w:rsid w:val="003208FB"/>
    <w:rsid w:val="003263CE"/>
    <w:rsid w:val="0035476E"/>
    <w:rsid w:val="00362FA0"/>
    <w:rsid w:val="00373C66"/>
    <w:rsid w:val="00383A76"/>
    <w:rsid w:val="003A54BA"/>
    <w:rsid w:val="003B403D"/>
    <w:rsid w:val="003C13EA"/>
    <w:rsid w:val="003D798B"/>
    <w:rsid w:val="003E1C59"/>
    <w:rsid w:val="003E67EE"/>
    <w:rsid w:val="003F0451"/>
    <w:rsid w:val="00425116"/>
    <w:rsid w:val="00480BD9"/>
    <w:rsid w:val="004A5714"/>
    <w:rsid w:val="004B6328"/>
    <w:rsid w:val="004B705A"/>
    <w:rsid w:val="004D1F2A"/>
    <w:rsid w:val="004E735B"/>
    <w:rsid w:val="0053588B"/>
    <w:rsid w:val="00542F3D"/>
    <w:rsid w:val="005555D0"/>
    <w:rsid w:val="00557105"/>
    <w:rsid w:val="005600B9"/>
    <w:rsid w:val="00567734"/>
    <w:rsid w:val="005754D1"/>
    <w:rsid w:val="00583EE5"/>
    <w:rsid w:val="00587714"/>
    <w:rsid w:val="005A6354"/>
    <w:rsid w:val="005B10A5"/>
    <w:rsid w:val="005D40F0"/>
    <w:rsid w:val="005D55A5"/>
    <w:rsid w:val="005E07C1"/>
    <w:rsid w:val="005F4324"/>
    <w:rsid w:val="0061064E"/>
    <w:rsid w:val="00614992"/>
    <w:rsid w:val="00620C84"/>
    <w:rsid w:val="00631F8B"/>
    <w:rsid w:val="00636E54"/>
    <w:rsid w:val="00645140"/>
    <w:rsid w:val="00646D6E"/>
    <w:rsid w:val="00646FB2"/>
    <w:rsid w:val="00660D13"/>
    <w:rsid w:val="00663313"/>
    <w:rsid w:val="00680A63"/>
    <w:rsid w:val="00685EA6"/>
    <w:rsid w:val="006902C6"/>
    <w:rsid w:val="00690390"/>
    <w:rsid w:val="00692AD5"/>
    <w:rsid w:val="00692B9D"/>
    <w:rsid w:val="006938DA"/>
    <w:rsid w:val="00696A30"/>
    <w:rsid w:val="006A55B5"/>
    <w:rsid w:val="006B0E25"/>
    <w:rsid w:val="006D3157"/>
    <w:rsid w:val="006D3A8E"/>
    <w:rsid w:val="006D3D09"/>
    <w:rsid w:val="006F6CF1"/>
    <w:rsid w:val="00703FF4"/>
    <w:rsid w:val="0071336A"/>
    <w:rsid w:val="007134CC"/>
    <w:rsid w:val="00727FE0"/>
    <w:rsid w:val="00731E62"/>
    <w:rsid w:val="0073598D"/>
    <w:rsid w:val="00742470"/>
    <w:rsid w:val="007435D0"/>
    <w:rsid w:val="0075419F"/>
    <w:rsid w:val="00772333"/>
    <w:rsid w:val="007867E5"/>
    <w:rsid w:val="00787894"/>
    <w:rsid w:val="007911FF"/>
    <w:rsid w:val="007B7F35"/>
    <w:rsid w:val="007C3B0C"/>
    <w:rsid w:val="007D1322"/>
    <w:rsid w:val="007D526A"/>
    <w:rsid w:val="007F768D"/>
    <w:rsid w:val="00802054"/>
    <w:rsid w:val="00853218"/>
    <w:rsid w:val="008676DC"/>
    <w:rsid w:val="0087187E"/>
    <w:rsid w:val="008869CD"/>
    <w:rsid w:val="008964E5"/>
    <w:rsid w:val="008A097C"/>
    <w:rsid w:val="008B024F"/>
    <w:rsid w:val="008D1104"/>
    <w:rsid w:val="008D1EA6"/>
    <w:rsid w:val="008D785F"/>
    <w:rsid w:val="008E1D9D"/>
    <w:rsid w:val="008F004E"/>
    <w:rsid w:val="008F1F61"/>
    <w:rsid w:val="00901B5E"/>
    <w:rsid w:val="00904EAC"/>
    <w:rsid w:val="00905C3F"/>
    <w:rsid w:val="00916375"/>
    <w:rsid w:val="00924DB9"/>
    <w:rsid w:val="00935F84"/>
    <w:rsid w:val="00944F67"/>
    <w:rsid w:val="00951C73"/>
    <w:rsid w:val="00956779"/>
    <w:rsid w:val="00963E46"/>
    <w:rsid w:val="00967128"/>
    <w:rsid w:val="00996FE4"/>
    <w:rsid w:val="009A3271"/>
    <w:rsid w:val="009A4D84"/>
    <w:rsid w:val="009A6764"/>
    <w:rsid w:val="009A6F76"/>
    <w:rsid w:val="009B6A9B"/>
    <w:rsid w:val="009C58FC"/>
    <w:rsid w:val="009E4BE9"/>
    <w:rsid w:val="009F3033"/>
    <w:rsid w:val="009F471B"/>
    <w:rsid w:val="00A1131A"/>
    <w:rsid w:val="00A14ABD"/>
    <w:rsid w:val="00A26BA3"/>
    <w:rsid w:val="00A26CF1"/>
    <w:rsid w:val="00A42620"/>
    <w:rsid w:val="00A42E68"/>
    <w:rsid w:val="00A43B8F"/>
    <w:rsid w:val="00A47FE4"/>
    <w:rsid w:val="00A62018"/>
    <w:rsid w:val="00A77B56"/>
    <w:rsid w:val="00A872B6"/>
    <w:rsid w:val="00AB2E01"/>
    <w:rsid w:val="00AC7562"/>
    <w:rsid w:val="00AD287D"/>
    <w:rsid w:val="00B27AF6"/>
    <w:rsid w:val="00B77D86"/>
    <w:rsid w:val="00B95058"/>
    <w:rsid w:val="00BA58E8"/>
    <w:rsid w:val="00BC6CE1"/>
    <w:rsid w:val="00BF2CF6"/>
    <w:rsid w:val="00C02B81"/>
    <w:rsid w:val="00C16716"/>
    <w:rsid w:val="00C41084"/>
    <w:rsid w:val="00C52BB2"/>
    <w:rsid w:val="00C565E1"/>
    <w:rsid w:val="00C57955"/>
    <w:rsid w:val="00C72F65"/>
    <w:rsid w:val="00C83748"/>
    <w:rsid w:val="00C95740"/>
    <w:rsid w:val="00C9713C"/>
    <w:rsid w:val="00CF289E"/>
    <w:rsid w:val="00D04882"/>
    <w:rsid w:val="00D10132"/>
    <w:rsid w:val="00D1682F"/>
    <w:rsid w:val="00D24181"/>
    <w:rsid w:val="00D37B88"/>
    <w:rsid w:val="00D46C2C"/>
    <w:rsid w:val="00D61CF6"/>
    <w:rsid w:val="00D647D0"/>
    <w:rsid w:val="00D655CD"/>
    <w:rsid w:val="00D70BD2"/>
    <w:rsid w:val="00D94507"/>
    <w:rsid w:val="00DA61F9"/>
    <w:rsid w:val="00DC0FCF"/>
    <w:rsid w:val="00DC4DE8"/>
    <w:rsid w:val="00DE6AF6"/>
    <w:rsid w:val="00DF3695"/>
    <w:rsid w:val="00E00D4A"/>
    <w:rsid w:val="00E164EB"/>
    <w:rsid w:val="00E23735"/>
    <w:rsid w:val="00E251C2"/>
    <w:rsid w:val="00E3250C"/>
    <w:rsid w:val="00E50BBA"/>
    <w:rsid w:val="00E5329D"/>
    <w:rsid w:val="00E61715"/>
    <w:rsid w:val="00E70DA8"/>
    <w:rsid w:val="00E85C8E"/>
    <w:rsid w:val="00E91762"/>
    <w:rsid w:val="00E977BD"/>
    <w:rsid w:val="00EA3B4F"/>
    <w:rsid w:val="00EA4CC2"/>
    <w:rsid w:val="00EB0B4E"/>
    <w:rsid w:val="00EB1AC4"/>
    <w:rsid w:val="00ED0EA1"/>
    <w:rsid w:val="00ED135E"/>
    <w:rsid w:val="00ED65A4"/>
    <w:rsid w:val="00EE32D0"/>
    <w:rsid w:val="00EF0ECA"/>
    <w:rsid w:val="00EF6E09"/>
    <w:rsid w:val="00EF77E9"/>
    <w:rsid w:val="00F0110D"/>
    <w:rsid w:val="00F03245"/>
    <w:rsid w:val="00F03767"/>
    <w:rsid w:val="00F26EEF"/>
    <w:rsid w:val="00F40580"/>
    <w:rsid w:val="00F70352"/>
    <w:rsid w:val="00F70D85"/>
    <w:rsid w:val="00F759E0"/>
    <w:rsid w:val="00F823CA"/>
    <w:rsid w:val="00F82A33"/>
    <w:rsid w:val="00F90C4B"/>
    <w:rsid w:val="00FD4CB1"/>
    <w:rsid w:val="00FD5183"/>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F8DE"/>
  <w15:docId w15:val="{69543132-209A-4D50-B77C-F7DD8732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locked/>
    <w:rsid w:val="000532CC"/>
    <w:rPr>
      <w:sz w:val="16"/>
      <w:szCs w:val="16"/>
    </w:rPr>
  </w:style>
  <w:style w:type="paragraph" w:styleId="CommentText">
    <w:name w:val="annotation text"/>
    <w:basedOn w:val="Normal"/>
    <w:link w:val="CommentTextChar"/>
    <w:uiPriority w:val="99"/>
    <w:semiHidden/>
    <w:unhideWhenUsed/>
    <w:locked/>
    <w:rsid w:val="000532CC"/>
    <w:rPr>
      <w:sz w:val="20"/>
      <w:szCs w:val="20"/>
    </w:rPr>
  </w:style>
  <w:style w:type="character" w:customStyle="1" w:styleId="CommentTextChar">
    <w:name w:val="Comment Text Char"/>
    <w:basedOn w:val="DefaultParagraphFont"/>
    <w:link w:val="CommentText"/>
    <w:uiPriority w:val="99"/>
    <w:semiHidden/>
    <w:rsid w:val="000532CC"/>
    <w:rPr>
      <w:sz w:val="20"/>
      <w:szCs w:val="20"/>
    </w:rPr>
  </w:style>
  <w:style w:type="paragraph" w:styleId="CommentSubject">
    <w:name w:val="annotation subject"/>
    <w:basedOn w:val="CommentText"/>
    <w:next w:val="CommentText"/>
    <w:link w:val="CommentSubjectChar"/>
    <w:uiPriority w:val="99"/>
    <w:semiHidden/>
    <w:unhideWhenUsed/>
    <w:locked/>
    <w:rsid w:val="000532CC"/>
    <w:rPr>
      <w:b/>
      <w:bCs/>
    </w:rPr>
  </w:style>
  <w:style w:type="character" w:customStyle="1" w:styleId="CommentSubjectChar">
    <w:name w:val="Comment Subject Char"/>
    <w:basedOn w:val="CommentTextChar"/>
    <w:link w:val="CommentSubject"/>
    <w:uiPriority w:val="99"/>
    <w:semiHidden/>
    <w:rsid w:val="000532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smarterbalanced.org/wp-content/uploads/2015/09/Usability-Accessibility-Accomodations-Guidelin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0324-B9AD-43AE-816C-246A13BF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3</cp:revision>
  <cp:lastPrinted>2011-01-26T23:28:00Z</cp:lastPrinted>
  <dcterms:created xsi:type="dcterms:W3CDTF">2016-03-19T14:50:00Z</dcterms:created>
  <dcterms:modified xsi:type="dcterms:W3CDTF">2016-03-19T14:50:00Z</dcterms:modified>
</cp:coreProperties>
</file>