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6"/>
        <w:gridCol w:w="6379"/>
      </w:tblGrid>
      <w:tr w:rsidR="00951C73" w:rsidRPr="00951C73" w14:paraId="17603EAE" w14:textId="77777777" w:rsidTr="00951C73">
        <w:trPr>
          <w:cantSplit/>
        </w:trPr>
        <w:tc>
          <w:tcPr>
            <w:tcW w:w="3066" w:type="dxa"/>
          </w:tcPr>
          <w:p w14:paraId="185CF936" w14:textId="77777777" w:rsidR="00951C73" w:rsidRPr="00951C73" w:rsidRDefault="00951C73" w:rsidP="00951C73">
            <w:r w:rsidRPr="00951C73">
              <w:rPr>
                <w:noProof/>
              </w:rPr>
              <w:drawing>
                <wp:inline distT="0" distB="0" distL="0" distR="0" wp14:anchorId="0F7EA822" wp14:editId="0904E49D">
                  <wp:extent cx="1447800" cy="461431"/>
                  <wp:effectExtent l="0" t="0" r="0" b="0"/>
                  <wp:docPr id="2" name="Picture 1" descr="SmarterBalanced_logo_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erBalanced_logo_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767" cy="47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41D1596B" w14:textId="3466E302" w:rsidR="00951C73" w:rsidRPr="00951C73" w:rsidRDefault="005E0778" w:rsidP="0064426F">
            <w:pPr>
              <w:pStyle w:val="Title"/>
            </w:pPr>
            <w:r>
              <w:t>Data Format</w:t>
            </w:r>
            <w:r>
              <w:br/>
              <w:t>Specification Standards</w:t>
            </w:r>
            <w:r w:rsidR="0087187E">
              <w:br/>
            </w:r>
            <w:r w:rsidR="0064426F">
              <w:rPr>
                <w:rStyle w:val="SubtitleChar"/>
              </w:rPr>
              <w:t>Version 1.0 2</w:t>
            </w:r>
            <w:r w:rsidR="00F54161">
              <w:rPr>
                <w:rStyle w:val="SubtitleChar"/>
              </w:rPr>
              <w:t>4</w:t>
            </w:r>
            <w:r w:rsidR="0064426F">
              <w:rPr>
                <w:rStyle w:val="SubtitleChar"/>
              </w:rPr>
              <w:t xml:space="preserve"> March 2014</w:t>
            </w:r>
          </w:p>
        </w:tc>
      </w:tr>
    </w:tbl>
    <w:p w14:paraId="625166C3" w14:textId="77777777" w:rsidR="0087187E" w:rsidRDefault="005E0778" w:rsidP="00BA58E8">
      <w:pPr>
        <w:pStyle w:val="Heading1"/>
      </w:pPr>
      <w:r>
        <w:t>Introduction</w:t>
      </w:r>
    </w:p>
    <w:p w14:paraId="67E0209A" w14:textId="7F4996BF" w:rsidR="005E0778" w:rsidRDefault="005E0778" w:rsidP="005E0778">
      <w:r>
        <w:t>It is very important that the data formats exchanged between components in the Smarter Balanced assessment delivery system be well-designed and well-documented. Each format governs multiple components</w:t>
      </w:r>
      <w:r w:rsidR="00284E70">
        <w:t>,</w:t>
      </w:r>
      <w:r>
        <w:t xml:space="preserve"> and the</w:t>
      </w:r>
      <w:r w:rsidR="00685A45">
        <w:t>se formats</w:t>
      </w:r>
      <w:r>
        <w:t xml:space="preserve"> will have greater longevity than their corresponding source code. Accordingly, Smarter Balanced has defined the</w:t>
      </w:r>
      <w:r w:rsidR="00685A45">
        <w:t xml:space="preserve"> following</w:t>
      </w:r>
      <w:r>
        <w:t xml:space="preserve"> standards for data format specifications.</w:t>
      </w:r>
    </w:p>
    <w:p w14:paraId="1C4FA504" w14:textId="562472CF" w:rsidR="005E0778" w:rsidRDefault="005E0778" w:rsidP="005E0778">
      <w:r>
        <w:t>These standards are to be used when designing data formats, when documenting them</w:t>
      </w:r>
      <w:r w:rsidR="00284E70">
        <w:t>,</w:t>
      </w:r>
      <w:r>
        <w:t xml:space="preserve"> and when reviewing them. Any variation from these standards will require </w:t>
      </w:r>
      <w:r w:rsidR="00685A45">
        <w:t>explanation</w:t>
      </w:r>
      <w:r>
        <w:t xml:space="preserve"> in the data format documentation</w:t>
      </w:r>
      <w:r w:rsidR="00284E70">
        <w:t>,</w:t>
      </w:r>
      <w:r>
        <w:t xml:space="preserve"> and that variation will have to be approved as part of the data format review process.</w:t>
      </w:r>
    </w:p>
    <w:p w14:paraId="367A419A" w14:textId="77777777" w:rsidR="005E0778" w:rsidRDefault="00685A45" w:rsidP="005E0778">
      <w:r>
        <w:t xml:space="preserve">These standards are designed according to the </w:t>
      </w:r>
      <w:hyperlink r:id="rId10" w:history="1">
        <w:r w:rsidRPr="004F47A4">
          <w:rPr>
            <w:rStyle w:val="Hyperlink"/>
          </w:rPr>
          <w:t>Four-Layer Framework for Data Standards</w:t>
        </w:r>
      </w:hyperlink>
      <w:r>
        <w:t>. Accordingly, they are divided into</w:t>
      </w:r>
      <w:r w:rsidR="005E0778">
        <w:t xml:space="preserve"> the following sections:</w:t>
      </w:r>
    </w:p>
    <w:p w14:paraId="0B337ECD" w14:textId="77777777" w:rsidR="005E0778" w:rsidRDefault="003A6883" w:rsidP="003A6883">
      <w:pPr>
        <w:pStyle w:val="ListParagraph"/>
        <w:numPr>
          <w:ilvl w:val="0"/>
          <w:numId w:val="29"/>
        </w:numPr>
      </w:pPr>
      <w:r>
        <w:t>Data Dictionary</w:t>
      </w:r>
    </w:p>
    <w:p w14:paraId="51942762" w14:textId="77777777" w:rsidR="003A6883" w:rsidRDefault="003A6883" w:rsidP="003A6883">
      <w:pPr>
        <w:pStyle w:val="ListParagraph"/>
        <w:numPr>
          <w:ilvl w:val="0"/>
          <w:numId w:val="29"/>
        </w:numPr>
      </w:pPr>
      <w:r>
        <w:t xml:space="preserve">Data </w:t>
      </w:r>
      <w:r w:rsidR="004F47A4">
        <w:t>Model</w:t>
      </w:r>
      <w:r w:rsidR="00D01055">
        <w:t xml:space="preserve"> and </w:t>
      </w:r>
      <w:r w:rsidR="008D266C">
        <w:t>Serialization</w:t>
      </w:r>
    </w:p>
    <w:p w14:paraId="3BB7BB2F" w14:textId="77777777" w:rsidR="003A6883" w:rsidRDefault="003A6883" w:rsidP="003A6883">
      <w:pPr>
        <w:pStyle w:val="ListParagraph"/>
        <w:numPr>
          <w:ilvl w:val="0"/>
          <w:numId w:val="29"/>
        </w:numPr>
      </w:pPr>
      <w:r>
        <w:t>Data Exchange Protocol</w:t>
      </w:r>
    </w:p>
    <w:p w14:paraId="1294D916" w14:textId="77777777" w:rsidR="003A6883" w:rsidRDefault="003A6883" w:rsidP="003A6883">
      <w:r>
        <w:t xml:space="preserve">The key words "MUST", "MUST NOT", "REQUIRED", "SHALL", "SHALL NOT", "SHOULD", "SHOULD NOT", "RECOMMENDED", "MAY", and "OPTIONAL" in this document are to be interpreted as described in </w:t>
      </w:r>
      <w:hyperlink r:id="rId11" w:history="1">
        <w:r w:rsidRPr="003A6883">
          <w:rPr>
            <w:rStyle w:val="Hyperlink"/>
          </w:rPr>
          <w:t>RFC 2119</w:t>
        </w:r>
      </w:hyperlink>
      <w:r>
        <w:t>. All Smarter Balanced Data Format Specifications SHOULD use the same convention.</w:t>
      </w:r>
    </w:p>
    <w:p w14:paraId="0A764687" w14:textId="4B93DACE" w:rsidR="00CB4332" w:rsidRDefault="009B7B09" w:rsidP="00CB4332">
      <w:r>
        <w:t>Format documents MUST include version numbers, approval status</w:t>
      </w:r>
      <w:r w:rsidR="00284E70">
        <w:t>,</w:t>
      </w:r>
      <w:r>
        <w:t xml:space="preserve"> and corresponding dates.</w:t>
      </w:r>
      <w:r w:rsidR="00EC2849">
        <w:t xml:space="preserve"> Versions SHOULD include major and minor version numbers delimited by a decimal point (e.g. 3.4).</w:t>
      </w:r>
      <w:r>
        <w:t xml:space="preserve"> The Data Dictionary, Data Model</w:t>
      </w:r>
      <w:r w:rsidR="00284E70">
        <w:t>,</w:t>
      </w:r>
      <w:r>
        <w:t xml:space="preserve"> and Serialization SHOULD all share the same version number. Data Exchange Protocols SHOULD </w:t>
      </w:r>
      <w:r w:rsidR="00EC2849">
        <w:t>share the same major version number with the corresponding Dictionary, Model</w:t>
      </w:r>
      <w:r w:rsidR="00284E70">
        <w:t>,</w:t>
      </w:r>
      <w:r w:rsidR="00EC2849">
        <w:t xml:space="preserve"> and Serialization</w:t>
      </w:r>
      <w:r w:rsidR="00284E70">
        <w:t>,</w:t>
      </w:r>
      <w:r w:rsidR="00EC2849">
        <w:t xml:space="preserve"> but minor version numbers MAY be incremented independently</w:t>
      </w:r>
      <w:r>
        <w:t>. Version numbers SHOULD NOT be updated unless material changes have been made to the specification.</w:t>
      </w:r>
    </w:p>
    <w:p w14:paraId="5845C75E" w14:textId="023DE968" w:rsidR="0005787D" w:rsidRDefault="0005787D" w:rsidP="0005787D">
      <w:r>
        <w:t xml:space="preserve">While it is required to include references to existing standards from which elements are drawn, the specification document is the authoritative source. Therefore, it </w:t>
      </w:r>
      <w:r w:rsidR="00364574">
        <w:t>MUST</w:t>
      </w:r>
      <w:r>
        <w:t xml:space="preserve"> include all information necessary to implement the data format or protocol</w:t>
      </w:r>
      <w:r w:rsidR="00284E70">
        <w:t>,</w:t>
      </w:r>
      <w:r>
        <w:t xml:space="preserve"> and if there is any disagreement between the specification and a referenced source, the specification, not the referenced document, </w:t>
      </w:r>
      <w:r w:rsidR="00364574">
        <w:t>SHOULD</w:t>
      </w:r>
      <w:r>
        <w:t xml:space="preserve"> be followed. A statement to this effect SHOULD be included at the beginning of the specification.</w:t>
      </w:r>
    </w:p>
    <w:p w14:paraId="33B33C0F" w14:textId="767C4E21" w:rsidR="003A6883" w:rsidRDefault="003A6883" w:rsidP="00CB4332">
      <w:pPr>
        <w:pStyle w:val="Heading1"/>
      </w:pPr>
      <w:r>
        <w:t>Data Dictionary</w:t>
      </w:r>
    </w:p>
    <w:p w14:paraId="7E13CD4F" w14:textId="77777777" w:rsidR="003A6883" w:rsidRDefault="003A6883" w:rsidP="003A6883">
      <w:r>
        <w:t>Every data format specification MUST have a Data Dictionary as the first major section. The Data Dictionary MUS</w:t>
      </w:r>
      <w:r w:rsidR="00010827">
        <w:t xml:space="preserve">T declare every element, attribute, or field in the data format. </w:t>
      </w:r>
      <w:r w:rsidR="00685A45">
        <w:t xml:space="preserve">With the exception of the section on XML, this document uses </w:t>
      </w:r>
      <w:r w:rsidR="00010827">
        <w:t>“element” as a generic term to include elements</w:t>
      </w:r>
      <w:r w:rsidR="00685A45">
        <w:t>,</w:t>
      </w:r>
      <w:r w:rsidR="00010827">
        <w:t xml:space="preserve"> attributes</w:t>
      </w:r>
      <w:r w:rsidR="00685A45">
        <w:t>,</w:t>
      </w:r>
      <w:r w:rsidR="00010827">
        <w:t xml:space="preserve"> and fields.</w:t>
      </w:r>
    </w:p>
    <w:p w14:paraId="58B842F0" w14:textId="77777777" w:rsidR="00C21625" w:rsidRDefault="00C21625" w:rsidP="00C21625">
      <w:pPr>
        <w:pStyle w:val="Heading2"/>
      </w:pPr>
      <w:r>
        <w:t>AIF, CEDS and Other Existing Data Standards</w:t>
      </w:r>
    </w:p>
    <w:p w14:paraId="2FECD91D" w14:textId="2C213574" w:rsidR="00C21625" w:rsidRDefault="00C21625" w:rsidP="00C21625">
      <w:r>
        <w:t xml:space="preserve">Element names and definitions SHOULD be drawn from the </w:t>
      </w:r>
      <w:r w:rsidR="00685A45">
        <w:t xml:space="preserve">following sources, </w:t>
      </w:r>
      <w:r w:rsidR="00685A45" w:rsidRPr="00685A45">
        <w:rPr>
          <w:i/>
        </w:rPr>
        <w:t xml:space="preserve">listed </w:t>
      </w:r>
      <w:r w:rsidR="00793C2F">
        <w:rPr>
          <w:i/>
        </w:rPr>
        <w:t xml:space="preserve">below </w:t>
      </w:r>
      <w:r w:rsidR="00685A45" w:rsidRPr="00685A45">
        <w:rPr>
          <w:i/>
        </w:rPr>
        <w:t>in order of preference</w:t>
      </w:r>
      <w:r w:rsidR="00685A45">
        <w:t xml:space="preserve">. </w:t>
      </w:r>
      <w:r>
        <w:t>It should be rare to encounter an element that is not already defined by one of the</w:t>
      </w:r>
      <w:r w:rsidR="00685A45">
        <w:t>se</w:t>
      </w:r>
      <w:r>
        <w:t>:</w:t>
      </w:r>
    </w:p>
    <w:p w14:paraId="2C5204E7" w14:textId="77777777" w:rsidR="00C21625" w:rsidRDefault="00C21625" w:rsidP="00C21625">
      <w:pPr>
        <w:pStyle w:val="ListParagraph"/>
        <w:numPr>
          <w:ilvl w:val="0"/>
          <w:numId w:val="33"/>
        </w:numPr>
      </w:pPr>
      <w:r>
        <w:lastRenderedPageBreak/>
        <w:t xml:space="preserve">Assessment Interoperability Framework (AIF): </w:t>
      </w:r>
      <w:hyperlink r:id="rId12" w:history="1">
        <w:r w:rsidRPr="00167210">
          <w:rPr>
            <w:rStyle w:val="Hyperlink"/>
          </w:rPr>
          <w:t>https://ceds.ed.gov/aif.aspx</w:t>
        </w:r>
      </w:hyperlink>
      <w:r w:rsidR="00FD6585" w:rsidRPr="00FD6585">
        <w:t xml:space="preserve"> </w:t>
      </w:r>
      <w:r w:rsidR="00FD6585">
        <w:t>(In most cases, AIF standards have been incorporated into CEDS. Accordingly, the element references will be to CEDS rather than AIF.)</w:t>
      </w:r>
    </w:p>
    <w:p w14:paraId="6192E3D0" w14:textId="77777777" w:rsidR="00C21625" w:rsidRDefault="00C21625" w:rsidP="00C21625">
      <w:pPr>
        <w:pStyle w:val="ListParagraph"/>
        <w:numPr>
          <w:ilvl w:val="0"/>
          <w:numId w:val="33"/>
        </w:numPr>
      </w:pPr>
      <w:r>
        <w:t xml:space="preserve">Common Education Data Standards (CEDS): </w:t>
      </w:r>
      <w:hyperlink r:id="rId13" w:history="1">
        <w:r w:rsidRPr="00167210">
          <w:rPr>
            <w:rStyle w:val="Hyperlink"/>
          </w:rPr>
          <w:t>https://ceds.ed.gov/</w:t>
        </w:r>
      </w:hyperlink>
    </w:p>
    <w:p w14:paraId="5B3A90DB" w14:textId="77777777" w:rsidR="00C21625" w:rsidRDefault="00C21625" w:rsidP="00C21625">
      <w:pPr>
        <w:pStyle w:val="ListParagraph"/>
        <w:numPr>
          <w:ilvl w:val="0"/>
          <w:numId w:val="33"/>
        </w:numPr>
      </w:pPr>
      <w:r>
        <w:t xml:space="preserve">Learning Resource Metadata Initiative (LRMI): </w:t>
      </w:r>
      <w:hyperlink r:id="rId14" w:history="1">
        <w:r w:rsidRPr="00167210">
          <w:rPr>
            <w:rStyle w:val="Hyperlink"/>
          </w:rPr>
          <w:t>http://www.lrmi.net/</w:t>
        </w:r>
      </w:hyperlink>
    </w:p>
    <w:p w14:paraId="70D409C8" w14:textId="77777777" w:rsidR="00C21625" w:rsidRPr="00F40D6D" w:rsidRDefault="0077075B" w:rsidP="00C21625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</w:rPr>
      </w:pPr>
      <w:r>
        <w:t xml:space="preserve">Schema.org: </w:t>
      </w:r>
      <w:hyperlink r:id="rId15" w:history="1">
        <w:r w:rsidRPr="00167210">
          <w:rPr>
            <w:rStyle w:val="Hyperlink"/>
          </w:rPr>
          <w:t>http://schema.org</w:t>
        </w:r>
      </w:hyperlink>
    </w:p>
    <w:p w14:paraId="29A78ED9" w14:textId="2466C980" w:rsidR="00F40D6D" w:rsidRDefault="00F40D6D" w:rsidP="00F40D6D">
      <w:pPr>
        <w:pStyle w:val="ListParagraph"/>
        <w:numPr>
          <w:ilvl w:val="0"/>
          <w:numId w:val="33"/>
        </w:numPr>
      </w:pPr>
      <w:r>
        <w:t xml:space="preserve">Learning Object Metadata: </w:t>
      </w:r>
      <w:hyperlink r:id="rId16" w:history="1">
        <w:r w:rsidR="00A16D2A" w:rsidRPr="00AD215C">
          <w:rPr>
            <w:rStyle w:val="Hyperlink"/>
          </w:rPr>
          <w:t>http://ltsc.ieee.org/wg12/</w:t>
        </w:r>
      </w:hyperlink>
      <w:r w:rsidR="00A16D2A">
        <w:t xml:space="preserve"> </w:t>
      </w:r>
    </w:p>
    <w:p w14:paraId="118830E6" w14:textId="77777777" w:rsidR="0077075B" w:rsidRDefault="0077075B" w:rsidP="0077075B">
      <w:pPr>
        <w:pStyle w:val="ListParagraph"/>
        <w:numPr>
          <w:ilvl w:val="0"/>
          <w:numId w:val="33"/>
        </w:numPr>
      </w:pPr>
      <w:r>
        <w:t xml:space="preserve">Dublin Core: </w:t>
      </w:r>
      <w:hyperlink r:id="rId17" w:history="1">
        <w:r w:rsidRPr="00167210">
          <w:rPr>
            <w:rStyle w:val="Hyperlink"/>
          </w:rPr>
          <w:t>http://dublincore.org/</w:t>
        </w:r>
      </w:hyperlink>
    </w:p>
    <w:p w14:paraId="46E1E50D" w14:textId="4A7FB9F2" w:rsidR="00E35816" w:rsidRDefault="00E35816" w:rsidP="00E35816">
      <w:pPr>
        <w:pStyle w:val="Heading2"/>
      </w:pPr>
      <w:r>
        <w:t>Reference</w:t>
      </w:r>
    </w:p>
    <w:p w14:paraId="30C8A91E" w14:textId="113FBC8A" w:rsidR="00FD6585" w:rsidRDefault="00FD6585" w:rsidP="00FD6585">
      <w:r>
        <w:t>The Data Dictionary MUST include a “Reference” column that SHOULD contain a reference to the origin of the element definition</w:t>
      </w:r>
      <w:r w:rsidR="00284E70">
        <w:t>,</w:t>
      </w:r>
      <w:r>
        <w:t xml:space="preserve"> whether</w:t>
      </w:r>
      <w:r w:rsidR="00E35816">
        <w:t xml:space="preserve"> from</w:t>
      </w:r>
      <w:r>
        <w:t xml:space="preserve"> one of the above standards or from elsewhere. The reference SHOULD include the version number of the referenced standard and a URL to the element definition.</w:t>
      </w:r>
      <w:r w:rsidR="00E35816">
        <w:t xml:space="preserve"> In cases where the existing standard doesn’t offer URLs directly to the element level, the reference SHOULD be a URL to the overall standard</w:t>
      </w:r>
      <w:r w:rsidR="00284E70">
        <w:t>,</w:t>
      </w:r>
      <w:r w:rsidR="00E35816">
        <w:t xml:space="preserve"> with additional information on how to find the actual element. (e.g. </w:t>
      </w:r>
      <w:hyperlink r:id="rId18" w:history="1">
        <w:r w:rsidR="00E35816" w:rsidRPr="00986FC5">
          <w:rPr>
            <w:rStyle w:val="Hyperlink"/>
          </w:rPr>
          <w:t>http://somestandard.org/document.pdf</w:t>
        </w:r>
      </w:hyperlink>
      <w:r w:rsidR="00E35816">
        <w:t>, page: 3, heading: SomeElement).</w:t>
      </w:r>
      <w:r>
        <w:t xml:space="preserve"> The reference column SHOULD also describe any variation from the referenced standard</w:t>
      </w:r>
      <w:r w:rsidR="00284E70">
        <w:t>,</w:t>
      </w:r>
      <w:r>
        <w:t xml:space="preserve"> such as name or field length.</w:t>
      </w:r>
    </w:p>
    <w:p w14:paraId="1D0CBB44" w14:textId="77777777" w:rsidR="0077075B" w:rsidRDefault="0077075B" w:rsidP="0077075B">
      <w:pPr>
        <w:pStyle w:val="Heading2"/>
      </w:pPr>
      <w:r>
        <w:t>Element Names</w:t>
      </w:r>
    </w:p>
    <w:p w14:paraId="0C78F19A" w14:textId="77777777" w:rsidR="0077075B" w:rsidRDefault="0077075B" w:rsidP="0077075B">
      <w:r>
        <w:t>Element names SHOULD meet the following rules. When rules conflict, the first</w:t>
      </w:r>
      <w:r w:rsidR="00793C2F">
        <w:t xml:space="preserve"> of the conflicting rules, as listed below,</w:t>
      </w:r>
      <w:r w:rsidR="001E0CBE">
        <w:t xml:space="preserve"> </w:t>
      </w:r>
      <w:r>
        <w:t>takes precedence.</w:t>
      </w:r>
    </w:p>
    <w:p w14:paraId="16D968E1" w14:textId="77777777" w:rsidR="0077075B" w:rsidRDefault="0077075B" w:rsidP="0077075B">
      <w:pPr>
        <w:pStyle w:val="ListParagraph"/>
        <w:numPr>
          <w:ilvl w:val="0"/>
          <w:numId w:val="34"/>
        </w:numPr>
      </w:pPr>
      <w:r>
        <w:t>Names MUST meet the requirements of the chosen data format (e.g. XML, CSV)</w:t>
      </w:r>
    </w:p>
    <w:p w14:paraId="2D99419A" w14:textId="77777777" w:rsidR="00A548A4" w:rsidRDefault="00A548A4" w:rsidP="00A548A4">
      <w:pPr>
        <w:pStyle w:val="ListParagraph"/>
        <w:numPr>
          <w:ilvl w:val="0"/>
          <w:numId w:val="34"/>
        </w:numPr>
      </w:pPr>
      <w:r>
        <w:t xml:space="preserve">Names MUST be unique within a particular </w:t>
      </w:r>
      <w:r w:rsidR="00C50D00">
        <w:t>Data Dictionary</w:t>
      </w:r>
      <w:r>
        <w:t>.</w:t>
      </w:r>
    </w:p>
    <w:p w14:paraId="6B767DD2" w14:textId="5530AC1C" w:rsidR="0077075B" w:rsidRDefault="0077075B" w:rsidP="0077075B">
      <w:pPr>
        <w:pStyle w:val="ListParagraph"/>
        <w:numPr>
          <w:ilvl w:val="0"/>
          <w:numId w:val="34"/>
        </w:numPr>
      </w:pPr>
      <w:r>
        <w:t xml:space="preserve">Names SHOULD start with a </w:t>
      </w:r>
      <w:r w:rsidRPr="005C68A8">
        <w:t xml:space="preserve">letter and </w:t>
      </w:r>
      <w:r w:rsidR="005C68A8">
        <w:t xml:space="preserve">MUST </w:t>
      </w:r>
      <w:r w:rsidRPr="005C68A8">
        <w:t>be composed</w:t>
      </w:r>
      <w:r w:rsidR="00685A45">
        <w:t xml:space="preserve"> strictly</w:t>
      </w:r>
      <w:r>
        <w:t xml:space="preserve"> of letters, digits</w:t>
      </w:r>
      <w:r w:rsidR="00284E70">
        <w:t>,</w:t>
      </w:r>
      <w:r>
        <w:t xml:space="preserve"> and the underscore “_” character.</w:t>
      </w:r>
    </w:p>
    <w:p w14:paraId="3BC5C911" w14:textId="77777777" w:rsidR="0051549F" w:rsidRDefault="0077075B" w:rsidP="0077075B">
      <w:pPr>
        <w:pStyle w:val="ListParagraph"/>
        <w:numPr>
          <w:ilvl w:val="0"/>
          <w:numId w:val="34"/>
        </w:numPr>
      </w:pPr>
      <w:r>
        <w:t>Names SHOULD be the same as the name from the specified data standard.</w:t>
      </w:r>
      <w:r w:rsidR="00546672">
        <w:t xml:space="preserve"> </w:t>
      </w:r>
    </w:p>
    <w:p w14:paraId="4DFFCCE4" w14:textId="77777777" w:rsidR="00D11246" w:rsidRDefault="00546672" w:rsidP="001E0CBE">
      <w:pPr>
        <w:pStyle w:val="ListParagraph"/>
        <w:numPr>
          <w:ilvl w:val="1"/>
          <w:numId w:val="34"/>
        </w:numPr>
      </w:pPr>
      <w:r>
        <w:t>For CEDS, this means that the “Element Technical Name” should be used.</w:t>
      </w:r>
    </w:p>
    <w:p w14:paraId="2DBF5AAF" w14:textId="444E2EE0" w:rsidR="0077075B" w:rsidRDefault="00546672" w:rsidP="001E0CBE">
      <w:pPr>
        <w:pStyle w:val="ListParagraph"/>
        <w:numPr>
          <w:ilvl w:val="1"/>
          <w:numId w:val="34"/>
        </w:numPr>
      </w:pPr>
      <w:r>
        <w:t>When the name is contextual</w:t>
      </w:r>
      <w:r w:rsidR="0051549F">
        <w:t>,</w:t>
      </w:r>
      <w:r>
        <w:t xml:space="preserve"> then the name should be prefixed with the appropriate context and </w:t>
      </w:r>
      <w:r w:rsidR="00685A45">
        <w:t>delimited</w:t>
      </w:r>
      <w:r>
        <w:t xml:space="preserve"> with an underscore. For example, in CEDS the element for a school district</w:t>
      </w:r>
      <w:r w:rsidR="00685A45">
        <w:t xml:space="preserve"> name</w:t>
      </w:r>
      <w:r>
        <w:t xml:space="preserve"> (Local Education Authority or LEA</w:t>
      </w:r>
      <w:r w:rsidR="00685A45">
        <w:t xml:space="preserve"> name</w:t>
      </w:r>
      <w:r>
        <w:t xml:space="preserve">) is </w:t>
      </w:r>
      <w:r w:rsidR="0051549F">
        <w:t>“</w:t>
      </w:r>
      <w:hyperlink r:id="rId19" w:history="1">
        <w:r w:rsidRPr="00546672">
          <w:rPr>
            <w:rStyle w:val="Hyperlink"/>
          </w:rPr>
          <w:t>OrganizationName</w:t>
        </w:r>
      </w:hyperlink>
      <w:r w:rsidR="0051549F">
        <w:t>”</w:t>
      </w:r>
      <w:r>
        <w:t>. However, this element is also used for the names of other organizations such as the State Education Authority (SEA) and the School (Facility). So, the element name for the name of a School District SHOULD be “LEA_OrganizationName”.</w:t>
      </w:r>
    </w:p>
    <w:p w14:paraId="2106A652" w14:textId="77777777" w:rsidR="00FF72E7" w:rsidRDefault="00FF72E7" w:rsidP="0077075B">
      <w:pPr>
        <w:pStyle w:val="ListParagraph"/>
        <w:numPr>
          <w:ilvl w:val="0"/>
          <w:numId w:val="34"/>
        </w:numPr>
      </w:pPr>
      <w:r>
        <w:t>XML attributes SHOULD be avoided (</w:t>
      </w:r>
      <w:r w:rsidR="001E0CBE">
        <w:t xml:space="preserve">see the XML subsection under “Data Model and Serialization”) </w:t>
      </w:r>
      <w:r>
        <w:t>When they are used, attribute names SHOULD be all lower case.</w:t>
      </w:r>
    </w:p>
    <w:p w14:paraId="17275ADA" w14:textId="77777777" w:rsidR="00546672" w:rsidRPr="0077075B" w:rsidRDefault="00546672" w:rsidP="0077075B">
      <w:pPr>
        <w:pStyle w:val="ListParagraph"/>
        <w:numPr>
          <w:ilvl w:val="0"/>
          <w:numId w:val="34"/>
        </w:numPr>
      </w:pPr>
      <w:r>
        <w:t>Names</w:t>
      </w:r>
      <w:r w:rsidR="00FF72E7">
        <w:t xml:space="preserve"> of all other elements</w:t>
      </w:r>
      <w:r>
        <w:t xml:space="preserve"> </w:t>
      </w:r>
      <w:r w:rsidR="00A548A4">
        <w:t>SHOULD</w:t>
      </w:r>
      <w:r>
        <w:t xml:space="preserve"> use </w:t>
      </w:r>
      <w:hyperlink r:id="rId20" w:history="1">
        <w:r w:rsidR="00A548A4" w:rsidRPr="00A548A4">
          <w:rPr>
            <w:rStyle w:val="Hyperlink"/>
          </w:rPr>
          <w:t>upper camel case</w:t>
        </w:r>
      </w:hyperlink>
      <w:r w:rsidR="001E0CBE">
        <w:t xml:space="preserve"> (</w:t>
      </w:r>
      <w:r w:rsidR="00B43CB5">
        <w:t>e</w:t>
      </w:r>
      <w:r w:rsidR="00A548A4">
        <w:t>.g.</w:t>
      </w:r>
      <w:r w:rsidR="00B43CB5">
        <w:t>,</w:t>
      </w:r>
      <w:r w:rsidR="00A548A4">
        <w:t xml:space="preserve"> “UpperCamelCase”</w:t>
      </w:r>
      <w:r w:rsidR="00B43CB5">
        <w:t>).</w:t>
      </w:r>
    </w:p>
    <w:p w14:paraId="5BD52679" w14:textId="77777777" w:rsidR="00811151" w:rsidRDefault="00811151" w:rsidP="00811151">
      <w:pPr>
        <w:pStyle w:val="Heading2"/>
      </w:pPr>
      <w:r>
        <w:t>Simple Elements</w:t>
      </w:r>
    </w:p>
    <w:p w14:paraId="1B31E286" w14:textId="77777777" w:rsidR="0072289F" w:rsidRDefault="00010827" w:rsidP="003A6883">
      <w:r>
        <w:t>Simple elements are those that contain data but no other elements</w:t>
      </w:r>
      <w:r w:rsidR="00C21625">
        <w:t>.</w:t>
      </w:r>
      <w:r>
        <w:t xml:space="preserve"> Simple elements MUST be fully </w:t>
      </w:r>
      <w:r w:rsidRPr="00380306">
        <w:rPr>
          <w:i/>
        </w:rPr>
        <w:t>defined</w:t>
      </w:r>
      <w:r>
        <w:t xml:space="preserve"> in</w:t>
      </w:r>
      <w:r w:rsidR="00D01055">
        <w:t xml:space="preserve"> the </w:t>
      </w:r>
      <w:r w:rsidR="005D0EC1">
        <w:t>D</w:t>
      </w:r>
      <w:r w:rsidR="00D01055">
        <w:t xml:space="preserve">ata </w:t>
      </w:r>
      <w:r w:rsidR="005D0EC1">
        <w:t>D</w:t>
      </w:r>
      <w:r w:rsidR="00D01055">
        <w:t>ictionary. At a minimum, each simple element definition MUST include the</w:t>
      </w:r>
      <w:r w:rsidR="0072289F">
        <w:t xml:space="preserve"> following components:</w:t>
      </w:r>
    </w:p>
    <w:p w14:paraId="63CBFE1A" w14:textId="77777777" w:rsidR="0072289F" w:rsidRPr="00C0397D" w:rsidRDefault="0072289F" w:rsidP="00780A6C">
      <w:pPr>
        <w:pStyle w:val="ListParagraph"/>
        <w:numPr>
          <w:ilvl w:val="0"/>
          <w:numId w:val="31"/>
        </w:numPr>
        <w:rPr>
          <w:b/>
        </w:rPr>
      </w:pPr>
      <w:r w:rsidRPr="00C0397D">
        <w:rPr>
          <w:b/>
        </w:rPr>
        <w:t>N</w:t>
      </w:r>
      <w:r w:rsidR="00D01055" w:rsidRPr="00C0397D">
        <w:rPr>
          <w:b/>
        </w:rPr>
        <w:t>ame</w:t>
      </w:r>
    </w:p>
    <w:p w14:paraId="23E019F7" w14:textId="77777777" w:rsidR="0072289F" w:rsidRPr="00780A6C" w:rsidRDefault="00780A6C" w:rsidP="00780A6C">
      <w:pPr>
        <w:pStyle w:val="ListParagraph"/>
        <w:numPr>
          <w:ilvl w:val="0"/>
          <w:numId w:val="31"/>
        </w:numPr>
      </w:pPr>
      <w:r w:rsidRPr="00C0397D">
        <w:rPr>
          <w:b/>
        </w:rPr>
        <w:t>D</w:t>
      </w:r>
      <w:r w:rsidR="00D01055" w:rsidRPr="00C0397D">
        <w:rPr>
          <w:b/>
        </w:rPr>
        <w:t>escription</w:t>
      </w:r>
      <w:r w:rsidR="00C0397D" w:rsidRPr="00C0397D">
        <w:rPr>
          <w:b/>
        </w:rPr>
        <w:t>:</w:t>
      </w:r>
      <w:r>
        <w:t xml:space="preserve"> MUST unambiguously describe </w:t>
      </w:r>
      <w:r w:rsidR="00D01055" w:rsidRPr="00780A6C">
        <w:t>the meaning</w:t>
      </w:r>
      <w:r>
        <w:t xml:space="preserve"> of the element</w:t>
      </w:r>
    </w:p>
    <w:p w14:paraId="6750EF7F" w14:textId="1E7D79E3" w:rsidR="00B43CB5" w:rsidRDefault="0072289F" w:rsidP="00780A6C">
      <w:pPr>
        <w:pStyle w:val="ListParagraph"/>
        <w:numPr>
          <w:ilvl w:val="0"/>
          <w:numId w:val="31"/>
        </w:numPr>
      </w:pPr>
      <w:r w:rsidRPr="00C0397D">
        <w:rPr>
          <w:b/>
        </w:rPr>
        <w:t xml:space="preserve">Acceptable </w:t>
      </w:r>
      <w:r w:rsidR="00780A6C" w:rsidRPr="00C0397D">
        <w:rPr>
          <w:b/>
        </w:rPr>
        <w:t>V</w:t>
      </w:r>
      <w:r w:rsidR="00D01055" w:rsidRPr="00C0397D">
        <w:rPr>
          <w:b/>
        </w:rPr>
        <w:t>alues</w:t>
      </w:r>
      <w:r w:rsidR="00C0397D" w:rsidRPr="00C0397D">
        <w:rPr>
          <w:b/>
        </w:rPr>
        <w:t>:</w:t>
      </w:r>
      <w:r w:rsidR="00C0397D">
        <w:t xml:space="preserve"> I</w:t>
      </w:r>
      <w:r w:rsidR="001E0CBE">
        <w:t>nclud</w:t>
      </w:r>
      <w:r w:rsidR="00BB5E13">
        <w:t>ing</w:t>
      </w:r>
      <w:r w:rsidR="001E0CBE">
        <w:t xml:space="preserve"> definitions of acceptable values</w:t>
      </w:r>
    </w:p>
    <w:p w14:paraId="631FD5FD" w14:textId="2CD08662" w:rsidR="00A548A4" w:rsidRDefault="005C68A8" w:rsidP="00780A6C">
      <w:pPr>
        <w:pStyle w:val="ListParagraph"/>
        <w:numPr>
          <w:ilvl w:val="0"/>
          <w:numId w:val="31"/>
        </w:numPr>
      </w:pPr>
      <w:r>
        <w:rPr>
          <w:b/>
        </w:rPr>
        <w:t xml:space="preserve">Data Standard </w:t>
      </w:r>
      <w:r w:rsidR="00A548A4" w:rsidRPr="005C68A8">
        <w:rPr>
          <w:b/>
        </w:rPr>
        <w:t>Reference</w:t>
      </w:r>
      <w:r w:rsidR="00C0397D" w:rsidRPr="00C0397D">
        <w:rPr>
          <w:b/>
        </w:rPr>
        <w:t>:</w:t>
      </w:r>
      <w:r w:rsidR="00A548A4">
        <w:t xml:space="preserve"> </w:t>
      </w:r>
      <w:r w:rsidR="00C0397D">
        <w:t xml:space="preserve">A reference to a source element in a </w:t>
      </w:r>
      <w:r w:rsidR="001E0CBE">
        <w:t>data standard from which the element was adopted</w:t>
      </w:r>
      <w:r w:rsidR="00284E70">
        <w:t xml:space="preserve"> and a</w:t>
      </w:r>
      <w:r w:rsidR="001E0CBE">
        <w:t xml:space="preserve"> </w:t>
      </w:r>
      <w:r w:rsidR="00A548A4">
        <w:t>URL whenever available</w:t>
      </w:r>
      <w:r w:rsidR="001E0CBE">
        <w:t xml:space="preserve">. </w:t>
      </w:r>
      <w:r w:rsidR="00A16D2A">
        <w:t>SHOULD also include a d</w:t>
      </w:r>
      <w:r w:rsidR="00BB5E13">
        <w:t>escription of any</w:t>
      </w:r>
      <w:r w:rsidR="001E0CBE">
        <w:t xml:space="preserve"> variation from the referenced element.</w:t>
      </w:r>
    </w:p>
    <w:p w14:paraId="57613023" w14:textId="77777777" w:rsidR="00010827" w:rsidRDefault="00D01055" w:rsidP="00780A6C">
      <w:r w:rsidRPr="00780A6C">
        <w:lastRenderedPageBreak/>
        <w:t>Description, acceptable values</w:t>
      </w:r>
      <w:r w:rsidR="00380306" w:rsidRPr="00780A6C">
        <w:t>,</w:t>
      </w:r>
      <w:r w:rsidRPr="00780A6C">
        <w:t xml:space="preserve"> and definitions</w:t>
      </w:r>
      <w:r w:rsidR="00B43CB5">
        <w:t xml:space="preserve"> of the acceptable values</w:t>
      </w:r>
      <w:r w:rsidR="00380306" w:rsidRPr="00780A6C">
        <w:t xml:space="preserve"> SHOULD be written in plain English that is accessible to moderately technical readers.</w:t>
      </w:r>
    </w:p>
    <w:p w14:paraId="468097C4" w14:textId="77777777" w:rsidR="00811151" w:rsidRPr="00780A6C" w:rsidRDefault="00811151" w:rsidP="00811151">
      <w:pPr>
        <w:pStyle w:val="Heading2"/>
      </w:pPr>
      <w:r>
        <w:t>Complex Elements</w:t>
      </w:r>
    </w:p>
    <w:p w14:paraId="4E4B0701" w14:textId="47478DEE" w:rsidR="00780A6C" w:rsidRDefault="00D01055" w:rsidP="003A6883">
      <w:r>
        <w:t xml:space="preserve">Complex elements are those that contain other elements. While complex elements MUST be </w:t>
      </w:r>
      <w:r w:rsidR="00380306" w:rsidRPr="00380306">
        <w:rPr>
          <w:i/>
        </w:rPr>
        <w:t>declared</w:t>
      </w:r>
      <w:r w:rsidR="00380306">
        <w:rPr>
          <w:i/>
        </w:rPr>
        <w:t xml:space="preserve"> </w:t>
      </w:r>
      <w:r w:rsidR="00380306">
        <w:t xml:space="preserve">in the </w:t>
      </w:r>
      <w:r w:rsidR="005D0EC1">
        <w:t>D</w:t>
      </w:r>
      <w:r w:rsidR="00380306">
        <w:t xml:space="preserve">ata </w:t>
      </w:r>
      <w:r w:rsidR="005D0EC1">
        <w:t>D</w:t>
      </w:r>
      <w:r>
        <w:t>ictionary</w:t>
      </w:r>
      <w:r w:rsidR="00284E70">
        <w:t>,</w:t>
      </w:r>
      <w:r w:rsidR="00380306">
        <w:t xml:space="preserve"> a full and unambiguous definition </w:t>
      </w:r>
      <w:r w:rsidR="00685A45">
        <w:t>may require a combination of the Data Dictionary and Data Model</w:t>
      </w:r>
      <w:r w:rsidR="002365B9">
        <w:t xml:space="preserve"> and Serialization</w:t>
      </w:r>
      <w:r w:rsidR="00685A45">
        <w:t xml:space="preserve"> entries</w:t>
      </w:r>
      <w:r w:rsidR="00380306">
        <w:t>. This is because information about the relationships between elements (those containing or contained by other elemen</w:t>
      </w:r>
      <w:r w:rsidR="000C2AE2">
        <w:t>ts) MAY be deferred to the Data Model section of the specification</w:t>
      </w:r>
      <w:r w:rsidR="00380306">
        <w:t xml:space="preserve">. </w:t>
      </w:r>
      <w:r w:rsidR="000C2AE2">
        <w:t>In the Data Dictionary e</w:t>
      </w:r>
      <w:r w:rsidR="00380306">
        <w:t xml:space="preserve">ach complex element </w:t>
      </w:r>
      <w:r w:rsidR="00380306">
        <w:rPr>
          <w:i/>
        </w:rPr>
        <w:t>declaration</w:t>
      </w:r>
      <w:r w:rsidR="00380306">
        <w:t xml:space="preserve"> MUST include the </w:t>
      </w:r>
      <w:r w:rsidR="00780A6C">
        <w:t>following components:</w:t>
      </w:r>
    </w:p>
    <w:p w14:paraId="2F58922C" w14:textId="77777777" w:rsidR="00D01055" w:rsidRPr="00C0397D" w:rsidRDefault="00780A6C" w:rsidP="00780A6C">
      <w:pPr>
        <w:pStyle w:val="ListParagraph"/>
        <w:numPr>
          <w:ilvl w:val="0"/>
          <w:numId w:val="32"/>
        </w:numPr>
        <w:rPr>
          <w:b/>
        </w:rPr>
      </w:pPr>
      <w:r w:rsidRPr="00C0397D">
        <w:rPr>
          <w:b/>
        </w:rPr>
        <w:t>Name</w:t>
      </w:r>
    </w:p>
    <w:p w14:paraId="73EC6F88" w14:textId="32CB3CAE" w:rsidR="00780A6C" w:rsidRPr="00C0397D" w:rsidRDefault="000C2AE2" w:rsidP="00780A6C">
      <w:pPr>
        <w:pStyle w:val="ListParagraph"/>
        <w:numPr>
          <w:ilvl w:val="0"/>
          <w:numId w:val="32"/>
        </w:numPr>
        <w:rPr>
          <w:b/>
        </w:rPr>
      </w:pPr>
      <w:r w:rsidRPr="00C0397D">
        <w:rPr>
          <w:b/>
        </w:rPr>
        <w:t>Description</w:t>
      </w:r>
      <w:r w:rsidR="00B53A6A">
        <w:rPr>
          <w:b/>
        </w:rPr>
        <w:t>:</w:t>
      </w:r>
      <w:r w:rsidR="00B53A6A" w:rsidRPr="00B53A6A">
        <w:t xml:space="preserve"> </w:t>
      </w:r>
      <w:r w:rsidR="00B53A6A">
        <w:t xml:space="preserve">MUST unambiguously describe </w:t>
      </w:r>
      <w:r w:rsidR="00B53A6A" w:rsidRPr="00780A6C">
        <w:t>the meaning</w:t>
      </w:r>
      <w:r w:rsidR="00B53A6A">
        <w:t xml:space="preserve"> of the element</w:t>
      </w:r>
    </w:p>
    <w:p w14:paraId="507FB488" w14:textId="015EE533" w:rsidR="00C21625" w:rsidRDefault="00C21625" w:rsidP="00780A6C">
      <w:pPr>
        <w:pStyle w:val="ListParagraph"/>
        <w:numPr>
          <w:ilvl w:val="0"/>
          <w:numId w:val="32"/>
        </w:numPr>
      </w:pPr>
      <w:r w:rsidRPr="00C0397D">
        <w:rPr>
          <w:b/>
        </w:rPr>
        <w:t>Acceptable Values</w:t>
      </w:r>
      <w:r w:rsidR="00C0397D" w:rsidRPr="00C0397D">
        <w:rPr>
          <w:b/>
        </w:rPr>
        <w:t>:</w:t>
      </w:r>
      <w:r>
        <w:t xml:space="preserve"> </w:t>
      </w:r>
      <w:r w:rsidR="00BB5E13">
        <w:t>Including</w:t>
      </w:r>
      <w:r w:rsidR="00C0397D">
        <w:t xml:space="preserve"> definitions of acceptable values, as applicable</w:t>
      </w:r>
      <w:r w:rsidR="00BB5E13">
        <w:t>.</w:t>
      </w:r>
    </w:p>
    <w:p w14:paraId="4E3DB69F" w14:textId="430DE23B" w:rsidR="00A548A4" w:rsidRDefault="00A548A4" w:rsidP="00780A6C">
      <w:pPr>
        <w:pStyle w:val="ListParagraph"/>
        <w:numPr>
          <w:ilvl w:val="0"/>
          <w:numId w:val="32"/>
        </w:numPr>
      </w:pPr>
      <w:r w:rsidRPr="005C68A8">
        <w:rPr>
          <w:b/>
        </w:rPr>
        <w:t>Data Standard Reference</w:t>
      </w:r>
      <w:r w:rsidR="00C0397D" w:rsidRPr="00C0397D">
        <w:rPr>
          <w:b/>
        </w:rPr>
        <w:t>:</w:t>
      </w:r>
      <w:r>
        <w:t xml:space="preserve"> </w:t>
      </w:r>
      <w:r w:rsidR="00C0397D">
        <w:t>A reference to a source element in a data standard from which the element was adopted</w:t>
      </w:r>
      <w:r w:rsidR="00284E70">
        <w:t xml:space="preserve"> and a</w:t>
      </w:r>
      <w:r w:rsidR="00C0397D">
        <w:t xml:space="preserve"> </w:t>
      </w:r>
      <w:r>
        <w:t>URL whenever available</w:t>
      </w:r>
      <w:r w:rsidR="00C0397D">
        <w:t>.</w:t>
      </w:r>
      <w:r w:rsidR="00BB5E13">
        <w:t xml:space="preserve"> </w:t>
      </w:r>
      <w:r w:rsidR="0076161D">
        <w:t>SHOULD also include a d</w:t>
      </w:r>
      <w:r w:rsidR="00BB5E13">
        <w:t>escription of</w:t>
      </w:r>
      <w:r w:rsidR="00C0397D">
        <w:t xml:space="preserve"> any variation from the referenced element.</w:t>
      </w:r>
    </w:p>
    <w:p w14:paraId="3093DD36" w14:textId="77777777" w:rsidR="00107C54" w:rsidRDefault="00107C54" w:rsidP="00107C54">
      <w:r>
        <w:t xml:space="preserve">Under most circumstances, complex elements SHOULD NOT contain any data that is not </w:t>
      </w:r>
      <w:r w:rsidR="00E000A6">
        <w:t>part of a sub</w:t>
      </w:r>
      <w:r w:rsidR="005D0EC1">
        <w:t>-</w:t>
      </w:r>
      <w:r w:rsidR="00E000A6">
        <w:t>element.</w:t>
      </w:r>
      <w:r w:rsidR="00C21625">
        <w:t xml:space="preserve"> Description and acceptable values SHOULD be written in plain English</w:t>
      </w:r>
      <w:r w:rsidR="005D0EC1" w:rsidRPr="005D0EC1">
        <w:t xml:space="preserve"> </w:t>
      </w:r>
      <w:r w:rsidR="005D0EC1" w:rsidRPr="00780A6C">
        <w:t>that is accessible to moderately technical readers</w:t>
      </w:r>
      <w:r w:rsidR="00C21625">
        <w:t>.</w:t>
      </w:r>
    </w:p>
    <w:p w14:paraId="339A263A" w14:textId="4B0F996F" w:rsidR="00C0397D" w:rsidRDefault="00DB6CD5" w:rsidP="00107C54">
      <w:r>
        <w:t xml:space="preserve">When specifying acceptable values, data dictionaries MAY use references to </w:t>
      </w:r>
      <w:hyperlink r:id="rId21" w:history="1">
        <w:r w:rsidRPr="00DF0E58">
          <w:rPr>
            <w:rStyle w:val="Hyperlink"/>
          </w:rPr>
          <w:t>W3C XML Schema</w:t>
        </w:r>
      </w:hyperlink>
      <w:r>
        <w:t xml:space="preserve"> datatypes using the “xsd:” prefix. For example, “</w:t>
      </w:r>
      <w:hyperlink r:id="rId22" w:history="1">
        <w:r w:rsidRPr="00DB6CD5">
          <w:rPr>
            <w:rStyle w:val="Hyperlink"/>
          </w:rPr>
          <w:t>xsd:normalizedString</w:t>
        </w:r>
      </w:hyperlink>
      <w:r>
        <w:t>”</w:t>
      </w:r>
      <w:r w:rsidR="0019534E">
        <w:t>.</w:t>
      </w:r>
    </w:p>
    <w:p w14:paraId="3BB94F18" w14:textId="1F1CC28C" w:rsidR="00DB6CD5" w:rsidRPr="00C0397D" w:rsidRDefault="0019534E" w:rsidP="00107C54">
      <w:pPr>
        <w:rPr>
          <w:i/>
        </w:rPr>
      </w:pPr>
      <w:r w:rsidRPr="00C0397D">
        <w:rPr>
          <w:i/>
        </w:rPr>
        <w:t>Note that the use of the “xsd:” prefix to reference the “http://www.w3.org/2001/XMLSchema” namespace in data dictionaries is by convention only. Within the Data Model schema files</w:t>
      </w:r>
      <w:r w:rsidR="00284E70">
        <w:rPr>
          <w:i/>
        </w:rPr>
        <w:t>,</w:t>
      </w:r>
      <w:r w:rsidRPr="00C0397D">
        <w:rPr>
          <w:i/>
        </w:rPr>
        <w:t xml:space="preserve"> any prefix MAY be used so long as it is declared properly according to XML syntax.</w:t>
      </w:r>
    </w:p>
    <w:p w14:paraId="4F1C2542" w14:textId="338BFF26" w:rsidR="000C2AE2" w:rsidRDefault="005C68A8" w:rsidP="000C2AE2">
      <w:pPr>
        <w:pStyle w:val="Heading2"/>
      </w:pPr>
      <w:r>
        <w:t xml:space="preserve">Universally </w:t>
      </w:r>
      <w:r w:rsidR="00117F79">
        <w:t>Unique Identifiers</w:t>
      </w:r>
      <w:r w:rsidR="000C2AE2">
        <w:t xml:space="preserve"> (</w:t>
      </w:r>
      <w:r>
        <w:t>UUIDs</w:t>
      </w:r>
      <w:r w:rsidR="000C2AE2">
        <w:t>)</w:t>
      </w:r>
    </w:p>
    <w:p w14:paraId="05CE3124" w14:textId="1632A528" w:rsidR="002D3572" w:rsidRDefault="000C2AE2" w:rsidP="000C2AE2">
      <w:r>
        <w:t>The terms, “Universally Unique Identifier”</w:t>
      </w:r>
      <w:r w:rsidR="005C68A8">
        <w:t xml:space="preserve">, “Globally Unique Identifier”, </w:t>
      </w:r>
      <w:r w:rsidR="0064426F">
        <w:t xml:space="preserve">and </w:t>
      </w:r>
      <w:r>
        <w:t>their acronyms</w:t>
      </w:r>
      <w:r w:rsidR="005C68A8">
        <w:t>, UUID, and</w:t>
      </w:r>
      <w:r>
        <w:t xml:space="preserve"> “GUID”</w:t>
      </w:r>
      <w:r w:rsidR="005C68A8">
        <w:t xml:space="preserve"> are synonymous and</w:t>
      </w:r>
      <w:r>
        <w:t xml:space="preserve"> MUST only be used to refer to </w:t>
      </w:r>
      <w:r w:rsidR="00154AEA">
        <w:t xml:space="preserve">128-bit unique </w:t>
      </w:r>
      <w:r>
        <w:t xml:space="preserve">identifiers generated according to the algorithms and encoding standards of </w:t>
      </w:r>
      <w:hyperlink r:id="rId23" w:history="1">
        <w:r w:rsidRPr="000C2AE2">
          <w:rPr>
            <w:rStyle w:val="Hyperlink"/>
          </w:rPr>
          <w:t>RFC 4122</w:t>
        </w:r>
      </w:hyperlink>
      <w:r w:rsidR="002D3572">
        <w:t>. F</w:t>
      </w:r>
      <w:r>
        <w:t>unctions for</w:t>
      </w:r>
      <w:r w:rsidR="002D3572">
        <w:t xml:space="preserve"> properly</w:t>
      </w:r>
      <w:r>
        <w:t xml:space="preserve"> generating and encoding GUIDs are built into most contemporary programming environments.</w:t>
      </w:r>
    </w:p>
    <w:p w14:paraId="523FF596" w14:textId="2D603B98" w:rsidR="000C2AE2" w:rsidRDefault="002D3572" w:rsidP="000C2AE2">
      <w:r w:rsidRPr="005C68A8">
        <w:t xml:space="preserve">When included in a Smarter </w:t>
      </w:r>
      <w:r w:rsidRPr="007300C9">
        <w:t>Balanced data format</w:t>
      </w:r>
      <w:r w:rsidR="00117F79" w:rsidRPr="007300C9">
        <w:t>,</w:t>
      </w:r>
      <w:r w:rsidRPr="007300C9">
        <w:t xml:space="preserve"> </w:t>
      </w:r>
      <w:r w:rsidR="005C68A8" w:rsidRPr="007300C9">
        <w:t xml:space="preserve">UUIDs </w:t>
      </w:r>
      <w:r w:rsidRPr="007300C9">
        <w:t>MUST be</w:t>
      </w:r>
      <w:r w:rsidRPr="005C68A8">
        <w:t xml:space="preserve"> </w:t>
      </w:r>
      <w:r w:rsidR="00154AEA" w:rsidRPr="005C68A8">
        <w:t>encoded</w:t>
      </w:r>
      <w:r w:rsidRPr="005C68A8">
        <w:t xml:space="preserve"> in 32-character hexadecimal form using lower-case letters, </w:t>
      </w:r>
      <w:r w:rsidR="00F045DA" w:rsidRPr="005C68A8">
        <w:t>with dashes</w:t>
      </w:r>
      <w:r w:rsidR="00F045DA">
        <w:t xml:space="preserve"> after the 8</w:t>
      </w:r>
      <w:r w:rsidR="00F045DA" w:rsidRPr="00F045DA">
        <w:rPr>
          <w:vertAlign w:val="superscript"/>
        </w:rPr>
        <w:t>th</w:t>
      </w:r>
      <w:r w:rsidR="00F045DA">
        <w:t>, 12</w:t>
      </w:r>
      <w:r w:rsidR="00F045DA" w:rsidRPr="00F045DA">
        <w:rPr>
          <w:vertAlign w:val="superscript"/>
        </w:rPr>
        <w:t>th</w:t>
      </w:r>
      <w:r w:rsidR="00F045DA">
        <w:t>, 16</w:t>
      </w:r>
      <w:r w:rsidR="00F045DA" w:rsidRPr="00F045DA">
        <w:rPr>
          <w:vertAlign w:val="superscript"/>
        </w:rPr>
        <w:t>th</w:t>
      </w:r>
      <w:r w:rsidR="00F045DA">
        <w:t>, and 20</w:t>
      </w:r>
      <w:r w:rsidR="00F045DA" w:rsidRPr="00F045DA">
        <w:rPr>
          <w:vertAlign w:val="superscript"/>
        </w:rPr>
        <w:t>th</w:t>
      </w:r>
      <w:r w:rsidR="00F045DA">
        <w:t xml:space="preserve"> digit</w:t>
      </w:r>
      <w:r w:rsidR="00284E70">
        <w:t>,</w:t>
      </w:r>
      <w:r w:rsidR="00F045DA">
        <w:t xml:space="preserve"> with no prefix or brackets</w:t>
      </w:r>
      <w:r w:rsidR="007E6AA2">
        <w:t xml:space="preserve"> (e</w:t>
      </w:r>
      <w:r w:rsidR="00154AEA">
        <w:t>.g.</w:t>
      </w:r>
      <w:r w:rsidR="007E6AA2">
        <w:t>,</w:t>
      </w:r>
      <w:r w:rsidR="00154AEA">
        <w:t xml:space="preserve"> “</w:t>
      </w:r>
      <w:r w:rsidR="00154AEA" w:rsidRPr="00F045DA">
        <w:t>f81d4fae-7dec-11d0-a765-00a0c91e6bf6</w:t>
      </w:r>
      <w:r w:rsidR="00154AEA">
        <w:t>”</w:t>
      </w:r>
      <w:r w:rsidR="007E6AA2">
        <w:t>)</w:t>
      </w:r>
      <w:r w:rsidR="00154AEA">
        <w:t xml:space="preserve">. This is according to </w:t>
      </w:r>
      <w:r w:rsidR="00F045DA">
        <w:t xml:space="preserve">section 3 of </w:t>
      </w:r>
      <w:hyperlink r:id="rId24" w:history="1">
        <w:r w:rsidR="00F045DA" w:rsidRPr="000C2AE2">
          <w:rPr>
            <w:rStyle w:val="Hyperlink"/>
          </w:rPr>
          <w:t>RFC 4122</w:t>
        </w:r>
      </w:hyperlink>
      <w:r w:rsidR="00F045DA">
        <w:t xml:space="preserve"> minus the “urn:uuid:</w:t>
      </w:r>
      <w:r w:rsidR="00154AEA">
        <w:t>”</w:t>
      </w:r>
      <w:r w:rsidR="00F045DA">
        <w:t xml:space="preserve"> prefix. </w:t>
      </w:r>
      <w:r>
        <w:t xml:space="preserve">The order of the hexadecimal digits and mapping to the 128-bit binary form </w:t>
      </w:r>
      <w:r w:rsidR="00F045DA">
        <w:t>MUST</w:t>
      </w:r>
      <w:r>
        <w:t xml:space="preserve"> be </w:t>
      </w:r>
      <w:r w:rsidR="00F045DA">
        <w:t>in</w:t>
      </w:r>
      <w:r>
        <w:t xml:space="preserve"> accordance with </w:t>
      </w:r>
      <w:hyperlink r:id="rId25" w:history="1">
        <w:r w:rsidRPr="000C2AE2">
          <w:rPr>
            <w:rStyle w:val="Hyperlink"/>
          </w:rPr>
          <w:t>RFC 4122</w:t>
        </w:r>
      </w:hyperlink>
      <w:r>
        <w:t>.</w:t>
      </w:r>
    </w:p>
    <w:p w14:paraId="7ABD6E94" w14:textId="6EF6044C" w:rsidR="00117F79" w:rsidRDefault="00154AEA" w:rsidP="000C2AE2">
      <w:r w:rsidRPr="007300C9">
        <w:t xml:space="preserve">Smarter Balanced </w:t>
      </w:r>
      <w:r w:rsidR="00117F79" w:rsidRPr="007300C9">
        <w:t>systems</w:t>
      </w:r>
      <w:r w:rsidRPr="007300C9">
        <w:t xml:space="preserve"> that receive </w:t>
      </w:r>
      <w:r w:rsidR="007300C9">
        <w:t>UUIDs</w:t>
      </w:r>
      <w:r w:rsidR="007300C9" w:rsidRPr="007300C9">
        <w:t xml:space="preserve"> </w:t>
      </w:r>
      <w:r w:rsidR="007300C9">
        <w:t>SHOULD</w:t>
      </w:r>
      <w:r w:rsidR="007300C9" w:rsidRPr="007300C9">
        <w:t xml:space="preserve"> </w:t>
      </w:r>
      <w:r w:rsidRPr="007300C9">
        <w:t>tolerate the absence of dashes and the use of upper-case hexadecimal digits</w:t>
      </w:r>
      <w:r w:rsidR="00284E70">
        <w:t>,</w:t>
      </w:r>
      <w:r w:rsidRPr="007300C9">
        <w:t xml:space="preserve"> and they </w:t>
      </w:r>
      <w:r w:rsidR="007E6AA2" w:rsidRPr="007300C9">
        <w:t xml:space="preserve">SHOULD </w:t>
      </w:r>
      <w:r w:rsidRPr="007300C9">
        <w:t xml:space="preserve">regard GUIDs as being equivalent when the difference is limited to formatting differences such as dashes or case. This </w:t>
      </w:r>
      <w:r w:rsidR="00117F79" w:rsidRPr="007300C9">
        <w:t>MAY</w:t>
      </w:r>
      <w:r w:rsidRPr="007300C9">
        <w:t xml:space="preserve"> be accomplished either by using the binary </w:t>
      </w:r>
      <w:r w:rsidR="003524FE" w:rsidRPr="007300C9">
        <w:t xml:space="preserve">encoding </w:t>
      </w:r>
      <w:r w:rsidRPr="007300C9">
        <w:t xml:space="preserve">internal to </w:t>
      </w:r>
      <w:r w:rsidR="00117F79" w:rsidRPr="007300C9">
        <w:t>a component</w:t>
      </w:r>
      <w:r w:rsidR="00284E70">
        <w:t>,</w:t>
      </w:r>
      <w:r w:rsidRPr="007300C9">
        <w:t xml:space="preserve"> or by normalizing the format of the GUID upon receipt.</w:t>
      </w:r>
    </w:p>
    <w:p w14:paraId="504823F8" w14:textId="77777777" w:rsidR="00117F79" w:rsidRDefault="00117F79" w:rsidP="00117F79">
      <w:pPr>
        <w:pStyle w:val="Heading2"/>
      </w:pPr>
      <w:r>
        <w:t>Other Identifiers</w:t>
      </w:r>
    </w:p>
    <w:p w14:paraId="7A98B2D6" w14:textId="6C207F85" w:rsidR="00BC10DA" w:rsidRDefault="00DB6CD5" w:rsidP="00117F79">
      <w:r>
        <w:t xml:space="preserve">Non-GUID identifiers SHOULD be constrained according to the </w:t>
      </w:r>
      <w:hyperlink r:id="rId26" w:history="1">
        <w:r>
          <w:rPr>
            <w:rStyle w:val="Hyperlink"/>
          </w:rPr>
          <w:t>xsd:token</w:t>
        </w:r>
      </w:hyperlink>
      <w:r>
        <w:t xml:space="preserve"> datatype</w:t>
      </w:r>
      <w:r w:rsidR="000E4947">
        <w:t>,</w:t>
      </w:r>
      <w:r>
        <w:t xml:space="preserve"> in that they have no leading or trailing spaces and internal spaces are condensed.</w:t>
      </w:r>
    </w:p>
    <w:p w14:paraId="4F11C276" w14:textId="35C90A1A" w:rsidR="003524FE" w:rsidRDefault="003524FE" w:rsidP="00117F79">
      <w:r>
        <w:t>The definition of the identifier element MUST describe the scheme for the IDs, how they are generated</w:t>
      </w:r>
      <w:r w:rsidR="000E4947">
        <w:t>,</w:t>
      </w:r>
      <w:r>
        <w:t xml:space="preserve"> and the domain in which they must be unique. It </w:t>
      </w:r>
      <w:r w:rsidR="007E6AA2">
        <w:t>MUST</w:t>
      </w:r>
      <w:r>
        <w:t xml:space="preserve"> describe whether identifiers are </w:t>
      </w:r>
      <w:r>
        <w:lastRenderedPageBreak/>
        <w:t>case-sensitive or case-insensitive. It MUST also describe any identifier normalization that is required before comparing identifiers. For example, case-insensitive identifiers MAY be normalized to upper-case or lower-case</w:t>
      </w:r>
      <w:r w:rsidR="009B7B09">
        <w:t>; which option to use MUST be specified.</w:t>
      </w:r>
    </w:p>
    <w:p w14:paraId="775E197B" w14:textId="08A28C21" w:rsidR="00117F79" w:rsidRPr="00117F79" w:rsidRDefault="00BC10DA" w:rsidP="00117F79">
      <w:r>
        <w:t xml:space="preserve">While </w:t>
      </w:r>
      <w:r w:rsidR="00DB6CD5">
        <w:t xml:space="preserve">CEDS uses the </w:t>
      </w:r>
      <w:hyperlink r:id="rId27" w:history="1">
        <w:r w:rsidR="00DB6CD5" w:rsidRPr="00877495">
          <w:rPr>
            <w:rStyle w:val="Hyperlink"/>
          </w:rPr>
          <w:t>xsd:normalizedString</w:t>
        </w:r>
      </w:hyperlink>
      <w:r w:rsidR="00877495">
        <w:t xml:space="preserve"> for most identifier</w:t>
      </w:r>
      <w:r>
        <w:t>s, Smarter B</w:t>
      </w:r>
      <w:r w:rsidR="00877495">
        <w:t xml:space="preserve">alanced uses the more-constrained </w:t>
      </w:r>
      <w:hyperlink r:id="rId28" w:history="1">
        <w:r w:rsidR="00877495">
          <w:rPr>
            <w:rStyle w:val="Hyperlink"/>
          </w:rPr>
          <w:t>xsd:token</w:t>
        </w:r>
      </w:hyperlink>
      <w:r>
        <w:t xml:space="preserve"> datatype. Also, CEDS typically includes a maximum length of 30 characters. However, string-encoded GUIDs</w:t>
      </w:r>
      <w:r w:rsidR="000E4947">
        <w:t>,</w:t>
      </w:r>
      <w:r>
        <w:t xml:space="preserve"> including dashes</w:t>
      </w:r>
      <w:r w:rsidR="000E4947">
        <w:t>,</w:t>
      </w:r>
      <w:r>
        <w:t xml:space="preserve"> are 36-characters in length. Some states may also use a secure hash function such as HMAC-MD5 or HMAC-SHA1 to generate identifiers. Thes</w:t>
      </w:r>
      <w:r w:rsidR="007B0255">
        <w:t>e</w:t>
      </w:r>
      <w:r>
        <w:t xml:space="preserve"> algorithms result in 32 and </w:t>
      </w:r>
      <w:r w:rsidR="007B0255">
        <w:t xml:space="preserve">40 hexadecimal digit strings respectively. Therefore, identifiers SHOULD have a max length of at least 40 characters. </w:t>
      </w:r>
    </w:p>
    <w:p w14:paraId="7004841C" w14:textId="77777777" w:rsidR="00A548A4" w:rsidRDefault="00A548A4" w:rsidP="00A548A4">
      <w:pPr>
        <w:pStyle w:val="Heading2"/>
      </w:pPr>
      <w:r>
        <w:t>Sample Data Dictionary</w:t>
      </w:r>
    </w:p>
    <w:p w14:paraId="64059173" w14:textId="03365DCF" w:rsidR="00BB5E13" w:rsidRDefault="00BB5E13" w:rsidP="00CB4332">
      <w:r>
        <w:t xml:space="preserve">The following sample Data Dictionary is not from any actual Smarter Balanced specification. It is intended to demonstrate </w:t>
      </w:r>
      <w:r w:rsidRPr="00364574">
        <w:rPr>
          <w:i/>
        </w:rPr>
        <w:t>one way</w:t>
      </w:r>
      <w:r>
        <w:t xml:space="preserve"> of organizing the information required by these standards.</w:t>
      </w:r>
      <w:r w:rsidR="00364574">
        <w:t xml:space="preserve"> The layout is not prescriptive. Specifications should use the format that</w:t>
      </w:r>
      <w:r w:rsidR="000E4947">
        <w:t xml:space="preserve"> i</w:t>
      </w:r>
      <w:r w:rsidR="00364574">
        <w:t>s best suited to each application.</w:t>
      </w:r>
    </w:p>
    <w:p w14:paraId="35FEB3E1" w14:textId="77777777" w:rsidR="00BB5E13" w:rsidRPr="00BB5E13" w:rsidRDefault="00BB5E13" w:rsidP="00CB4332"/>
    <w:tbl>
      <w:tblPr>
        <w:tblStyle w:val="GridTable1Light-Accent51"/>
        <w:tblW w:w="10800" w:type="dxa"/>
        <w:tblInd w:w="-720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53"/>
        <w:gridCol w:w="2502"/>
      </w:tblGrid>
      <w:tr w:rsidR="00342F57" w:rsidRPr="00A548A4" w14:paraId="01B5F3B6" w14:textId="77777777" w:rsidTr="009B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84D0CE5" w14:textId="77777777" w:rsidR="00342F57" w:rsidRPr="00A548A4" w:rsidRDefault="00342F57" w:rsidP="0048323E">
            <w:pPr>
              <w:keepNext/>
            </w:pPr>
            <w:r w:rsidRPr="00A548A4">
              <w:t>Name</w:t>
            </w:r>
          </w:p>
        </w:tc>
        <w:tc>
          <w:tcPr>
            <w:tcW w:w="2700" w:type="dxa"/>
          </w:tcPr>
          <w:p w14:paraId="3EF4AE98" w14:textId="77777777" w:rsidR="00342F57" w:rsidRPr="00A548A4" w:rsidRDefault="00342F57" w:rsidP="004832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48A4">
              <w:t>Description</w:t>
            </w:r>
          </w:p>
        </w:tc>
        <w:tc>
          <w:tcPr>
            <w:tcW w:w="2453" w:type="dxa"/>
          </w:tcPr>
          <w:p w14:paraId="4BDACB5E" w14:textId="77777777" w:rsidR="00342F57" w:rsidRPr="00A548A4" w:rsidRDefault="00342F57" w:rsidP="004832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48A4">
              <w:t>Acceptable Values</w:t>
            </w:r>
          </w:p>
        </w:tc>
        <w:tc>
          <w:tcPr>
            <w:tcW w:w="2502" w:type="dxa"/>
          </w:tcPr>
          <w:p w14:paraId="23B8C04C" w14:textId="77777777" w:rsidR="00342F57" w:rsidRPr="00A548A4" w:rsidRDefault="00342F57" w:rsidP="004832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48A4">
              <w:t>Reference</w:t>
            </w:r>
          </w:p>
        </w:tc>
      </w:tr>
      <w:tr w:rsidR="00342F57" w14:paraId="2080EB1F" w14:textId="77777777" w:rsidTr="009B7B0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C534743" w14:textId="77777777" w:rsidR="00342F57" w:rsidRPr="00D55606" w:rsidRDefault="00342F57" w:rsidP="0048323E">
            <w:pPr>
              <w:rPr>
                <w:b w:val="0"/>
              </w:rPr>
            </w:pPr>
            <w:r w:rsidRPr="00D55606">
              <w:rPr>
                <w:b w:val="0"/>
              </w:rPr>
              <w:t>StateOfResidence</w:t>
            </w:r>
          </w:p>
        </w:tc>
        <w:tc>
          <w:tcPr>
            <w:tcW w:w="2700" w:type="dxa"/>
          </w:tcPr>
          <w:p w14:paraId="61E1AD62" w14:textId="77777777" w:rsidR="00342F57" w:rsidRPr="009D561B" w:rsidRDefault="00342F57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61B">
              <w:t>A person's permanent address as determined by such evidence as a driver's license or voter registration. For entering freshmen, state of residence may be the legal state of residence of a parent or guardian.</w:t>
            </w:r>
          </w:p>
        </w:tc>
        <w:tc>
          <w:tcPr>
            <w:tcW w:w="2453" w:type="dxa"/>
          </w:tcPr>
          <w:p w14:paraId="29C5637E" w14:textId="77777777" w:rsidR="00342F57" w:rsidRDefault="00342F57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AK, AL, AR, AS, AZ, CA, CO, CT</w:t>
            </w:r>
            <w:r w:rsidR="00154AEA">
              <w:t>,</w:t>
            </w:r>
            <w:r>
              <w:t xml:space="preserve"> DC, DE FL, FM, GA, GU, HI, IA, ID, IL, IN, KS, KY, LA, MA, MD, ME, MH, MI, MN, MO, MP, MS, MT, NC, ND, NE, NH, NJ, NM, NV, NY, OH, OK, PA, PR, PW, RI, SC, SD, TN, TX, UT, VA, VI, VT, WA, WI, WV, WY</w:t>
            </w:r>
          </w:p>
          <w:p w14:paraId="148698EA" w14:textId="5FB1D5CB" w:rsidR="00342F57" w:rsidRDefault="00342F57" w:rsidP="00BB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(See the CEDS </w:t>
            </w:r>
            <w:r w:rsidR="00BB5E13">
              <w:t xml:space="preserve">reference </w:t>
            </w:r>
            <w:r>
              <w:t>for meanings of these values.)</w:t>
            </w:r>
          </w:p>
        </w:tc>
        <w:tc>
          <w:tcPr>
            <w:tcW w:w="2502" w:type="dxa"/>
          </w:tcPr>
          <w:p w14:paraId="0AA50F12" w14:textId="77777777" w:rsidR="00342F57" w:rsidRDefault="00F54161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9" w:history="1">
              <w:r w:rsidR="009D561B" w:rsidRPr="00167210">
                <w:rPr>
                  <w:rStyle w:val="Hyperlink"/>
                </w:rPr>
                <w:t>https://ceds.ed.gov/CEDSElementDetails.aspx?TermId=3268</w:t>
              </w:r>
            </w:hyperlink>
          </w:p>
          <w:p w14:paraId="793FD2A5" w14:textId="77777777" w:rsidR="00FD6585" w:rsidRPr="00C50D00" w:rsidRDefault="00FD6585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CEDS v3.0</w:t>
            </w:r>
          </w:p>
        </w:tc>
      </w:tr>
      <w:tr w:rsidR="00342F57" w14:paraId="60F0F339" w14:textId="77777777" w:rsidTr="009B7B0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CC8BC63" w14:textId="77777777" w:rsidR="00342F57" w:rsidRPr="00D55606" w:rsidRDefault="00342F57" w:rsidP="0048323E">
            <w:pPr>
              <w:rPr>
                <w:b w:val="0"/>
              </w:rPr>
            </w:pPr>
            <w:r>
              <w:rPr>
                <w:b w:val="0"/>
              </w:rPr>
              <w:t>LEA_OrganizationName</w:t>
            </w:r>
          </w:p>
        </w:tc>
        <w:tc>
          <w:tcPr>
            <w:tcW w:w="2700" w:type="dxa"/>
          </w:tcPr>
          <w:p w14:paraId="0BEFD751" w14:textId="57B9705E" w:rsidR="00342F57" w:rsidRPr="009D561B" w:rsidRDefault="00342F57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61B">
              <w:t>The name of the Local Education Authority</w:t>
            </w:r>
            <w:r w:rsidR="00284E70">
              <w:t>, t</w:t>
            </w:r>
            <w:r w:rsidRPr="009D561B">
              <w:t>ypically a School District.</w:t>
            </w:r>
          </w:p>
        </w:tc>
        <w:tc>
          <w:tcPr>
            <w:tcW w:w="2453" w:type="dxa"/>
          </w:tcPr>
          <w:p w14:paraId="0B23FE7E" w14:textId="4F61332B" w:rsidR="00877495" w:rsidRDefault="00F54161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877495">
                <w:rPr>
                  <w:rStyle w:val="Hyperlink"/>
                </w:rPr>
                <w:t>xsd:token</w:t>
              </w:r>
            </w:hyperlink>
          </w:p>
          <w:p w14:paraId="7EE6E6DC" w14:textId="77777777" w:rsidR="00342F57" w:rsidRDefault="00877495" w:rsidP="0087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MaxLength: </w:t>
            </w:r>
            <w:r>
              <w:rPr>
                <w:shd w:val="clear" w:color="auto" w:fill="FCFCFC"/>
              </w:rPr>
              <w:t>60</w:t>
            </w:r>
          </w:p>
        </w:tc>
        <w:tc>
          <w:tcPr>
            <w:tcW w:w="2502" w:type="dxa"/>
          </w:tcPr>
          <w:p w14:paraId="7B3383E0" w14:textId="77777777" w:rsidR="00342F57" w:rsidRDefault="00F54161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31" w:history="1">
              <w:r w:rsidR="009D561B" w:rsidRPr="00167210">
                <w:rPr>
                  <w:rStyle w:val="Hyperlink"/>
                </w:rPr>
                <w:t>https://ceds.ed.gov/CEDSElementDetails.aspx?TermId=3204</w:t>
              </w:r>
            </w:hyperlink>
          </w:p>
          <w:p w14:paraId="02570F41" w14:textId="77777777" w:rsidR="00FD6585" w:rsidRPr="00C50D00" w:rsidRDefault="00FD6585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CEDS v3.0</w:t>
            </w:r>
          </w:p>
        </w:tc>
      </w:tr>
      <w:tr w:rsidR="00342F57" w14:paraId="4AED4C8B" w14:textId="77777777" w:rsidTr="009B7B0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AFBDE9" w14:textId="77777777" w:rsidR="00342F57" w:rsidRDefault="00342F57" w:rsidP="0048323E">
            <w:pPr>
              <w:rPr>
                <w:b w:val="0"/>
              </w:rPr>
            </w:pPr>
            <w:r>
              <w:rPr>
                <w:b w:val="0"/>
              </w:rPr>
              <w:t>LocalEducationAgencyIdentifier</w:t>
            </w:r>
          </w:p>
        </w:tc>
        <w:tc>
          <w:tcPr>
            <w:tcW w:w="2700" w:type="dxa"/>
          </w:tcPr>
          <w:p w14:paraId="6F1542D9" w14:textId="77777777" w:rsidR="00342F57" w:rsidRDefault="00342F57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61B">
              <w:t>A unique number or alphanumeric code assigned to a local education agency by a school system, a state, or other agency or entity.</w:t>
            </w:r>
          </w:p>
          <w:p w14:paraId="1DB2694F" w14:textId="77777777" w:rsidR="009B7B09" w:rsidRPr="009D561B" w:rsidRDefault="009B7B09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unique within the state.</w:t>
            </w:r>
          </w:p>
        </w:tc>
        <w:tc>
          <w:tcPr>
            <w:tcW w:w="2453" w:type="dxa"/>
          </w:tcPr>
          <w:p w14:paraId="607EB385" w14:textId="41F6DD2F" w:rsidR="00877495" w:rsidRDefault="00F54161" w:rsidP="0087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877495">
                <w:rPr>
                  <w:rStyle w:val="Hyperlink"/>
                </w:rPr>
                <w:t>xsd:token</w:t>
              </w:r>
            </w:hyperlink>
          </w:p>
          <w:p w14:paraId="77B9DB84" w14:textId="77777777" w:rsidR="00342F57" w:rsidRDefault="00877495" w:rsidP="0087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CFCFC"/>
              </w:rPr>
            </w:pPr>
            <w:r>
              <w:t xml:space="preserve">MaxLength: </w:t>
            </w:r>
            <w:r w:rsidR="00FF72E7">
              <w:rPr>
                <w:shd w:val="clear" w:color="auto" w:fill="FCFCFC"/>
              </w:rPr>
              <w:t>40</w:t>
            </w:r>
          </w:p>
          <w:p w14:paraId="30274DDE" w14:textId="77777777" w:rsidR="009B7B09" w:rsidRDefault="009B7B09" w:rsidP="0087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shd w:val="clear" w:color="auto" w:fill="FCFCFC"/>
              </w:rPr>
            </w:pPr>
            <w:r>
              <w:rPr>
                <w:shd w:val="clear" w:color="auto" w:fill="FCFCFC"/>
              </w:rPr>
              <w:t>Comparisons are case-insensitive. Identifiers are normalized to all upper-case.</w:t>
            </w:r>
          </w:p>
        </w:tc>
        <w:tc>
          <w:tcPr>
            <w:tcW w:w="2502" w:type="dxa"/>
          </w:tcPr>
          <w:p w14:paraId="6EE2FB50" w14:textId="77777777" w:rsidR="00342F57" w:rsidRDefault="00F54161" w:rsidP="00117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hd w:val="clear" w:color="auto" w:fill="FCFCFC"/>
              </w:rPr>
            </w:pPr>
            <w:hyperlink r:id="rId33" w:history="1">
              <w:r w:rsidR="00117F79" w:rsidRPr="003962B8">
                <w:rPr>
                  <w:rStyle w:val="Hyperlink"/>
                  <w:shd w:val="clear" w:color="auto" w:fill="FCFCFC"/>
                </w:rPr>
                <w:t>https://ceds.ed.gov/CEDSElementDetails.aspx?TermId=3153</w:t>
              </w:r>
            </w:hyperlink>
          </w:p>
          <w:p w14:paraId="14D018B6" w14:textId="77777777" w:rsidR="00FD6585" w:rsidRPr="00C50D00" w:rsidRDefault="00FD6585" w:rsidP="00117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CEDS v3.0</w:t>
            </w:r>
          </w:p>
          <w:p w14:paraId="0E50C048" w14:textId="77777777" w:rsidR="00FF72E7" w:rsidRDefault="003524FE" w:rsidP="00117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CFCFC"/>
              </w:rPr>
            </w:pPr>
            <w:r w:rsidRPr="00C50D00">
              <w:t xml:space="preserve">Datatype is “xsd:token” instead of “xsd:normalizedString” and </w:t>
            </w:r>
            <w:r w:rsidR="00FF72E7" w:rsidRPr="00C50D00">
              <w:t>MaxLength</w:t>
            </w:r>
            <w:r w:rsidRPr="00C50D00">
              <w:t xml:space="preserve"> is</w:t>
            </w:r>
            <w:r w:rsidR="00FF72E7" w:rsidRPr="00C50D00">
              <w:t xml:space="preserve"> extended to 40.</w:t>
            </w:r>
          </w:p>
        </w:tc>
      </w:tr>
      <w:tr w:rsidR="00342F57" w14:paraId="519AA564" w14:textId="77777777" w:rsidTr="009B7B0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C9E47CB" w14:textId="77777777" w:rsidR="00342F57" w:rsidRPr="00D55606" w:rsidRDefault="009D561B" w:rsidP="0048323E">
            <w:pPr>
              <w:rPr>
                <w:b w:val="0"/>
              </w:rPr>
            </w:pPr>
            <w:r>
              <w:rPr>
                <w:b w:val="0"/>
              </w:rPr>
              <w:lastRenderedPageBreak/>
              <w:t>educationalAlignment</w:t>
            </w:r>
          </w:p>
        </w:tc>
        <w:tc>
          <w:tcPr>
            <w:tcW w:w="2700" w:type="dxa"/>
          </w:tcPr>
          <w:p w14:paraId="2F34DB50" w14:textId="77777777" w:rsidR="00342F57" w:rsidRDefault="009D561B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61B">
              <w:t>An alignment to an established educational framework.</w:t>
            </w:r>
          </w:p>
        </w:tc>
        <w:tc>
          <w:tcPr>
            <w:tcW w:w="2453" w:type="dxa"/>
          </w:tcPr>
          <w:p w14:paraId="19CE581E" w14:textId="77777777" w:rsidR="00877495" w:rsidRDefault="009D561B" w:rsidP="0087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Complex element of type </w:t>
            </w:r>
            <w:hyperlink r:id="rId34" w:history="1">
              <w:r w:rsidRPr="009D561B">
                <w:rPr>
                  <w:rStyle w:val="Hyperlink"/>
                </w:rPr>
                <w:t>AlignmentObject</w:t>
              </w:r>
            </w:hyperlink>
            <w:r w:rsidR="00877495" w:rsidRPr="009D561B">
              <w:t xml:space="preserve"> </w:t>
            </w:r>
          </w:p>
          <w:p w14:paraId="1C173863" w14:textId="77777777" w:rsidR="00877495" w:rsidRPr="00877495" w:rsidRDefault="00877495" w:rsidP="00877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FF" w:themeColor="hyperlink"/>
                <w:u w:val="single"/>
              </w:rPr>
            </w:pPr>
            <w:r w:rsidRPr="00877495">
              <w:rPr>
                <w:i/>
              </w:rPr>
              <w:t xml:space="preserve">(Note that a complete </w:t>
            </w:r>
            <w:r w:rsidR="00C50D00">
              <w:rPr>
                <w:i/>
              </w:rPr>
              <w:t>Data Dictionary</w:t>
            </w:r>
            <w:r w:rsidRPr="00877495">
              <w:rPr>
                <w:i/>
              </w:rPr>
              <w:t xml:space="preserve"> would have to include all subelements included in AlignmentObject)</w:t>
            </w:r>
          </w:p>
        </w:tc>
        <w:tc>
          <w:tcPr>
            <w:tcW w:w="2502" w:type="dxa"/>
          </w:tcPr>
          <w:p w14:paraId="41DAFE5D" w14:textId="77777777" w:rsidR="00342F57" w:rsidRDefault="00F54161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35" w:history="1">
              <w:r w:rsidR="009D561B" w:rsidRPr="00167210">
                <w:rPr>
                  <w:rStyle w:val="Hyperlink"/>
                </w:rPr>
                <w:t>http://schema.org/educationalAlignment</w:t>
              </w:r>
            </w:hyperlink>
          </w:p>
          <w:p w14:paraId="095D0BCE" w14:textId="265096F9" w:rsidR="00FD6585" w:rsidRPr="00C50D00" w:rsidRDefault="00FF72E7" w:rsidP="009D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Schema.org v1.0e</w:t>
            </w:r>
            <w:r w:rsidR="005B7DFC">
              <w:t xml:space="preserve"> (part of the LRMI additions to Schema.org)</w:t>
            </w:r>
          </w:p>
        </w:tc>
      </w:tr>
      <w:tr w:rsidR="00342F57" w14:paraId="6168D826" w14:textId="77777777" w:rsidTr="009B7B0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4C7D913" w14:textId="77777777" w:rsidR="00342F57" w:rsidRPr="00D55606" w:rsidRDefault="009D561B" w:rsidP="0048323E">
            <w:pPr>
              <w:rPr>
                <w:b w:val="0"/>
              </w:rPr>
            </w:pPr>
            <w:r>
              <w:rPr>
                <w:b w:val="0"/>
              </w:rPr>
              <w:t>AssessmentItemDifficulty</w:t>
            </w:r>
          </w:p>
        </w:tc>
        <w:tc>
          <w:tcPr>
            <w:tcW w:w="2700" w:type="dxa"/>
          </w:tcPr>
          <w:p w14:paraId="71DF8F62" w14:textId="77777777" w:rsidR="00342F57" w:rsidRDefault="009D561B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397D">
              <w:t>The percentage of students who answered the item correctly during trial testing of the item.</w:t>
            </w:r>
          </w:p>
        </w:tc>
        <w:tc>
          <w:tcPr>
            <w:tcW w:w="2453" w:type="dxa"/>
          </w:tcPr>
          <w:p w14:paraId="288C8881" w14:textId="35112614" w:rsidR="00877495" w:rsidRDefault="00F54161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877495" w:rsidRPr="00877495">
                <w:rPr>
                  <w:rStyle w:val="Hyperlink"/>
                </w:rPr>
                <w:t>xsd:decimal</w:t>
              </w:r>
            </w:hyperlink>
          </w:p>
          <w:p w14:paraId="325D97E7" w14:textId="77777777" w:rsidR="000F678E" w:rsidRDefault="00877495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MinValue: 0.00</w:t>
            </w:r>
          </w:p>
          <w:p w14:paraId="4B9946FE" w14:textId="77777777" w:rsidR="00877495" w:rsidRDefault="00877495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MaxValue: 100.00</w:t>
            </w:r>
          </w:p>
          <w:p w14:paraId="52456274" w14:textId="77777777" w:rsidR="00342F57" w:rsidRDefault="000F678E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Format: 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CFCFC"/>
              </w:rPr>
              <w:t>###.##</w:t>
            </w:r>
          </w:p>
        </w:tc>
        <w:tc>
          <w:tcPr>
            <w:tcW w:w="2502" w:type="dxa"/>
          </w:tcPr>
          <w:p w14:paraId="4ADED05C" w14:textId="77777777" w:rsidR="00342F57" w:rsidRDefault="00F54161" w:rsidP="000F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37" w:history="1">
              <w:r w:rsidR="000F678E" w:rsidRPr="00167210">
                <w:rPr>
                  <w:rStyle w:val="Hyperlink"/>
                </w:rPr>
                <w:t>https://ceds.ed.gov/CEDSElementDetails.aspx?TermId=3383</w:t>
              </w:r>
            </w:hyperlink>
          </w:p>
          <w:p w14:paraId="60EC398E" w14:textId="77777777" w:rsidR="00FD6585" w:rsidRPr="00C50D00" w:rsidRDefault="00FD6585" w:rsidP="000F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CEDS v3.0</w:t>
            </w:r>
          </w:p>
        </w:tc>
      </w:tr>
      <w:tr w:rsidR="00877495" w14:paraId="15233C54" w14:textId="77777777" w:rsidTr="009B7B0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E39024C" w14:textId="77777777" w:rsidR="00877495" w:rsidRPr="00BC10DA" w:rsidRDefault="00BC10DA" w:rsidP="0048323E">
            <w:pPr>
              <w:rPr>
                <w:b w:val="0"/>
              </w:rPr>
            </w:pPr>
            <w:r>
              <w:rPr>
                <w:b w:val="0"/>
              </w:rPr>
              <w:t>AssessmentItemGUID</w:t>
            </w:r>
          </w:p>
        </w:tc>
        <w:tc>
          <w:tcPr>
            <w:tcW w:w="2700" w:type="dxa"/>
          </w:tcPr>
          <w:p w14:paraId="3C19E4F1" w14:textId="77777777" w:rsidR="00877495" w:rsidRDefault="00BC10DA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3"/>
                <w:szCs w:val="23"/>
                <w:shd w:val="clear" w:color="auto" w:fill="FCFCFC"/>
              </w:rPr>
            </w:pPr>
            <w:r w:rsidRPr="00C0397D">
              <w:t>A GUID to uniquely identify this assessment item.</w:t>
            </w:r>
          </w:p>
        </w:tc>
        <w:tc>
          <w:tcPr>
            <w:tcW w:w="2453" w:type="dxa"/>
          </w:tcPr>
          <w:p w14:paraId="4870C864" w14:textId="77777777" w:rsidR="00877495" w:rsidRDefault="00F54161" w:rsidP="0048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38" w:history="1">
              <w:r w:rsidR="00BC10DA" w:rsidRPr="00BC10DA">
                <w:rPr>
                  <w:rStyle w:val="Hyperlink"/>
                </w:rPr>
                <w:t>GUID</w:t>
              </w:r>
            </w:hyperlink>
          </w:p>
          <w:p w14:paraId="29C4922D" w14:textId="7D56214F" w:rsidR="00FF72E7" w:rsidRPr="00C50D00" w:rsidRDefault="00FF72E7" w:rsidP="00730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Format:</w:t>
            </w:r>
            <w:r w:rsidRPr="00C50D00">
              <w:br/>
            </w:r>
            <w:r w:rsidR="007300C9">
              <w:t>xxxxxxxx-xxxx-xxxx-xxxx-xxxxxxxxxxxx</w:t>
            </w:r>
          </w:p>
        </w:tc>
        <w:tc>
          <w:tcPr>
            <w:tcW w:w="2502" w:type="dxa"/>
          </w:tcPr>
          <w:p w14:paraId="752886C3" w14:textId="77777777" w:rsidR="00BC10DA" w:rsidRDefault="00F54161" w:rsidP="00BC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39" w:history="1">
              <w:r w:rsidR="00BC10DA" w:rsidRPr="003962B8">
                <w:rPr>
                  <w:rStyle w:val="Hyperlink"/>
                </w:rPr>
                <w:t>https://ceds.ed.gov/CEDSElementDetails.aspx?TermId=3623</w:t>
              </w:r>
            </w:hyperlink>
          </w:p>
          <w:p w14:paraId="2EC6CC72" w14:textId="77777777" w:rsidR="00FF72E7" w:rsidRPr="00C50D00" w:rsidRDefault="00FF72E7" w:rsidP="00BC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00">
              <w:t>CEDS v3.0</w:t>
            </w:r>
          </w:p>
          <w:p w14:paraId="1B9DF095" w14:textId="77777777" w:rsidR="00877495" w:rsidRDefault="00FF72E7" w:rsidP="00BC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name changed from AssessmentItemIdentifier to AssessmentItemGUID. MaxLength extended to 36 in order to accommodate GUIDs</w:t>
            </w:r>
          </w:p>
        </w:tc>
      </w:tr>
    </w:tbl>
    <w:p w14:paraId="03CE1ED6" w14:textId="77777777" w:rsidR="00A548A4" w:rsidRDefault="000F678E" w:rsidP="000F678E">
      <w:pPr>
        <w:pStyle w:val="Heading1"/>
        <w:pageBreakBefore/>
      </w:pPr>
      <w:r>
        <w:lastRenderedPageBreak/>
        <w:t xml:space="preserve">Data </w:t>
      </w:r>
      <w:r w:rsidR="004F47A4">
        <w:t>Model</w:t>
      </w:r>
      <w:r>
        <w:t xml:space="preserve"> and </w:t>
      </w:r>
      <w:r w:rsidR="008D266C">
        <w:t>Serialization</w:t>
      </w:r>
    </w:p>
    <w:p w14:paraId="1581B3B0" w14:textId="68A3C597" w:rsidR="000F678E" w:rsidRDefault="004F47A4" w:rsidP="000F678E">
      <w:r>
        <w:t xml:space="preserve">Metadata formats typically define an </w:t>
      </w:r>
      <w:r w:rsidR="005B7DFC">
        <w:t>Abstract Data Model</w:t>
      </w:r>
      <w:r>
        <w:t xml:space="preserve"> that may be encoded, or serialized, in one of several ways. For example, the Smarter Balanced Assessment Item Metadata format defines a set of names and values </w:t>
      </w:r>
      <w:r w:rsidR="0076161D">
        <w:t xml:space="preserve">that </w:t>
      </w:r>
      <w:r>
        <w:t>may be encoded differently depending on where the corresponding assessment item is stored and how it is encoded.</w:t>
      </w:r>
    </w:p>
    <w:p w14:paraId="2BD72667" w14:textId="425B42C5" w:rsidR="004F47A4" w:rsidRDefault="004F47A4" w:rsidP="000F678E">
      <w:r>
        <w:t>Most other Smarter Balanced data formats are concrete in that the specific serialization must be defined down to the binary layer.</w:t>
      </w:r>
      <w:r w:rsidR="005B7DFC">
        <w:t xml:space="preserve"> The Data Model section MUST express whether the model is abstract or concrete.</w:t>
      </w:r>
    </w:p>
    <w:p w14:paraId="77E9117C" w14:textId="77777777" w:rsidR="004F47A4" w:rsidRDefault="004F47A4" w:rsidP="004F47A4">
      <w:pPr>
        <w:pStyle w:val="Heading2"/>
      </w:pPr>
      <w:r>
        <w:t>Abstract Data Models</w:t>
      </w:r>
    </w:p>
    <w:p w14:paraId="4350BA9B" w14:textId="4A7A957E" w:rsidR="004F47A4" w:rsidRDefault="004F47A4" w:rsidP="004F47A4">
      <w:r>
        <w:t>An abstract data model that is flat (</w:t>
      </w:r>
      <w:r w:rsidR="002365B9">
        <w:t xml:space="preserve">i.e., </w:t>
      </w:r>
      <w:r>
        <w:t>does not have any complex elements, hierarchy</w:t>
      </w:r>
      <w:r w:rsidR="000E4947">
        <w:t>,</w:t>
      </w:r>
      <w:r>
        <w:t xml:space="preserve"> or relationships between entities) may simply be an augmented</w:t>
      </w:r>
      <w:r w:rsidR="002B2131">
        <w:t xml:space="preserve"> </w:t>
      </w:r>
      <w:r w:rsidR="002365B9">
        <w:t>D</w:t>
      </w:r>
      <w:r w:rsidR="002B2131">
        <w:t xml:space="preserve">ata </w:t>
      </w:r>
      <w:r w:rsidR="002365B9">
        <w:t>D</w:t>
      </w:r>
      <w:r w:rsidR="002B2131">
        <w:t xml:space="preserve">ictionary. The additional information </w:t>
      </w:r>
      <w:r w:rsidR="005B7DFC">
        <w:t xml:space="preserve">required </w:t>
      </w:r>
      <w:r w:rsidR="002B2131">
        <w:t xml:space="preserve">in the </w:t>
      </w:r>
      <w:r w:rsidR="00FB4E65">
        <w:t>D</w:t>
      </w:r>
      <w:r w:rsidR="002B2131">
        <w:t xml:space="preserve">ata </w:t>
      </w:r>
      <w:r w:rsidR="00FB4E65">
        <w:t>D</w:t>
      </w:r>
      <w:r w:rsidR="002B2131">
        <w:t xml:space="preserve">ictionary SHOULD </w:t>
      </w:r>
      <w:r w:rsidR="005B7DFC">
        <w:t xml:space="preserve">include </w:t>
      </w:r>
      <w:r w:rsidR="002B2131">
        <w:t>the following:</w:t>
      </w:r>
    </w:p>
    <w:p w14:paraId="0B13B031" w14:textId="5BC5CD2D" w:rsidR="00946A6C" w:rsidRDefault="00946A6C" w:rsidP="002B2131">
      <w:pPr>
        <w:pStyle w:val="ListParagraph"/>
        <w:numPr>
          <w:ilvl w:val="0"/>
          <w:numId w:val="35"/>
        </w:numPr>
      </w:pPr>
      <w:r>
        <w:t>The “Acceptable Values” column is required and MUST be unambiguous about the format of the values. For example, a Boolean value might be encoded as xsd:token with acceptable values of “Yes” and “No”</w:t>
      </w:r>
      <w:r w:rsidR="000E4947">
        <w:t>,</w:t>
      </w:r>
      <w:r>
        <w:t xml:space="preserve"> or it might be encoded as xsd:boolean.</w:t>
      </w:r>
    </w:p>
    <w:p w14:paraId="0D5B0026" w14:textId="77777777" w:rsidR="00FB4E65" w:rsidRDefault="002B2131" w:rsidP="002B2131">
      <w:pPr>
        <w:pStyle w:val="ListParagraph"/>
        <w:numPr>
          <w:ilvl w:val="0"/>
          <w:numId w:val="35"/>
        </w:numPr>
      </w:pPr>
      <w:r>
        <w:t>Whether an element is required or optional.</w:t>
      </w:r>
      <w:r w:rsidR="00946A6C">
        <w:t xml:space="preserve"> </w:t>
      </w:r>
    </w:p>
    <w:p w14:paraId="77217C0E" w14:textId="77777777" w:rsidR="002B2131" w:rsidRDefault="00946A6C" w:rsidP="00C50D00">
      <w:pPr>
        <w:pStyle w:val="ListParagraph"/>
        <w:numPr>
          <w:ilvl w:val="1"/>
          <w:numId w:val="35"/>
        </w:numPr>
      </w:pPr>
      <w:r>
        <w:t>If an element is optional, the default value or behavior MUST be described.</w:t>
      </w:r>
    </w:p>
    <w:p w14:paraId="5AA12583" w14:textId="77777777" w:rsidR="002B2131" w:rsidRDefault="002B2131" w:rsidP="002B2131">
      <w:pPr>
        <w:pStyle w:val="ListParagraph"/>
        <w:numPr>
          <w:ilvl w:val="0"/>
          <w:numId w:val="35"/>
        </w:numPr>
      </w:pPr>
      <w:r>
        <w:t>Whether an element may have multiple values or only one value.</w:t>
      </w:r>
    </w:p>
    <w:p w14:paraId="7328F950" w14:textId="6A7F7E1D" w:rsidR="002B2131" w:rsidRDefault="002B2131" w:rsidP="002B2131">
      <w:pPr>
        <w:pStyle w:val="ListParagraph"/>
        <w:numPr>
          <w:ilvl w:val="0"/>
          <w:numId w:val="35"/>
        </w:numPr>
      </w:pPr>
      <w:r>
        <w:t>Whether the values of a multi-valued element are ordered</w:t>
      </w:r>
      <w:r w:rsidR="000E4947">
        <w:t>,</w:t>
      </w:r>
      <w:r>
        <w:t xml:space="preserve"> and</w:t>
      </w:r>
      <w:r w:rsidR="00284E70">
        <w:t xml:space="preserve"> </w:t>
      </w:r>
      <w:r w:rsidR="005B7DFC">
        <w:t>if so,</w:t>
      </w:r>
      <w:r>
        <w:t xml:space="preserve"> how to indicate the order of the values.</w:t>
      </w:r>
    </w:p>
    <w:p w14:paraId="05F17365" w14:textId="6D5347DC" w:rsidR="002B2131" w:rsidRDefault="002B2131" w:rsidP="002B2131">
      <w:r>
        <w:t xml:space="preserve">Abstract </w:t>
      </w:r>
      <w:r w:rsidR="00FB4E65">
        <w:t>D</w:t>
      </w:r>
      <w:r>
        <w:t xml:space="preserve">ata </w:t>
      </w:r>
      <w:r w:rsidR="00FB4E65">
        <w:t>M</w:t>
      </w:r>
      <w:r>
        <w:t>odels with additional structure</w:t>
      </w:r>
      <w:r w:rsidR="000E4947">
        <w:t>,</w:t>
      </w:r>
      <w:r>
        <w:t xml:space="preserve"> such as hierarchy or complex objects</w:t>
      </w:r>
      <w:r w:rsidR="000E4947">
        <w:t>,</w:t>
      </w:r>
      <w:r w:rsidR="00C50D00">
        <w:t xml:space="preserve"> MUST have</w:t>
      </w:r>
      <w:r>
        <w:t xml:space="preserve"> additional detail about the data structure. In such cases, the </w:t>
      </w:r>
      <w:r w:rsidR="00F11D5F">
        <w:t>D</w:t>
      </w:r>
      <w:r>
        <w:t xml:space="preserve">ata </w:t>
      </w:r>
      <w:r w:rsidR="00F11D5F">
        <w:t>M</w:t>
      </w:r>
      <w:r>
        <w:t xml:space="preserve">odel SHOULD follow the documentation pattern established by </w:t>
      </w:r>
      <w:hyperlink r:id="rId40" w:history="1">
        <w:r w:rsidRPr="002B2131">
          <w:rPr>
            <w:rStyle w:val="Hyperlink"/>
          </w:rPr>
          <w:t>Schema.org</w:t>
        </w:r>
      </w:hyperlink>
      <w:r w:rsidR="000E4947">
        <w:rPr>
          <w:rStyle w:val="Hyperlink"/>
        </w:rPr>
        <w:t>,</w:t>
      </w:r>
      <w:r>
        <w:t xml:space="preserve"> and SHOULD use plain English </w:t>
      </w:r>
      <w:r w:rsidR="005B7DFC">
        <w:t>descriptions that</w:t>
      </w:r>
      <w:r w:rsidR="00F11D5F" w:rsidRPr="00780A6C">
        <w:t xml:space="preserve"> </w:t>
      </w:r>
      <w:r w:rsidR="00C50D00">
        <w:t>are</w:t>
      </w:r>
      <w:r w:rsidR="00F11D5F" w:rsidRPr="00780A6C">
        <w:t xml:space="preserve"> accessible to moderately technical readers</w:t>
      </w:r>
      <w:r w:rsidR="00F11D5F">
        <w:t>,</w:t>
      </w:r>
      <w:r>
        <w:t xml:space="preserve"> as much as possible.</w:t>
      </w:r>
    </w:p>
    <w:p w14:paraId="1AE48A96" w14:textId="77777777" w:rsidR="002B2131" w:rsidRDefault="002B2131" w:rsidP="002B2131">
      <w:pPr>
        <w:pStyle w:val="Heading2"/>
      </w:pPr>
      <w:r>
        <w:t>Concrete Data Models</w:t>
      </w:r>
    </w:p>
    <w:p w14:paraId="4CA56C5E" w14:textId="77777777" w:rsidR="00CC13D3" w:rsidRDefault="002B2131" w:rsidP="002B2131">
      <w:r>
        <w:t xml:space="preserve">Concrete </w:t>
      </w:r>
      <w:r w:rsidR="00F11D5F">
        <w:t>D</w:t>
      </w:r>
      <w:r>
        <w:t xml:space="preserve">ata </w:t>
      </w:r>
      <w:r w:rsidR="00F11D5F">
        <w:t>M</w:t>
      </w:r>
      <w:r>
        <w:t>odels MUST use an existing serialization format</w:t>
      </w:r>
      <w:r w:rsidR="00CC13D3">
        <w:t>.</w:t>
      </w:r>
      <w:r>
        <w:t xml:space="preserve"> CSV </w:t>
      </w:r>
      <w:r w:rsidR="00CC13D3">
        <w:t>and</w:t>
      </w:r>
      <w:r>
        <w:t xml:space="preserve"> XML</w:t>
      </w:r>
      <w:r w:rsidR="00CC13D3">
        <w:t xml:space="preserve"> are the preferred formats.</w:t>
      </w:r>
    </w:p>
    <w:p w14:paraId="013B1DC1" w14:textId="77777777" w:rsidR="00CC13D3" w:rsidRDefault="00CC13D3" w:rsidP="00CC13D3">
      <w:pPr>
        <w:pStyle w:val="Heading3"/>
      </w:pPr>
      <w:r>
        <w:t>CSV</w:t>
      </w:r>
    </w:p>
    <w:p w14:paraId="53F13327" w14:textId="6DE02A56" w:rsidR="00B8567F" w:rsidRDefault="002B2131" w:rsidP="002B2131">
      <w:r>
        <w:t xml:space="preserve">Data </w:t>
      </w:r>
      <w:r w:rsidR="00F11D5F">
        <w:t>M</w:t>
      </w:r>
      <w:r>
        <w:t>odels that are flat or nearly</w:t>
      </w:r>
      <w:r w:rsidR="0076161D">
        <w:t xml:space="preserve"> </w:t>
      </w:r>
      <w:r>
        <w:t>flat SHOULD use CSV format</w:t>
      </w:r>
      <w:r w:rsidR="00CC13D3">
        <w:t xml:space="preserve">. Data models that use CSV format MUST follow the version specified in </w:t>
      </w:r>
      <w:hyperlink r:id="rId41" w:history="1">
        <w:r w:rsidR="00CC13D3" w:rsidRPr="00CC13D3">
          <w:rPr>
            <w:rStyle w:val="Hyperlink"/>
          </w:rPr>
          <w:t>RFC 4180</w:t>
        </w:r>
      </w:hyperlink>
      <w:r w:rsidR="00CC13D3">
        <w:t xml:space="preserve"> and use </w:t>
      </w:r>
      <w:hyperlink r:id="rId42" w:history="1">
        <w:r w:rsidR="00CC13D3" w:rsidRPr="00CC13D3">
          <w:rPr>
            <w:rStyle w:val="Hyperlink"/>
          </w:rPr>
          <w:t>UTF-8</w:t>
        </w:r>
      </w:hyperlink>
      <w:r w:rsidR="00CC13D3">
        <w:t xml:space="preserve"> character encoding. These facts (use of RFC 4180 and UTF-8) MUST be included in the data format specification. The order of fields (columns) in the CSV file MUST be defined by the data format. </w:t>
      </w:r>
    </w:p>
    <w:p w14:paraId="6744484B" w14:textId="327310D0" w:rsidR="002B2131" w:rsidRDefault="00B8567F" w:rsidP="002B2131">
      <w:r>
        <w:t xml:space="preserve">Components that generate CSV </w:t>
      </w:r>
      <w:r w:rsidR="00F11D5F">
        <w:t xml:space="preserve">files </w:t>
      </w:r>
      <w:r>
        <w:t>MUST include one</w:t>
      </w:r>
      <w:r w:rsidR="00CC13D3">
        <w:t xml:space="preserve"> header line</w:t>
      </w:r>
      <w:r>
        <w:t xml:space="preserve"> at the beginning of the file</w:t>
      </w:r>
      <w:r w:rsidR="000E4947">
        <w:t>,</w:t>
      </w:r>
      <w:r w:rsidR="00CC13D3">
        <w:t xml:space="preserve"> and must export fields in the order specified by the data format.</w:t>
      </w:r>
    </w:p>
    <w:p w14:paraId="4196447B" w14:textId="0358BB7B" w:rsidR="00CC13D3" w:rsidRDefault="00B8567F" w:rsidP="002B2131">
      <w:r>
        <w:t xml:space="preserve">Components that accept CSV </w:t>
      </w:r>
      <w:r w:rsidR="00F11D5F">
        <w:t xml:space="preserve">files </w:t>
      </w:r>
      <w:r>
        <w:t xml:space="preserve">SHOULD detect </w:t>
      </w:r>
      <w:r w:rsidR="007B0255">
        <w:t xml:space="preserve">and tolerate </w:t>
      </w:r>
      <w:r>
        <w:t>the absence of a header line</w:t>
      </w:r>
      <w:r w:rsidR="000E4947">
        <w:t>,</w:t>
      </w:r>
      <w:r>
        <w:t xml:space="preserve"> and SHOULD accept fields in the order that the header specifies regardless of whether it is the same as in the specification.</w:t>
      </w:r>
    </w:p>
    <w:p w14:paraId="3CCDF75A" w14:textId="77777777" w:rsidR="00B8567F" w:rsidRDefault="00B8567F" w:rsidP="002B2131">
      <w:r>
        <w:t>CSV-based specifications MUST include a short sample of simulated data.</w:t>
      </w:r>
    </w:p>
    <w:p w14:paraId="44971B46" w14:textId="77777777" w:rsidR="00B8567F" w:rsidRDefault="00B8567F" w:rsidP="00B8567F">
      <w:pPr>
        <w:pStyle w:val="Heading3"/>
      </w:pPr>
      <w:r>
        <w:lastRenderedPageBreak/>
        <w:t>XML</w:t>
      </w:r>
    </w:p>
    <w:p w14:paraId="73FE35A0" w14:textId="3BCF0793" w:rsidR="00B8567F" w:rsidRDefault="00B8567F" w:rsidP="00B8567F">
      <w:r>
        <w:t>Data models that have some degree of structure SHOULD use the XML format. This may be the case even when most of the data is flat but there is a structured header to give context. It is acknowledged that JSON may be more efficient in many cases</w:t>
      </w:r>
      <w:r w:rsidR="000E4947">
        <w:t>,</w:t>
      </w:r>
      <w:r>
        <w:t xml:space="preserve"> but XML support is, at present, more widespread in programming environments</w:t>
      </w:r>
      <w:r w:rsidR="000E4947">
        <w:t>,</w:t>
      </w:r>
      <w:r>
        <w:t xml:space="preserve"> and</w:t>
      </w:r>
      <w:r w:rsidR="007B0255">
        <w:t xml:space="preserve"> it</w:t>
      </w:r>
      <w:r>
        <w:t xml:space="preserve"> benefits from better validation tools.</w:t>
      </w:r>
    </w:p>
    <w:p w14:paraId="7A5C3C39" w14:textId="10627888" w:rsidR="00B8567F" w:rsidRDefault="00DF0E58" w:rsidP="00B8567F">
      <w:r>
        <w:t xml:space="preserve">An </w:t>
      </w:r>
      <w:r w:rsidR="00B8567F">
        <w:t xml:space="preserve">XML-based specification MUST include a </w:t>
      </w:r>
      <w:r w:rsidR="0050783F">
        <w:t>formal</w:t>
      </w:r>
      <w:r>
        <w:t xml:space="preserve"> schema definition</w:t>
      </w:r>
      <w:r w:rsidR="000E4947">
        <w:t>,</w:t>
      </w:r>
      <w:r>
        <w:t xml:space="preserve"> and SHOULD use </w:t>
      </w:r>
      <w:hyperlink r:id="rId43" w:history="1">
        <w:r w:rsidRPr="00DF0E58">
          <w:rPr>
            <w:rStyle w:val="Hyperlink"/>
          </w:rPr>
          <w:t>W3C XML Schema</w:t>
        </w:r>
      </w:hyperlink>
      <w:r>
        <w:t xml:space="preserve"> (XSD) for that definition. It </w:t>
      </w:r>
      <w:r w:rsidR="003070C3">
        <w:t xml:space="preserve">MUST </w:t>
      </w:r>
      <w:r>
        <w:t xml:space="preserve">also include a more reader-friendly form. </w:t>
      </w:r>
      <w:r w:rsidR="00A93878">
        <w:t xml:space="preserve">As with abstract data models, the documentation pattern established by </w:t>
      </w:r>
      <w:hyperlink r:id="rId44" w:history="1">
        <w:r w:rsidR="00A93878" w:rsidRPr="002B2131">
          <w:rPr>
            <w:rStyle w:val="Hyperlink"/>
          </w:rPr>
          <w:t>Schema.org</w:t>
        </w:r>
      </w:hyperlink>
      <w:r w:rsidR="00A93878">
        <w:t xml:space="preserve"> is recommended with the addition that element descriptions SHOULD include sample XML</w:t>
      </w:r>
      <w:r w:rsidR="00EE1199">
        <w:t xml:space="preserve"> </w:t>
      </w:r>
      <w:r w:rsidR="00C50D00">
        <w:t>fragments</w:t>
      </w:r>
      <w:r w:rsidR="00A93878">
        <w:t>.</w:t>
      </w:r>
    </w:p>
    <w:p w14:paraId="3F7F55B6" w14:textId="7206B5BA" w:rsidR="00A93878" w:rsidRDefault="00A93878" w:rsidP="00B8567F">
      <w:r>
        <w:t xml:space="preserve">XML </w:t>
      </w:r>
      <w:r w:rsidR="0076161D">
        <w:t>n</w:t>
      </w:r>
      <w:r>
        <w:t>amespaces MUST be used. The data format MUST have its own namespace</w:t>
      </w:r>
      <w:r w:rsidR="00946A6C">
        <w:t xml:space="preserve">. The namespace </w:t>
      </w:r>
      <w:r w:rsidR="003070C3">
        <w:t>SHOULD</w:t>
      </w:r>
      <w:r w:rsidR="00946A6C">
        <w:t xml:space="preserve"> be rooted in </w:t>
      </w:r>
      <w:r w:rsidR="00055102" w:rsidRPr="00055102">
        <w:t>http://www.smarterapp.org/{</w:t>
      </w:r>
      <w:r w:rsidR="00055102">
        <w:t>version</w:t>
      </w:r>
      <w:r w:rsidR="00055102" w:rsidRPr="00055102">
        <w:t>}/</w:t>
      </w:r>
      <w:r w:rsidR="00946A6C">
        <w:t>”</w:t>
      </w:r>
      <w:r w:rsidR="003070C3">
        <w:t xml:space="preserve"> (e.g., </w:t>
      </w:r>
      <w:r w:rsidR="00055102" w:rsidRPr="00055102">
        <w:t>http://www.smarterapp.org/</w:t>
      </w:r>
      <w:r w:rsidR="00055102">
        <w:t>3.5</w:t>
      </w:r>
      <w:r w:rsidR="00055102" w:rsidRPr="00055102">
        <w:t>/MetaWidget</w:t>
      </w:r>
      <w:r w:rsidR="003070C3">
        <w:t>)</w:t>
      </w:r>
      <w:r w:rsidR="00946A6C">
        <w:t xml:space="preserve">. The data format MUST </w:t>
      </w:r>
      <w:r>
        <w:t>properly reference namespaces for any elements import</w:t>
      </w:r>
      <w:r w:rsidR="007B0255">
        <w:t>ed from other XML formats</w:t>
      </w:r>
      <w:r>
        <w:t>.</w:t>
      </w:r>
      <w:r w:rsidR="00E96325">
        <w:t xml:space="preserve"> Elements adopted from other standards</w:t>
      </w:r>
      <w:r w:rsidR="003070C3">
        <w:t xml:space="preserve"> (e.g.,</w:t>
      </w:r>
      <w:r w:rsidR="00E96325">
        <w:t xml:space="preserve"> CEDS</w:t>
      </w:r>
      <w:r w:rsidR="003070C3">
        <w:t>)</w:t>
      </w:r>
      <w:r w:rsidR="00E96325">
        <w:t>, MAY be redefined in the new format, especially when there are differences such as the changes to datatype and minimum length required for identifiers.</w:t>
      </w:r>
    </w:p>
    <w:p w14:paraId="1307FC77" w14:textId="5D03FA42" w:rsidR="00A93878" w:rsidRDefault="00A93878" w:rsidP="00B8567F">
      <w:r>
        <w:t xml:space="preserve">XML elements </w:t>
      </w:r>
      <w:r w:rsidR="007B0255">
        <w:t>are preferred over X</w:t>
      </w:r>
      <w:r>
        <w:t>ML attributes</w:t>
      </w:r>
      <w:r w:rsidR="007B0255">
        <w:t>. Attributes</w:t>
      </w:r>
      <w:r>
        <w:t xml:space="preserve"> SHOULD NOT be used unless they are imported from another </w:t>
      </w:r>
      <w:r w:rsidR="00E96325">
        <w:t>schema</w:t>
      </w:r>
      <w:r>
        <w:t xml:space="preserve">. </w:t>
      </w:r>
      <w:r w:rsidR="00E96325">
        <w:t xml:space="preserve">Doing so </w:t>
      </w:r>
      <w:r>
        <w:t>facilitates automated translation into other formats</w:t>
      </w:r>
      <w:r w:rsidR="00E96325">
        <w:t xml:space="preserve"> that </w:t>
      </w:r>
      <w:r w:rsidR="003070C3">
        <w:t>do not</w:t>
      </w:r>
      <w:r w:rsidR="00E96325">
        <w:t xml:space="preserve"> have attributes</w:t>
      </w:r>
      <w:r w:rsidR="003070C3">
        <w:t xml:space="preserve"> (e.g., </w:t>
      </w:r>
      <w:r>
        <w:t>JSON</w:t>
      </w:r>
      <w:r w:rsidR="003070C3">
        <w:t>)</w:t>
      </w:r>
      <w:r>
        <w:t>.</w:t>
      </w:r>
    </w:p>
    <w:p w14:paraId="346D1070" w14:textId="77777777" w:rsidR="00A93878" w:rsidRDefault="00A93878" w:rsidP="00A93878">
      <w:pPr>
        <w:pStyle w:val="Heading1"/>
        <w:pageBreakBefore/>
      </w:pPr>
      <w:r>
        <w:lastRenderedPageBreak/>
        <w:t>Data Exchange Protocol</w:t>
      </w:r>
    </w:p>
    <w:p w14:paraId="571C5CCC" w14:textId="6D4FA5DD" w:rsidR="00A93878" w:rsidRDefault="00A93878" w:rsidP="00A93878">
      <w:r>
        <w:t xml:space="preserve">The Data Exchange Protocol MUST be </w:t>
      </w:r>
      <w:r w:rsidR="008E37BF">
        <w:t>specified</w:t>
      </w:r>
      <w:r>
        <w:t xml:space="preserve"> separately from the Data Format.</w:t>
      </w:r>
      <w:r w:rsidR="008E37BF">
        <w:t xml:space="preserve"> When part of the same document, the </w:t>
      </w:r>
      <w:r w:rsidR="00094E59">
        <w:t xml:space="preserve">Data Exchange </w:t>
      </w:r>
      <w:r w:rsidR="008E37BF">
        <w:t>Protocol</w:t>
      </w:r>
      <w:r w:rsidR="00C50D00">
        <w:t xml:space="preserve"> and</w:t>
      </w:r>
      <w:r w:rsidR="008E37BF">
        <w:t xml:space="preserve"> </w:t>
      </w:r>
      <w:r w:rsidR="00094E59">
        <w:t xml:space="preserve">the Data Format </w:t>
      </w:r>
      <w:r w:rsidR="0076161D">
        <w:t xml:space="preserve">MUST </w:t>
      </w:r>
      <w:r w:rsidR="008E37BF">
        <w:t>be in separate sections.</w:t>
      </w:r>
      <w:r>
        <w:t xml:space="preserve"> </w:t>
      </w:r>
      <w:r w:rsidR="008E37BF">
        <w:t xml:space="preserve">All transfers, regardless of whether student data is included, </w:t>
      </w:r>
      <w:r w:rsidR="00F54161">
        <w:t xml:space="preserve">MUST </w:t>
      </w:r>
      <w:r w:rsidR="008E37BF">
        <w:t xml:space="preserve">use standard channel encryption </w:t>
      </w:r>
      <w:r w:rsidR="00DF71C6">
        <w:t xml:space="preserve">(i.e., </w:t>
      </w:r>
      <w:r w:rsidR="008E37BF">
        <w:t>HTTPS, FTPS</w:t>
      </w:r>
      <w:r w:rsidR="00DF71C6">
        <w:t xml:space="preserve">, </w:t>
      </w:r>
      <w:r w:rsidR="008E37BF">
        <w:t>SFTP</w:t>
      </w:r>
      <w:r w:rsidR="00DF71C6">
        <w:t>)</w:t>
      </w:r>
      <w:r w:rsidR="008E37BF">
        <w:t>.</w:t>
      </w:r>
    </w:p>
    <w:p w14:paraId="7620DC37" w14:textId="77777777" w:rsidR="008E37BF" w:rsidRDefault="008E37BF" w:rsidP="00A93878">
      <w:r>
        <w:t xml:space="preserve">APIs and protocols SHOULD use </w:t>
      </w:r>
      <w:hyperlink r:id="rId45" w:history="1">
        <w:r w:rsidRPr="008E37BF">
          <w:rPr>
            <w:rStyle w:val="Hyperlink"/>
          </w:rPr>
          <w:t>RESTful</w:t>
        </w:r>
      </w:hyperlink>
      <w:r>
        <w:t xml:space="preserve"> design patterns.</w:t>
      </w:r>
    </w:p>
    <w:p w14:paraId="65AD2F93" w14:textId="77777777" w:rsidR="00ED7954" w:rsidRDefault="00ED7954" w:rsidP="00ED7954">
      <w:pPr>
        <w:pStyle w:val="Heading2"/>
      </w:pPr>
      <w:r>
        <w:t>Data Transfer Protocols</w:t>
      </w:r>
    </w:p>
    <w:p w14:paraId="40071583" w14:textId="77777777" w:rsidR="008E37BF" w:rsidRDefault="008E37BF" w:rsidP="00A93878">
      <w:r>
        <w:t>All data transfers that originate with the recipient, whether large or small, SHOULD use the HTTPS protocol.</w:t>
      </w:r>
    </w:p>
    <w:p w14:paraId="6AD106C6" w14:textId="48A72A11" w:rsidR="008E37BF" w:rsidRDefault="008E37BF" w:rsidP="00A93878">
      <w:r>
        <w:t xml:space="preserve">When </w:t>
      </w:r>
      <w:r w:rsidR="00C041E0">
        <w:t xml:space="preserve">responding to requests for potentially </w:t>
      </w:r>
      <w:r>
        <w:t>large files</w:t>
      </w:r>
      <w:r w:rsidR="000E4947">
        <w:t>,</w:t>
      </w:r>
      <w:r>
        <w:t xml:space="preserve"> HTTP servers MUST efficiently support client requests to segment the file into multiple parts and/or restart a broken transfer. </w:t>
      </w:r>
      <w:r w:rsidR="00C041E0">
        <w:t>This means that the server MUST assume that the client will make multiple “GET” or “POST” requests</w:t>
      </w:r>
      <w:r w:rsidR="000E4947">
        <w:t>,</w:t>
      </w:r>
      <w:r w:rsidR="00C041E0">
        <w:t xml:space="preserve"> each with a “Range” header that indicates a portion of the whole file. For example, the client may request the transfer of a 100MB file in 50 2MB chunks</w:t>
      </w:r>
      <w:r w:rsidR="000E4947">
        <w:t>,</w:t>
      </w:r>
      <w:r w:rsidR="00C041E0">
        <w:t xml:space="preserve"> each using a “Range” header to specify the portion being requested. When responding to such a series of requests, the server SHOULD respond with segments of a cached copy of the data. </w:t>
      </w:r>
      <w:r w:rsidR="00DF71C6">
        <w:t xml:space="preserve">The server </w:t>
      </w:r>
      <w:r w:rsidR="00C041E0">
        <w:t>SHOULD NOT re-generate the data in response to each request for a part of the response.</w:t>
      </w:r>
    </w:p>
    <w:p w14:paraId="6FFDBF01" w14:textId="77777777" w:rsidR="00C041E0" w:rsidRDefault="00C041E0" w:rsidP="00A93878">
      <w:r>
        <w:t>Small data transfers that originate with the transmitter SHOULD use the HTTPS protocol.</w:t>
      </w:r>
    </w:p>
    <w:p w14:paraId="74958AE9" w14:textId="019E8F10" w:rsidR="00C041E0" w:rsidRDefault="00C041E0" w:rsidP="00A93878">
      <w:r>
        <w:t xml:space="preserve">Large data transfers that originate with the transmitter MAY use FTPS or SFTP. However, it is </w:t>
      </w:r>
      <w:r w:rsidR="005B7DFC">
        <w:t xml:space="preserve">RECOMMENDED </w:t>
      </w:r>
      <w:r>
        <w:t>that such transfers use the HTTPS protocol</w:t>
      </w:r>
      <w:r w:rsidR="000E4947">
        <w:t>,</w:t>
      </w:r>
      <w:r>
        <w:t xml:space="preserve"> and that they utilize the “Content-Range” header to transmit a large file in multiple small segments. This will result in similar reliability to the use of FTP </w:t>
      </w:r>
      <w:r w:rsidR="00566686">
        <w:t>family</w:t>
      </w:r>
      <w:r>
        <w:t xml:space="preserve"> protocols</w:t>
      </w:r>
      <w:r w:rsidR="000E4947">
        <w:t>,</w:t>
      </w:r>
      <w:r>
        <w:t xml:space="preserve"> while </w:t>
      </w:r>
      <w:r w:rsidR="00ED7954">
        <w:t>facilitating</w:t>
      </w:r>
      <w:r>
        <w:t xml:space="preserve"> the use of the same RESTful protocol designs</w:t>
      </w:r>
      <w:r w:rsidR="00566686">
        <w:t xml:space="preserve"> and </w:t>
      </w:r>
      <w:r w:rsidR="007300C9">
        <w:t>Single Sign On</w:t>
      </w:r>
      <w:r w:rsidR="00566686">
        <w:t xml:space="preserve"> security</w:t>
      </w:r>
      <w:r>
        <w:t xml:space="preserve"> that are used in the balance of the API.</w:t>
      </w:r>
    </w:p>
    <w:p w14:paraId="27FF0F19" w14:textId="77777777" w:rsidR="00ED7954" w:rsidRDefault="00ED7954" w:rsidP="00ED7954">
      <w:pPr>
        <w:pStyle w:val="Heading2"/>
      </w:pPr>
      <w:r>
        <w:t>Authentication and Authorization</w:t>
      </w:r>
    </w:p>
    <w:p w14:paraId="7EF2EEB2" w14:textId="3AE313A2" w:rsidR="00ED7954" w:rsidRDefault="00ED7954" w:rsidP="00ED7954">
      <w:r>
        <w:t xml:space="preserve">The same SAML-Based </w:t>
      </w:r>
      <w:r w:rsidR="007300C9">
        <w:t>Single Sign On</w:t>
      </w:r>
      <w:r>
        <w:t xml:space="preserve"> and Permissions infrastructure that is used to authenticate and authorize users for browser-to-server communications SHOULD also be used to authenticate and authorize systems for server-to-server communications. Under certain circumstances, this may necessitate creating accounts within the SSO system for services as opposed to users. For example, an account might be created for a Test Delivery Instance</w:t>
      </w:r>
      <w:r w:rsidR="000E4947">
        <w:t>,</w:t>
      </w:r>
      <w:r>
        <w:t xml:space="preserve"> and that account would be authorized to transmit data </w:t>
      </w:r>
      <w:r w:rsidR="00566686">
        <w:t>about</w:t>
      </w:r>
      <w:r>
        <w:t xml:space="preserve"> a particular state into the data warehouse.</w:t>
      </w:r>
    </w:p>
    <w:p w14:paraId="2ECC4960" w14:textId="79AA27C9" w:rsidR="00DF1B42" w:rsidRDefault="00DF1B42" w:rsidP="00D11246">
      <w:pPr>
        <w:pStyle w:val="Heading2"/>
      </w:pPr>
      <w:r>
        <w:t>Atomic Transfers</w:t>
      </w:r>
    </w:p>
    <w:p w14:paraId="054DE605" w14:textId="0EAB2E1E" w:rsidR="00DF1B42" w:rsidRDefault="00DF1B42" w:rsidP="00D11246">
      <w:r>
        <w:t xml:space="preserve">All transmissions SHOULD be atomic in that all data that is associated by dependencies SHOULD be </w:t>
      </w:r>
      <w:r w:rsidR="009D10CD">
        <w:t>combined into a single document transmitted in a single transaction</w:t>
      </w:r>
      <w:r>
        <w:t xml:space="preserve">. </w:t>
      </w:r>
      <w:r w:rsidR="007D13A9">
        <w:t xml:space="preserve">For large documents, that transmission </w:t>
      </w:r>
      <w:r w:rsidR="009D10CD">
        <w:t>MAY</w:t>
      </w:r>
      <w:r w:rsidR="007D13A9">
        <w:t xml:space="preserve"> be divided into multiple parts as described above in the “Data Transfer Protocols” section. </w:t>
      </w:r>
      <w:r>
        <w:t>Document validity SHOULD be verified</w:t>
      </w:r>
      <w:r w:rsidR="009D10CD">
        <w:t xml:space="preserve"> and the data MUST be stored in a reliable datastore</w:t>
      </w:r>
      <w:r>
        <w:t xml:space="preserve"> before receipt is acknowledged. In this way, the sender of the data can safely dispose of data once receipt has been acknowledged.</w:t>
      </w:r>
    </w:p>
    <w:p w14:paraId="4B09A24A" w14:textId="29A90AAD" w:rsidR="00D11246" w:rsidRDefault="00D11246" w:rsidP="00D11246">
      <w:r>
        <w:t>Atomic transfers</w:t>
      </w:r>
      <w:r w:rsidR="0095245E">
        <w:t xml:space="preserve"> of this sort</w:t>
      </w:r>
      <w:r>
        <w:t xml:space="preserve"> simplify protocols by avoiding asynchronous acknowledgements, distributed transaction coordination</w:t>
      </w:r>
      <w:r w:rsidR="005B7DFC">
        <w:t>,</w:t>
      </w:r>
      <w:r>
        <w:t xml:space="preserve"> and related complexities. When a large number of documents need to</w:t>
      </w:r>
      <w:r w:rsidR="00D7689E">
        <w:t xml:space="preserve"> </w:t>
      </w:r>
      <w:r w:rsidR="00D7689E" w:rsidRPr="0064426F">
        <w:t>be</w:t>
      </w:r>
      <w:r>
        <w:t xml:space="preserve"> transferred, the synchronous nature of such protocols can slow things down</w:t>
      </w:r>
      <w:r w:rsidR="000E4947">
        <w:t>,</w:t>
      </w:r>
      <w:r>
        <w:t xml:space="preserve"> since the sender has to wait for an acknowledgement following transmission. Such overhead can be minimized by using parallel processes to transmit multiple documents at the same time.</w:t>
      </w:r>
    </w:p>
    <w:p w14:paraId="5EA36ADE" w14:textId="396028BA" w:rsidR="009D10CD" w:rsidRDefault="00D11246" w:rsidP="00213578">
      <w:pPr>
        <w:pStyle w:val="Heading2"/>
      </w:pPr>
      <w:r>
        <w:lastRenderedPageBreak/>
        <w:t>Repeat</w:t>
      </w:r>
      <w:r w:rsidR="009D10CD">
        <w:t xml:space="preserve"> Transmissions</w:t>
      </w:r>
    </w:p>
    <w:p w14:paraId="5814F0FD" w14:textId="550B5521" w:rsidR="009D10CD" w:rsidRPr="009D10CD" w:rsidRDefault="009D10CD" w:rsidP="00213578">
      <w:r>
        <w:t>If the same data is transmitted multiple times</w:t>
      </w:r>
      <w:r w:rsidR="000E4947">
        <w:t>,</w:t>
      </w:r>
      <w:r>
        <w:t xml:space="preserve"> the result </w:t>
      </w:r>
      <w:r w:rsidR="0095245E">
        <w:t xml:space="preserve">SHOULD </w:t>
      </w:r>
      <w:bookmarkStart w:id="0" w:name="_GoBack"/>
      <w:bookmarkEnd w:id="0"/>
      <w:r>
        <w:t xml:space="preserve">be equivalent to sending the data one time. This is in accordance to REST design principles. When data is intended to be repeated in a dataset (e.g. the same student took </w:t>
      </w:r>
      <w:r w:rsidR="00D11246">
        <w:t>the same</w:t>
      </w:r>
      <w:r>
        <w:t xml:space="preserve"> test multiple times) then there SHOULD be some value in the document that distinguishes between the multiple instances so that the latter instance doesn’t replace the former.</w:t>
      </w:r>
    </w:p>
    <w:p w14:paraId="7444D3CF" w14:textId="77777777" w:rsidR="00ED7954" w:rsidRPr="00A93878" w:rsidRDefault="00ED7954" w:rsidP="00A93878"/>
    <w:sectPr w:rsidR="00ED7954" w:rsidRPr="00A93878" w:rsidSect="00951C73">
      <w:footerReference w:type="default" r:id="rId4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29E07" w14:textId="77777777" w:rsidR="00284E70" w:rsidRDefault="00284E70" w:rsidP="0035476E">
      <w:r>
        <w:separator/>
      </w:r>
    </w:p>
  </w:endnote>
  <w:endnote w:type="continuationSeparator" w:id="0">
    <w:p w14:paraId="0A181A50" w14:textId="77777777" w:rsidR="00284E70" w:rsidRDefault="00284E70" w:rsidP="0035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BDC72" w14:textId="77777777" w:rsidR="00284E70" w:rsidRPr="00A26BA3" w:rsidRDefault="00284E70" w:rsidP="0035476E">
    <w:pPr>
      <w:pStyle w:val="Footer"/>
    </w:pPr>
    <w:r>
      <w:t xml:space="preserve">Data Format Specification Standards </w:t>
    </w:r>
    <w:r>
      <w:tab/>
    </w:r>
    <w:r w:rsidRPr="00A26BA3">
      <w:fldChar w:fldCharType="begin"/>
    </w:r>
    <w:r w:rsidRPr="00A26BA3">
      <w:instrText xml:space="preserve"> PAGE   \* MERGEFORMAT </w:instrText>
    </w:r>
    <w:r w:rsidRPr="00A26BA3">
      <w:fldChar w:fldCharType="separate"/>
    </w:r>
    <w:r w:rsidR="00F54161">
      <w:rPr>
        <w:noProof/>
      </w:rPr>
      <w:t>1</w:t>
    </w:r>
    <w:r w:rsidRPr="00A26BA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64957" w14:textId="77777777" w:rsidR="00284E70" w:rsidRDefault="00284E70" w:rsidP="0035476E">
      <w:r>
        <w:separator/>
      </w:r>
    </w:p>
  </w:footnote>
  <w:footnote w:type="continuationSeparator" w:id="0">
    <w:p w14:paraId="757E16D4" w14:textId="77777777" w:rsidR="00284E70" w:rsidRDefault="00284E70" w:rsidP="0035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269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5CC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55A5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A00D7E"/>
    <w:lvl w:ilvl="0">
      <w:start w:val="1"/>
      <w:numFmt w:val="lowerLetter"/>
      <w:pStyle w:val="ListNumber2"/>
      <w:lvlText w:val="%1.    "/>
      <w:lvlJc w:val="left"/>
      <w:pPr>
        <w:ind w:left="1080" w:hanging="360"/>
      </w:pPr>
      <w:rPr>
        <w:rFonts w:hint="default"/>
      </w:rPr>
    </w:lvl>
  </w:abstractNum>
  <w:abstractNum w:abstractNumId="4">
    <w:nsid w:val="FFFFFF80"/>
    <w:multiLevelType w:val="singleLevel"/>
    <w:tmpl w:val="1E24AB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1EC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0E82BC"/>
    <w:lvl w:ilvl="0">
      <w:start w:val="1"/>
      <w:numFmt w:val="bullet"/>
      <w:pStyle w:val="ListBullet3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AF0F4FC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8">
    <w:nsid w:val="FFFFFF88"/>
    <w:multiLevelType w:val="singleLevel"/>
    <w:tmpl w:val="77C06F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BA4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4475B"/>
    <w:multiLevelType w:val="hybridMultilevel"/>
    <w:tmpl w:val="6046CB1E"/>
    <w:lvl w:ilvl="0" w:tplc="4E6CED94">
      <w:start w:val="1"/>
      <w:numFmt w:val="bullet"/>
      <w:pStyle w:val="TableBullet2"/>
      <w:lvlText w:val="–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75C099E"/>
    <w:multiLevelType w:val="hybridMultilevel"/>
    <w:tmpl w:val="4234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B43547"/>
    <w:multiLevelType w:val="hybridMultilevel"/>
    <w:tmpl w:val="4E72D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B51653"/>
    <w:multiLevelType w:val="hybridMultilevel"/>
    <w:tmpl w:val="34FA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6C05E0"/>
    <w:multiLevelType w:val="hybridMultilevel"/>
    <w:tmpl w:val="35FC9636"/>
    <w:lvl w:ilvl="0" w:tplc="28A6D71E">
      <w:numFmt w:val="bullet"/>
      <w:lvlText w:val="-"/>
      <w:lvlJc w:val="left"/>
      <w:pPr>
        <w:ind w:left="408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>
    <w:nsid w:val="1B8E461F"/>
    <w:multiLevelType w:val="hybridMultilevel"/>
    <w:tmpl w:val="C8EC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DC2AE9"/>
    <w:multiLevelType w:val="hybridMultilevel"/>
    <w:tmpl w:val="CA32696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2F5455C0"/>
    <w:multiLevelType w:val="hybridMultilevel"/>
    <w:tmpl w:val="C404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C34A6"/>
    <w:multiLevelType w:val="hybridMultilevel"/>
    <w:tmpl w:val="2138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90327"/>
    <w:multiLevelType w:val="hybridMultilevel"/>
    <w:tmpl w:val="193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220F7"/>
    <w:multiLevelType w:val="hybridMultilevel"/>
    <w:tmpl w:val="DBA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D4443"/>
    <w:multiLevelType w:val="hybridMultilevel"/>
    <w:tmpl w:val="EB7475A8"/>
    <w:lvl w:ilvl="0" w:tplc="2594FFE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43E94"/>
    <w:multiLevelType w:val="hybridMultilevel"/>
    <w:tmpl w:val="0974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D447F"/>
    <w:multiLevelType w:val="hybridMultilevel"/>
    <w:tmpl w:val="17A6C500"/>
    <w:lvl w:ilvl="0" w:tplc="99C49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D442C"/>
    <w:multiLevelType w:val="hybridMultilevel"/>
    <w:tmpl w:val="3F4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4306E"/>
    <w:multiLevelType w:val="hybridMultilevel"/>
    <w:tmpl w:val="6C1C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416C6"/>
    <w:multiLevelType w:val="hybridMultilevel"/>
    <w:tmpl w:val="A3AA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10"/>
  </w:num>
  <w:num w:numId="15">
    <w:abstractNumId w:val="9"/>
  </w:num>
  <w:num w:numId="16">
    <w:abstractNumId w:val="7"/>
  </w:num>
  <w:num w:numId="17">
    <w:abstractNumId w:val="6"/>
  </w:num>
  <w:num w:numId="18">
    <w:abstractNumId w:val="8"/>
  </w:num>
  <w:num w:numId="19">
    <w:abstractNumId w:val="3"/>
  </w:num>
  <w:num w:numId="20">
    <w:abstractNumId w:val="21"/>
  </w:num>
  <w:num w:numId="21">
    <w:abstractNumId w:val="10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5"/>
  </w:num>
  <w:num w:numId="25">
    <w:abstractNumId w:val="13"/>
  </w:num>
  <w:num w:numId="26">
    <w:abstractNumId w:val="20"/>
  </w:num>
  <w:num w:numId="27">
    <w:abstractNumId w:val="17"/>
  </w:num>
  <w:num w:numId="28">
    <w:abstractNumId w:val="15"/>
  </w:num>
  <w:num w:numId="29">
    <w:abstractNumId w:val="24"/>
  </w:num>
  <w:num w:numId="30">
    <w:abstractNumId w:val="16"/>
  </w:num>
  <w:num w:numId="31">
    <w:abstractNumId w:val="18"/>
  </w:num>
  <w:num w:numId="32">
    <w:abstractNumId w:val="11"/>
  </w:num>
  <w:num w:numId="33">
    <w:abstractNumId w:val="19"/>
  </w:num>
  <w:num w:numId="34">
    <w:abstractNumId w:val="22"/>
  </w:num>
  <w:num w:numId="35">
    <w:abstractNumId w:val="2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78"/>
    <w:rsid w:val="00010827"/>
    <w:rsid w:val="00040343"/>
    <w:rsid w:val="0004693F"/>
    <w:rsid w:val="00055102"/>
    <w:rsid w:val="0005787D"/>
    <w:rsid w:val="00094E59"/>
    <w:rsid w:val="000C2379"/>
    <w:rsid w:val="000C2AE2"/>
    <w:rsid w:val="000C5DA5"/>
    <w:rsid w:val="000E359A"/>
    <w:rsid w:val="000E4947"/>
    <w:rsid w:val="000F31E3"/>
    <w:rsid w:val="000F678E"/>
    <w:rsid w:val="00100A3F"/>
    <w:rsid w:val="001025C1"/>
    <w:rsid w:val="00107C54"/>
    <w:rsid w:val="00117F79"/>
    <w:rsid w:val="001207D4"/>
    <w:rsid w:val="00122961"/>
    <w:rsid w:val="00124FAC"/>
    <w:rsid w:val="0013215E"/>
    <w:rsid w:val="00141E4C"/>
    <w:rsid w:val="00144462"/>
    <w:rsid w:val="00154AEA"/>
    <w:rsid w:val="0017606C"/>
    <w:rsid w:val="001823F0"/>
    <w:rsid w:val="0019534E"/>
    <w:rsid w:val="001A24DB"/>
    <w:rsid w:val="001A3156"/>
    <w:rsid w:val="001B04D1"/>
    <w:rsid w:val="001D5278"/>
    <w:rsid w:val="001D53C6"/>
    <w:rsid w:val="001E0CBE"/>
    <w:rsid w:val="00213578"/>
    <w:rsid w:val="00221D2B"/>
    <w:rsid w:val="002365B9"/>
    <w:rsid w:val="00250F39"/>
    <w:rsid w:val="002536B8"/>
    <w:rsid w:val="002576A2"/>
    <w:rsid w:val="00284E70"/>
    <w:rsid w:val="0029736B"/>
    <w:rsid w:val="002B2131"/>
    <w:rsid w:val="002B63E3"/>
    <w:rsid w:val="002C37F5"/>
    <w:rsid w:val="002C5556"/>
    <w:rsid w:val="002D3273"/>
    <w:rsid w:val="002D3572"/>
    <w:rsid w:val="002E15F9"/>
    <w:rsid w:val="002F32B5"/>
    <w:rsid w:val="002F6E54"/>
    <w:rsid w:val="003070C3"/>
    <w:rsid w:val="003208FB"/>
    <w:rsid w:val="003263CE"/>
    <w:rsid w:val="0034209A"/>
    <w:rsid w:val="00342F57"/>
    <w:rsid w:val="003524FE"/>
    <w:rsid w:val="0035476E"/>
    <w:rsid w:val="00362FA0"/>
    <w:rsid w:val="00364574"/>
    <w:rsid w:val="00373C66"/>
    <w:rsid w:val="00380306"/>
    <w:rsid w:val="00383A76"/>
    <w:rsid w:val="003A54BA"/>
    <w:rsid w:val="003A6883"/>
    <w:rsid w:val="003B403D"/>
    <w:rsid w:val="003C13EA"/>
    <w:rsid w:val="003C63BA"/>
    <w:rsid w:val="003E1C59"/>
    <w:rsid w:val="003E67EE"/>
    <w:rsid w:val="003F0451"/>
    <w:rsid w:val="00420393"/>
    <w:rsid w:val="00425116"/>
    <w:rsid w:val="00480BD9"/>
    <w:rsid w:val="0048323E"/>
    <w:rsid w:val="004A5714"/>
    <w:rsid w:val="004B6328"/>
    <w:rsid w:val="004D1F2A"/>
    <w:rsid w:val="004E5B23"/>
    <w:rsid w:val="004E735B"/>
    <w:rsid w:val="004F47A4"/>
    <w:rsid w:val="0050783F"/>
    <w:rsid w:val="0051549F"/>
    <w:rsid w:val="00546672"/>
    <w:rsid w:val="005555D0"/>
    <w:rsid w:val="005564E8"/>
    <w:rsid w:val="00557105"/>
    <w:rsid w:val="00566686"/>
    <w:rsid w:val="005754D1"/>
    <w:rsid w:val="00583EE5"/>
    <w:rsid w:val="00587714"/>
    <w:rsid w:val="005A6354"/>
    <w:rsid w:val="005B5509"/>
    <w:rsid w:val="005B7DFC"/>
    <w:rsid w:val="005C68A8"/>
    <w:rsid w:val="005D0EC1"/>
    <w:rsid w:val="005D55A5"/>
    <w:rsid w:val="005E0778"/>
    <w:rsid w:val="005E07C1"/>
    <w:rsid w:val="005F3FF4"/>
    <w:rsid w:val="005F4324"/>
    <w:rsid w:val="00614992"/>
    <w:rsid w:val="00620C84"/>
    <w:rsid w:val="00631F8B"/>
    <w:rsid w:val="00636E54"/>
    <w:rsid w:val="0064426F"/>
    <w:rsid w:val="00645140"/>
    <w:rsid w:val="00646D6E"/>
    <w:rsid w:val="00660D13"/>
    <w:rsid w:val="00663313"/>
    <w:rsid w:val="0068185E"/>
    <w:rsid w:val="00685A45"/>
    <w:rsid w:val="00685EA6"/>
    <w:rsid w:val="006902C6"/>
    <w:rsid w:val="00690390"/>
    <w:rsid w:val="00692AD5"/>
    <w:rsid w:val="00692B9D"/>
    <w:rsid w:val="006938DA"/>
    <w:rsid w:val="006A55B5"/>
    <w:rsid w:val="006B0E25"/>
    <w:rsid w:val="006D3157"/>
    <w:rsid w:val="006D3D09"/>
    <w:rsid w:val="006F6CF1"/>
    <w:rsid w:val="00703FF4"/>
    <w:rsid w:val="007061C3"/>
    <w:rsid w:val="0071336A"/>
    <w:rsid w:val="007134CC"/>
    <w:rsid w:val="0072289F"/>
    <w:rsid w:val="00727FE0"/>
    <w:rsid w:val="007300C9"/>
    <w:rsid w:val="0076161D"/>
    <w:rsid w:val="007621E3"/>
    <w:rsid w:val="0077075B"/>
    <w:rsid w:val="00780A6C"/>
    <w:rsid w:val="007867E5"/>
    <w:rsid w:val="007911FF"/>
    <w:rsid w:val="00793C2F"/>
    <w:rsid w:val="007B0255"/>
    <w:rsid w:val="007B4960"/>
    <w:rsid w:val="007B7F35"/>
    <w:rsid w:val="007C3B0C"/>
    <w:rsid w:val="007D1322"/>
    <w:rsid w:val="007D13A9"/>
    <w:rsid w:val="007D526A"/>
    <w:rsid w:val="007E6AA2"/>
    <w:rsid w:val="007F768D"/>
    <w:rsid w:val="00802054"/>
    <w:rsid w:val="00811151"/>
    <w:rsid w:val="00853218"/>
    <w:rsid w:val="008676DC"/>
    <w:rsid w:val="0087187E"/>
    <w:rsid w:val="00877495"/>
    <w:rsid w:val="008869CD"/>
    <w:rsid w:val="008964E5"/>
    <w:rsid w:val="008A097C"/>
    <w:rsid w:val="008B024F"/>
    <w:rsid w:val="008D1104"/>
    <w:rsid w:val="008D1EA6"/>
    <w:rsid w:val="008D266C"/>
    <w:rsid w:val="008E1D9D"/>
    <w:rsid w:val="008E37BF"/>
    <w:rsid w:val="008E5E33"/>
    <w:rsid w:val="00901B5E"/>
    <w:rsid w:val="00905C3F"/>
    <w:rsid w:val="00916375"/>
    <w:rsid w:val="00935F84"/>
    <w:rsid w:val="00944F67"/>
    <w:rsid w:val="00946A6C"/>
    <w:rsid w:val="00951C73"/>
    <w:rsid w:val="0095245E"/>
    <w:rsid w:val="009535FD"/>
    <w:rsid w:val="00956779"/>
    <w:rsid w:val="009807A5"/>
    <w:rsid w:val="00996FE4"/>
    <w:rsid w:val="009A3271"/>
    <w:rsid w:val="009A4D84"/>
    <w:rsid w:val="009A6764"/>
    <w:rsid w:val="009B6A9B"/>
    <w:rsid w:val="009B7B09"/>
    <w:rsid w:val="009C58FC"/>
    <w:rsid w:val="009D10CD"/>
    <w:rsid w:val="009D561B"/>
    <w:rsid w:val="009E4BE9"/>
    <w:rsid w:val="009F3033"/>
    <w:rsid w:val="009F471B"/>
    <w:rsid w:val="00A1131A"/>
    <w:rsid w:val="00A14ABD"/>
    <w:rsid w:val="00A16D2A"/>
    <w:rsid w:val="00A26BA3"/>
    <w:rsid w:val="00A3580A"/>
    <w:rsid w:val="00A42620"/>
    <w:rsid w:val="00A42E68"/>
    <w:rsid w:val="00A47FE4"/>
    <w:rsid w:val="00A52217"/>
    <w:rsid w:val="00A548A4"/>
    <w:rsid w:val="00A77B56"/>
    <w:rsid w:val="00A872B6"/>
    <w:rsid w:val="00A93878"/>
    <w:rsid w:val="00AB2E01"/>
    <w:rsid w:val="00AC7562"/>
    <w:rsid w:val="00AD287D"/>
    <w:rsid w:val="00B14DD1"/>
    <w:rsid w:val="00B20A9B"/>
    <w:rsid w:val="00B407F8"/>
    <w:rsid w:val="00B43CB5"/>
    <w:rsid w:val="00B53A6A"/>
    <w:rsid w:val="00B77D86"/>
    <w:rsid w:val="00B8567F"/>
    <w:rsid w:val="00BA58E8"/>
    <w:rsid w:val="00BB5E13"/>
    <w:rsid w:val="00BC10DA"/>
    <w:rsid w:val="00C02B81"/>
    <w:rsid w:val="00C0397D"/>
    <w:rsid w:val="00C041E0"/>
    <w:rsid w:val="00C16716"/>
    <w:rsid w:val="00C21625"/>
    <w:rsid w:val="00C41084"/>
    <w:rsid w:val="00C50D00"/>
    <w:rsid w:val="00C52BB2"/>
    <w:rsid w:val="00C565E1"/>
    <w:rsid w:val="00C57955"/>
    <w:rsid w:val="00C72F65"/>
    <w:rsid w:val="00C83748"/>
    <w:rsid w:val="00C95740"/>
    <w:rsid w:val="00C9713C"/>
    <w:rsid w:val="00CB33B5"/>
    <w:rsid w:val="00CB4332"/>
    <w:rsid w:val="00CC13D3"/>
    <w:rsid w:val="00CF289E"/>
    <w:rsid w:val="00D01055"/>
    <w:rsid w:val="00D04882"/>
    <w:rsid w:val="00D10132"/>
    <w:rsid w:val="00D11246"/>
    <w:rsid w:val="00D24181"/>
    <w:rsid w:val="00D55606"/>
    <w:rsid w:val="00D61CF6"/>
    <w:rsid w:val="00D7689E"/>
    <w:rsid w:val="00D94507"/>
    <w:rsid w:val="00DB6CD5"/>
    <w:rsid w:val="00DD0D4E"/>
    <w:rsid w:val="00DE6AF6"/>
    <w:rsid w:val="00DF0E58"/>
    <w:rsid w:val="00DF1B42"/>
    <w:rsid w:val="00DF3695"/>
    <w:rsid w:val="00DF71C6"/>
    <w:rsid w:val="00E000A6"/>
    <w:rsid w:val="00E00D4A"/>
    <w:rsid w:val="00E164EB"/>
    <w:rsid w:val="00E17EFE"/>
    <w:rsid w:val="00E23735"/>
    <w:rsid w:val="00E251C2"/>
    <w:rsid w:val="00E3250C"/>
    <w:rsid w:val="00E35816"/>
    <w:rsid w:val="00E36D02"/>
    <w:rsid w:val="00E42B55"/>
    <w:rsid w:val="00E50BBA"/>
    <w:rsid w:val="00E5329D"/>
    <w:rsid w:val="00E61715"/>
    <w:rsid w:val="00E7229B"/>
    <w:rsid w:val="00E85C8E"/>
    <w:rsid w:val="00E91762"/>
    <w:rsid w:val="00E96325"/>
    <w:rsid w:val="00E977BD"/>
    <w:rsid w:val="00EB0B4E"/>
    <w:rsid w:val="00EC2849"/>
    <w:rsid w:val="00ED135E"/>
    <w:rsid w:val="00ED65A4"/>
    <w:rsid w:val="00ED7954"/>
    <w:rsid w:val="00EE1199"/>
    <w:rsid w:val="00EE32D0"/>
    <w:rsid w:val="00EF0ECA"/>
    <w:rsid w:val="00EF77E9"/>
    <w:rsid w:val="00F03767"/>
    <w:rsid w:val="00F045DA"/>
    <w:rsid w:val="00F11D5F"/>
    <w:rsid w:val="00F26EEF"/>
    <w:rsid w:val="00F376B7"/>
    <w:rsid w:val="00F40580"/>
    <w:rsid w:val="00F40D6D"/>
    <w:rsid w:val="00F54161"/>
    <w:rsid w:val="00F70352"/>
    <w:rsid w:val="00F70D85"/>
    <w:rsid w:val="00F726CB"/>
    <w:rsid w:val="00F875FD"/>
    <w:rsid w:val="00F97706"/>
    <w:rsid w:val="00FB4E65"/>
    <w:rsid w:val="00FD4CB1"/>
    <w:rsid w:val="00FD54C9"/>
    <w:rsid w:val="00FD6585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327C59B"/>
  <w15:docId w15:val="{B404B864-62EB-40FC-89F4-5D0C2C16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="Calibri" w:hAnsi="Franklin Gothic Book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locked="0" w:semiHidden="1" w:unhideWhenUsed="1"/>
    <w:lsdException w:name="Table List 2" w:locked="0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04034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0343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3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85A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3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71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0403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0403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BA"/>
    <w:pPr>
      <w:spacing w:before="60"/>
      <w:ind w:right="-720"/>
      <w:jc w:val="right"/>
    </w:pPr>
    <w:rPr>
      <w:rFonts w:cs="Arial"/>
      <w:b/>
      <w:noProof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E50BBA"/>
    <w:rPr>
      <w:rFonts w:ascii="Franklin Gothic Book" w:hAnsi="Franklin Gothic Book" w:cs="Arial"/>
      <w:b/>
      <w:noProof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04693F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4693F"/>
    <w:rPr>
      <w:rFonts w:ascii="Arial" w:hAnsi="Arial"/>
      <w:szCs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040343"/>
  </w:style>
  <w:style w:type="character" w:customStyle="1" w:styleId="BodyTextChar">
    <w:name w:val="Body Text Char"/>
    <w:basedOn w:val="DefaultParagraphFont"/>
    <w:link w:val="BodyText"/>
    <w:uiPriority w:val="99"/>
    <w:rsid w:val="00040343"/>
  </w:style>
  <w:style w:type="character" w:customStyle="1" w:styleId="Heading1Char">
    <w:name w:val="Heading 1 Char"/>
    <w:basedOn w:val="DefaultParagraphFont"/>
    <w:link w:val="Heading1"/>
    <w:uiPriority w:val="9"/>
    <w:rsid w:val="00040343"/>
    <w:rPr>
      <w:rFonts w:asciiTheme="majorHAnsi" w:eastAsiaTheme="majorEastAsia" w:hAnsiTheme="majorHAnsi" w:cstheme="majorBidi"/>
      <w:b/>
      <w:bCs/>
      <w:color w:val="0085A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343"/>
    <w:rPr>
      <w:rFonts w:asciiTheme="majorHAnsi" w:eastAsiaTheme="majorEastAsia" w:hAnsiTheme="majorHAnsi" w:cstheme="majorBidi"/>
      <w:b/>
      <w:bCs/>
      <w:color w:val="0085A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343"/>
    <w:rPr>
      <w:rFonts w:asciiTheme="majorHAnsi" w:eastAsiaTheme="majorEastAsia" w:hAnsiTheme="majorHAnsi" w:cstheme="majorBidi"/>
      <w:bCs/>
      <w:i/>
      <w:color w:val="0085A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0343"/>
    <w:rPr>
      <w:rFonts w:asciiTheme="majorHAnsi" w:eastAsiaTheme="majorEastAsia" w:hAnsiTheme="majorHAnsi" w:cstheme="majorBidi"/>
      <w:bCs/>
      <w:iCs/>
      <w:color w:val="0085A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40343"/>
    <w:rPr>
      <w:rFonts w:asciiTheme="majorHAnsi" w:eastAsiaTheme="majorEastAsia" w:hAnsiTheme="majorHAnsi" w:cstheme="majorBidi"/>
      <w:color w:val="215715" w:themeColor="accent1" w:themeShade="7F"/>
    </w:rPr>
  </w:style>
  <w:style w:type="paragraph" w:styleId="ListBullet2">
    <w:name w:val="List Bullet 2"/>
    <w:basedOn w:val="ListBullet"/>
    <w:uiPriority w:val="99"/>
    <w:unhideWhenUsed/>
    <w:rsid w:val="001D5278"/>
    <w:pPr>
      <w:numPr>
        <w:numId w:val="16"/>
      </w:numPr>
    </w:pPr>
  </w:style>
  <w:style w:type="paragraph" w:styleId="ListBullet">
    <w:name w:val="List Bullet"/>
    <w:basedOn w:val="BodyText"/>
    <w:uiPriority w:val="99"/>
    <w:unhideWhenUsed/>
    <w:rsid w:val="001D5278"/>
    <w:pPr>
      <w:numPr>
        <w:numId w:val="15"/>
      </w:numPr>
      <w:contextualSpacing/>
    </w:pPr>
  </w:style>
  <w:style w:type="paragraph" w:styleId="ListBullet3">
    <w:name w:val="List Bullet 3"/>
    <w:basedOn w:val="ListBullet2"/>
    <w:uiPriority w:val="99"/>
    <w:unhideWhenUsed/>
    <w:rsid w:val="001D5278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40343"/>
    <w:pPr>
      <w:spacing w:after="0"/>
      <w:contextualSpacing/>
      <w:jc w:val="right"/>
    </w:pPr>
    <w:rPr>
      <w:rFonts w:eastAsiaTheme="majorEastAsia"/>
      <w:b/>
      <w:sz w:val="4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40343"/>
    <w:rPr>
      <w:rFonts w:eastAsiaTheme="majorEastAsia"/>
      <w:b/>
      <w:sz w:val="44"/>
      <w:szCs w:val="28"/>
    </w:rPr>
  </w:style>
  <w:style w:type="paragraph" w:customStyle="1" w:styleId="TableData">
    <w:name w:val="Table Data"/>
    <w:basedOn w:val="Normal"/>
    <w:rsid w:val="00A77B56"/>
    <w:pPr>
      <w:jc w:val="center"/>
    </w:pPr>
    <w:rPr>
      <w:sz w:val="20"/>
    </w:rPr>
  </w:style>
  <w:style w:type="paragraph" w:customStyle="1" w:styleId="TableHeading1">
    <w:name w:val="Table Heading 1"/>
    <w:basedOn w:val="TableData"/>
    <w:rsid w:val="00E50BBA"/>
    <w:rPr>
      <w:b/>
      <w:color w:val="FFFFFF" w:themeColor="background1"/>
    </w:rPr>
  </w:style>
  <w:style w:type="paragraph" w:customStyle="1" w:styleId="TableHeading2">
    <w:name w:val="Table Heading 2"/>
    <w:basedOn w:val="TableLeftColumn"/>
    <w:rsid w:val="00E50BBA"/>
    <w:pPr>
      <w:jc w:val="center"/>
    </w:pPr>
    <w:rPr>
      <w:b/>
    </w:rPr>
  </w:style>
  <w:style w:type="paragraph" w:customStyle="1" w:styleId="TableLeftColumn">
    <w:name w:val="Table Left Column"/>
    <w:basedOn w:val="Normal"/>
    <w:rsid w:val="00A77B56"/>
    <w:rPr>
      <w:sz w:val="20"/>
    </w:rPr>
  </w:style>
  <w:style w:type="paragraph" w:customStyle="1" w:styleId="TableBodyText">
    <w:name w:val="Table Body Text"/>
    <w:basedOn w:val="Normal"/>
    <w:rsid w:val="00A77B56"/>
    <w:pPr>
      <w:spacing w:after="60"/>
    </w:pPr>
    <w:rPr>
      <w:sz w:val="20"/>
    </w:rPr>
  </w:style>
  <w:style w:type="paragraph" w:customStyle="1" w:styleId="TableBullet">
    <w:name w:val="Table Bullet"/>
    <w:basedOn w:val="TableBodyText"/>
    <w:rsid w:val="00A77B56"/>
    <w:pPr>
      <w:numPr>
        <w:numId w:val="20"/>
      </w:numPr>
    </w:pPr>
  </w:style>
  <w:style w:type="paragraph" w:customStyle="1" w:styleId="TableBullet2">
    <w:name w:val="Table Bullet 2"/>
    <w:basedOn w:val="TableBullet"/>
    <w:rsid w:val="001D5278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F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1B"/>
    <w:rPr>
      <w:rFonts w:ascii="Tahoma" w:hAnsi="Tahoma" w:cs="Tahoma"/>
      <w:sz w:val="16"/>
      <w:szCs w:val="16"/>
    </w:rPr>
  </w:style>
  <w:style w:type="paragraph" w:customStyle="1" w:styleId="TableNote">
    <w:name w:val="Table Note"/>
    <w:basedOn w:val="BodyText"/>
    <w:rsid w:val="001D5278"/>
    <w:pPr>
      <w:spacing w:before="60" w:after="240"/>
      <w:ind w:left="360"/>
    </w:pPr>
    <w:rPr>
      <w:i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040343"/>
    <w:pPr>
      <w:keepNext/>
      <w:spacing w:after="60"/>
      <w:ind w:left="360"/>
    </w:pPr>
    <w:rPr>
      <w:bCs/>
      <w:sz w:val="20"/>
      <w:szCs w:val="18"/>
    </w:rPr>
  </w:style>
  <w:style w:type="paragraph" w:styleId="ListNumber">
    <w:name w:val="List Number"/>
    <w:basedOn w:val="ListBullet"/>
    <w:uiPriority w:val="99"/>
    <w:unhideWhenUsed/>
    <w:rsid w:val="001D5278"/>
    <w:pPr>
      <w:numPr>
        <w:numId w:val="18"/>
      </w:numPr>
    </w:pPr>
  </w:style>
  <w:style w:type="paragraph" w:styleId="ListNumber2">
    <w:name w:val="List Number 2"/>
    <w:basedOn w:val="ListBullet2"/>
    <w:uiPriority w:val="99"/>
    <w:unhideWhenUsed/>
    <w:rsid w:val="004E735B"/>
    <w:pPr>
      <w:numPr>
        <w:numId w:val="19"/>
      </w:numPr>
      <w:ind w:left="810" w:hanging="432"/>
    </w:pPr>
  </w:style>
  <w:style w:type="character" w:customStyle="1" w:styleId="Italic">
    <w:name w:val="Italic"/>
    <w:uiPriority w:val="1"/>
    <w:rsid w:val="007D526A"/>
    <w:rPr>
      <w:i/>
    </w:rPr>
  </w:style>
  <w:style w:type="character" w:customStyle="1" w:styleId="Bold">
    <w:name w:val="Bold"/>
    <w:basedOn w:val="DefaultParagraphFont"/>
    <w:uiPriority w:val="1"/>
    <w:rsid w:val="007D526A"/>
    <w:rPr>
      <w:b/>
    </w:rPr>
  </w:style>
  <w:style w:type="character" w:customStyle="1" w:styleId="Underline">
    <w:name w:val="Underline"/>
    <w:basedOn w:val="DefaultParagraphFont"/>
    <w:uiPriority w:val="1"/>
    <w:rsid w:val="007D526A"/>
    <w:rPr>
      <w:u w:val="single"/>
    </w:rPr>
  </w:style>
  <w:style w:type="character" w:customStyle="1" w:styleId="StyleUnderline">
    <w:name w:val="Style Underline"/>
    <w:basedOn w:val="DefaultParagraphFont"/>
    <w:rsid w:val="007D526A"/>
    <w:rPr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040343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343"/>
    <w:rPr>
      <w:rFonts w:asciiTheme="majorHAnsi" w:eastAsiaTheme="majorEastAsia" w:hAnsiTheme="majorHAnsi" w:cstheme="majorBidi"/>
      <w:i/>
      <w:iCs/>
      <w:color w:val="43B02A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locked/>
    <w:rsid w:val="00802054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locked/>
    <w:rsid w:val="00040343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locked/>
    <w:rsid w:val="00802054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43"/>
    <w:rPr>
      <w:rFonts w:asciiTheme="majorHAnsi" w:eastAsiaTheme="majorEastAsia" w:hAnsiTheme="majorHAnsi" w:cstheme="majorBidi"/>
      <w:i/>
      <w:iCs/>
      <w:color w:val="2157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43"/>
    <w:rPr>
      <w:rFonts w:asciiTheme="majorHAnsi" w:eastAsiaTheme="majorEastAsia" w:hAnsiTheme="majorHAnsi" w:cstheme="majorBidi"/>
      <w:color w:val="43B02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-Accent51">
    <w:name w:val="Grid Table 4 - Accent 51"/>
    <w:basedOn w:val="TableNormal"/>
    <w:uiPriority w:val="49"/>
    <w:rsid w:val="00A548A4"/>
    <w:tblPr>
      <w:tblStyleRowBandSize w:val="1"/>
      <w:tblStyleColBandSize w:val="1"/>
      <w:tblInd w:w="0" w:type="dxa"/>
      <w:tblBorders>
        <w:top w:val="single" w:sz="4" w:space="0" w:color="0CACF0" w:themeColor="accent5" w:themeTint="99"/>
        <w:left w:val="single" w:sz="4" w:space="0" w:color="0CACF0" w:themeColor="accent5" w:themeTint="99"/>
        <w:bottom w:val="single" w:sz="4" w:space="0" w:color="0CACF0" w:themeColor="accent5" w:themeTint="99"/>
        <w:right w:val="single" w:sz="4" w:space="0" w:color="0CACF0" w:themeColor="accent5" w:themeTint="99"/>
        <w:insideH w:val="single" w:sz="4" w:space="0" w:color="0CACF0" w:themeColor="accent5" w:themeTint="99"/>
        <w:insideV w:val="single" w:sz="4" w:space="0" w:color="0CACF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384E" w:themeColor="accent5"/>
          <w:left w:val="single" w:sz="4" w:space="0" w:color="04384E" w:themeColor="accent5"/>
          <w:bottom w:val="single" w:sz="4" w:space="0" w:color="04384E" w:themeColor="accent5"/>
          <w:right w:val="single" w:sz="4" w:space="0" w:color="04384E" w:themeColor="accent5"/>
          <w:insideH w:val="nil"/>
          <w:insideV w:val="nil"/>
        </w:tcBorders>
        <w:shd w:val="clear" w:color="auto" w:fill="04384E" w:themeFill="accent5"/>
      </w:tcPr>
    </w:tblStylePr>
    <w:tblStylePr w:type="lastRow">
      <w:rPr>
        <w:b/>
        <w:bCs/>
      </w:rPr>
      <w:tblPr/>
      <w:tcPr>
        <w:tcBorders>
          <w:top w:val="double" w:sz="4" w:space="0" w:color="043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E3FA" w:themeFill="accent5" w:themeFillTint="33"/>
      </w:tcPr>
    </w:tblStylePr>
    <w:tblStylePr w:type="band1Horz">
      <w:tblPr/>
      <w:tcPr>
        <w:shd w:val="clear" w:color="auto" w:fill="ADE3FA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D55606"/>
  </w:style>
  <w:style w:type="character" w:styleId="FollowedHyperlink">
    <w:name w:val="FollowedHyperlink"/>
    <w:basedOn w:val="DefaultParagraphFont"/>
    <w:uiPriority w:val="99"/>
    <w:semiHidden/>
    <w:unhideWhenUsed/>
    <w:locked/>
    <w:rsid w:val="00D55606"/>
    <w:rPr>
      <w:color w:val="800080" w:themeColor="followedHyperlink"/>
      <w:u w:val="single"/>
    </w:rPr>
  </w:style>
  <w:style w:type="table" w:customStyle="1" w:styleId="GridTable1Light-Accent51">
    <w:name w:val="Grid Table 1 Light - Accent 51"/>
    <w:basedOn w:val="TableNormal"/>
    <w:uiPriority w:val="46"/>
    <w:rsid w:val="00342F57"/>
    <w:tblPr>
      <w:tblStyleRowBandSize w:val="1"/>
      <w:tblStyleColBandSize w:val="1"/>
      <w:tblInd w:w="0" w:type="dxa"/>
      <w:tblBorders>
        <w:top w:val="single" w:sz="4" w:space="0" w:color="5CC8F6" w:themeColor="accent5" w:themeTint="66"/>
        <w:left w:val="single" w:sz="4" w:space="0" w:color="5CC8F6" w:themeColor="accent5" w:themeTint="66"/>
        <w:bottom w:val="single" w:sz="4" w:space="0" w:color="5CC8F6" w:themeColor="accent5" w:themeTint="66"/>
        <w:right w:val="single" w:sz="4" w:space="0" w:color="5CC8F6" w:themeColor="accent5" w:themeTint="66"/>
        <w:insideH w:val="single" w:sz="4" w:space="0" w:color="5CC8F6" w:themeColor="accent5" w:themeTint="66"/>
        <w:insideV w:val="single" w:sz="4" w:space="0" w:color="5CC8F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CACF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ACF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E17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E17E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E17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E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eds.ed.gov/" TargetMode="External"/><Relationship Id="rId18" Type="http://schemas.openxmlformats.org/officeDocument/2006/relationships/hyperlink" Target="http://somestandard.org/document.pdf" TargetMode="External"/><Relationship Id="rId26" Type="http://schemas.openxmlformats.org/officeDocument/2006/relationships/hyperlink" Target="http://tinyurl.com/xsdtoken" TargetMode="External"/><Relationship Id="rId39" Type="http://schemas.openxmlformats.org/officeDocument/2006/relationships/hyperlink" Target="https://ceds.ed.gov/CEDSElementDetails.aspx?TermId=362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w3.org/XML/Schema" TargetMode="External"/><Relationship Id="rId34" Type="http://schemas.openxmlformats.org/officeDocument/2006/relationships/hyperlink" Target="http://schema.org/AlignmentObject" TargetMode="External"/><Relationship Id="rId42" Type="http://schemas.openxmlformats.org/officeDocument/2006/relationships/hyperlink" Target="https://www.ietf.org/rfc/rfc3629.txt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eds.ed.gov/aif.aspx" TargetMode="External"/><Relationship Id="rId17" Type="http://schemas.openxmlformats.org/officeDocument/2006/relationships/hyperlink" Target="http://dublincore.org/" TargetMode="External"/><Relationship Id="rId25" Type="http://schemas.openxmlformats.org/officeDocument/2006/relationships/hyperlink" Target="http://www.ietf.org/rfc/rfc4122.txt" TargetMode="External"/><Relationship Id="rId33" Type="http://schemas.openxmlformats.org/officeDocument/2006/relationships/hyperlink" Target="https://ceds.ed.gov/CEDSElementDetails.aspx?TermId=3153" TargetMode="External"/><Relationship Id="rId38" Type="http://schemas.openxmlformats.org/officeDocument/2006/relationships/hyperlink" Target="http://www.ietf.org/rfc/rfc4122.txt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ltsc.ieee.org/wg12/" TargetMode="External"/><Relationship Id="rId20" Type="http://schemas.openxmlformats.org/officeDocument/2006/relationships/hyperlink" Target="http://en.wikipedia.org/wiki/CamelCase" TargetMode="External"/><Relationship Id="rId29" Type="http://schemas.openxmlformats.org/officeDocument/2006/relationships/hyperlink" Target="https://ceds.ed.gov/CEDSElementDetails.aspx?TermId=3268" TargetMode="External"/><Relationship Id="rId41" Type="http://schemas.openxmlformats.org/officeDocument/2006/relationships/hyperlink" Target="http://www.ietf.org/rfc/rfc4180.t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119.txt" TargetMode="External"/><Relationship Id="rId24" Type="http://schemas.openxmlformats.org/officeDocument/2006/relationships/hyperlink" Target="http://www.ietf.org/rfc/rfc4122.txt" TargetMode="External"/><Relationship Id="rId32" Type="http://schemas.openxmlformats.org/officeDocument/2006/relationships/hyperlink" Target="http://tinyurl.com/xsdtoken" TargetMode="External"/><Relationship Id="rId37" Type="http://schemas.openxmlformats.org/officeDocument/2006/relationships/hyperlink" Target="https://ceds.ed.gov/CEDSElementDetails.aspx?TermId=3383" TargetMode="External"/><Relationship Id="rId40" Type="http://schemas.openxmlformats.org/officeDocument/2006/relationships/hyperlink" Target="http://schema.org" TargetMode="External"/><Relationship Id="rId45" Type="http://schemas.openxmlformats.org/officeDocument/2006/relationships/hyperlink" Target="http://en.wikipedia.org/wiki/Representational_state_transf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chema.org" TargetMode="External"/><Relationship Id="rId23" Type="http://schemas.openxmlformats.org/officeDocument/2006/relationships/hyperlink" Target="http://www.ietf.org/rfc/rfc4122.txt" TargetMode="External"/><Relationship Id="rId28" Type="http://schemas.openxmlformats.org/officeDocument/2006/relationships/hyperlink" Target="http://tinyurl.com/xsdtoken" TargetMode="External"/><Relationship Id="rId36" Type="http://schemas.openxmlformats.org/officeDocument/2006/relationships/hyperlink" Target="http://tinyurl.com/xsd-decimal" TargetMode="External"/><Relationship Id="rId10" Type="http://schemas.openxmlformats.org/officeDocument/2006/relationships/hyperlink" Target="http://x.ofthat.com/papers/FourLayer.pdf" TargetMode="External"/><Relationship Id="rId19" Type="http://schemas.openxmlformats.org/officeDocument/2006/relationships/hyperlink" Target="https://ceds.ed.gov/CEDSElementDetails.aspx?TermId=3204" TargetMode="External"/><Relationship Id="rId31" Type="http://schemas.openxmlformats.org/officeDocument/2006/relationships/hyperlink" Target="https://ceds.ed.gov/CEDSElementDetails.aspx?TermId=3204" TargetMode="External"/><Relationship Id="rId44" Type="http://schemas.openxmlformats.org/officeDocument/2006/relationships/hyperlink" Target="http://schema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lrmi.net/" TargetMode="External"/><Relationship Id="rId22" Type="http://schemas.openxmlformats.org/officeDocument/2006/relationships/hyperlink" Target="http://tinyurl.com/xsd-normalizedstring" TargetMode="External"/><Relationship Id="rId27" Type="http://schemas.openxmlformats.org/officeDocument/2006/relationships/hyperlink" Target="http://tinyurl.com/xsd-normalizedstring" TargetMode="External"/><Relationship Id="rId30" Type="http://schemas.openxmlformats.org/officeDocument/2006/relationships/hyperlink" Target="http://tinyurl.com/xsdtoken" TargetMode="External"/><Relationship Id="rId35" Type="http://schemas.openxmlformats.org/officeDocument/2006/relationships/hyperlink" Target="http://schema.org/educationalAlignment" TargetMode="External"/><Relationship Id="rId43" Type="http://schemas.openxmlformats.org/officeDocument/2006/relationships/hyperlink" Target="http://www.w3.org/XML/Schema" TargetMode="Externa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t\Documents\Custom%20Office%20Templates\Smarter%20Balanced%20Template%20-%20BCR.dotx" TargetMode="External"/></Relationships>
</file>

<file path=word/theme/theme1.xml><?xml version="1.0" encoding="utf-8"?>
<a:theme xmlns:a="http://schemas.openxmlformats.org/drawingml/2006/main" name="Office Theme">
  <a:themeElements>
    <a:clrScheme name="Smarter Balanced - BCR">
      <a:dk1>
        <a:sysClr val="windowText" lastClr="000000"/>
      </a:dk1>
      <a:lt1>
        <a:sysClr val="window" lastClr="FFFFFF"/>
      </a:lt1>
      <a:dk2>
        <a:srgbClr val="0085AD"/>
      </a:dk2>
      <a:lt2>
        <a:srgbClr val="E7E8E9"/>
      </a:lt2>
      <a:accent1>
        <a:srgbClr val="43B02A"/>
      </a:accent1>
      <a:accent2>
        <a:srgbClr val="63666A"/>
      </a:accent2>
      <a:accent3>
        <a:srgbClr val="006298"/>
      </a:accent3>
      <a:accent4>
        <a:srgbClr val="8A1538"/>
      </a:accent4>
      <a:accent5>
        <a:srgbClr val="04384E"/>
      </a:accent5>
      <a:accent6>
        <a:srgbClr val="246A34"/>
      </a:accent6>
      <a:hlink>
        <a:srgbClr val="0000FF"/>
      </a:hlink>
      <a:folHlink>
        <a:srgbClr val="800080"/>
      </a:folHlink>
    </a:clrScheme>
    <a:fontScheme name="Smarter Balanced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BD1F-6CBB-4582-A11E-A4EBC0CD8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89EC27-6B23-479D-9905-859AB9FE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Smarter Balanced Template - BCR.dotx</Template>
  <TotalTime>1</TotalTime>
  <Pages>9</Pages>
  <Words>3325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WestEd</Company>
  <LinksUpToDate>false</LinksUpToDate>
  <CharactersWithSpaces>22235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Brandt Redd</dc:creator>
  <cp:lastModifiedBy>Brandt Redd</cp:lastModifiedBy>
  <cp:revision>2</cp:revision>
  <cp:lastPrinted>2011-01-26T23:28:00Z</cp:lastPrinted>
  <dcterms:created xsi:type="dcterms:W3CDTF">2014-03-24T19:21:00Z</dcterms:created>
  <dcterms:modified xsi:type="dcterms:W3CDTF">2014-03-24T19:21:00Z</dcterms:modified>
</cp:coreProperties>
</file>