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951C73" w:rsidRPr="00951C73" w14:paraId="6724DCC0" w14:textId="77777777" w:rsidTr="00951C73">
        <w:trPr>
          <w:cantSplit/>
        </w:trPr>
        <w:tc>
          <w:tcPr>
            <w:tcW w:w="3066" w:type="dxa"/>
          </w:tcPr>
          <w:p w14:paraId="48BA416D" w14:textId="77777777" w:rsidR="00951C73" w:rsidRPr="00951C73" w:rsidRDefault="00951C73" w:rsidP="00951C73">
            <w:r w:rsidRPr="00951C73">
              <w:rPr>
                <w:noProof/>
              </w:rPr>
              <w:drawing>
                <wp:inline distT="0" distB="0" distL="0" distR="0" wp14:anchorId="350AFB39" wp14:editId="01547A99">
                  <wp:extent cx="1409700" cy="449288"/>
                  <wp:effectExtent l="0" t="0" r="0" b="8255"/>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3373" cy="456833"/>
                          </a:xfrm>
                          <a:prstGeom prst="rect">
                            <a:avLst/>
                          </a:prstGeom>
                        </pic:spPr>
                      </pic:pic>
                    </a:graphicData>
                  </a:graphic>
                </wp:inline>
              </w:drawing>
            </w:r>
          </w:p>
        </w:tc>
        <w:tc>
          <w:tcPr>
            <w:tcW w:w="6379" w:type="dxa"/>
          </w:tcPr>
          <w:p w14:paraId="2C6CDB46" w14:textId="56B85947" w:rsidR="00951C73" w:rsidRPr="00951C73" w:rsidRDefault="00617FD8" w:rsidP="00617FD8">
            <w:pPr>
              <w:pStyle w:val="Title"/>
            </w:pPr>
            <w:r>
              <w:t>Support Responsibilities</w:t>
            </w:r>
            <w:r>
              <w:br/>
              <w:t xml:space="preserve"> and Tier Definitions </w:t>
            </w:r>
            <w:r w:rsidR="0087187E">
              <w:br/>
            </w:r>
            <w:r>
              <w:rPr>
                <w:rStyle w:val="SubtitleChar"/>
              </w:rPr>
              <w:t>Excerpted from State P</w:t>
            </w:r>
            <w:r w:rsidR="00DD53F8">
              <w:rPr>
                <w:rStyle w:val="SubtitleChar"/>
              </w:rPr>
              <w:t>rocedures Manual</w:t>
            </w:r>
            <w:r w:rsidR="00DD53F8">
              <w:rPr>
                <w:rStyle w:val="SubtitleChar"/>
              </w:rPr>
              <w:br/>
              <w:t>Appendix B Sec</w:t>
            </w:r>
            <w:r>
              <w:rPr>
                <w:rStyle w:val="SubtitleChar"/>
              </w:rPr>
              <w:t>t</w:t>
            </w:r>
            <w:r w:rsidR="00DD53F8">
              <w:rPr>
                <w:rStyle w:val="SubtitleChar"/>
              </w:rPr>
              <w:t>i</w:t>
            </w:r>
            <w:r>
              <w:rPr>
                <w:rStyle w:val="SubtitleChar"/>
              </w:rPr>
              <w:t>on 1</w:t>
            </w:r>
          </w:p>
        </w:tc>
      </w:tr>
    </w:tbl>
    <w:p w14:paraId="0C35A72B" w14:textId="77777777" w:rsidR="00617FD8" w:rsidRDefault="00617FD8" w:rsidP="00617FD8">
      <w:pPr>
        <w:rPr>
          <w:b/>
          <w:i/>
        </w:rPr>
      </w:pPr>
    </w:p>
    <w:p w14:paraId="7945DCE5" w14:textId="09AE1E8D" w:rsidR="00DD53F8" w:rsidRDefault="00DD53F8" w:rsidP="00617FD8">
      <w:pPr>
        <w:rPr>
          <w:b/>
          <w:i/>
        </w:rPr>
      </w:pPr>
      <w:r>
        <w:rPr>
          <w:b/>
          <w:i/>
        </w:rPr>
        <w:t>The following is an excerpt from the Smarter Balanced State Procedures Manual, Appending B Section 1. (Page 39)</w:t>
      </w:r>
      <w:bookmarkStart w:id="0" w:name="_GoBack"/>
      <w:bookmarkEnd w:id="0"/>
    </w:p>
    <w:p w14:paraId="015AC1F1" w14:textId="77777777" w:rsidR="00617FD8" w:rsidRPr="00617FD8" w:rsidRDefault="00617FD8" w:rsidP="00617FD8">
      <w:pPr>
        <w:pStyle w:val="Heading2"/>
      </w:pPr>
      <w:r w:rsidRPr="00617FD8">
        <w:t>Customer Support and Help Desk Services</w:t>
      </w:r>
    </w:p>
    <w:p w14:paraId="11CED933" w14:textId="77777777" w:rsidR="00617FD8" w:rsidRDefault="00617FD8" w:rsidP="00617FD8">
      <w:r>
        <w:t>Customer support and help desk services should provide states with a unified, single point for school-, district-, and state-staff to contact for information regarding everything from general inquiries such as password recovery to assistance with technical issues that will need to be handled by systems engineers.</w:t>
      </w:r>
    </w:p>
    <w:p w14:paraId="476F382B" w14:textId="77777777" w:rsidR="00617FD8" w:rsidRPr="00617FD8" w:rsidRDefault="00617FD8" w:rsidP="00617FD8">
      <w:pPr>
        <w:pStyle w:val="Heading2"/>
      </w:pPr>
      <w:r w:rsidRPr="00617FD8">
        <w:t>Tiered Support</w:t>
      </w:r>
    </w:p>
    <w:p w14:paraId="10CAA945" w14:textId="77777777" w:rsidR="00617FD8" w:rsidRDefault="00617FD8" w:rsidP="00617FD8">
      <w:r>
        <w:t>A customer support and help desk solution will require Tier 1, Tier 2, and Tier 3 services; however, Smarter Balanced will provide Tiers 2 and 3 support for some components. Table 6 shows the different tiers of support that states need to provide for each component of the Smarter Balanced system. This table reflects the tiers of service for those states using components developed by Smarter Balanced. States using proprietary systems will need to provide or procure all tiers of help desk service. For example, states will need to provide Tiers 1 and 2 support for the Formative Digital Library but Smarter Balanced will supply Tier 3 support for this component.</w:t>
      </w:r>
    </w:p>
    <w:p w14:paraId="49CC7D8E" w14:textId="77777777" w:rsidR="00617FD8" w:rsidRPr="00617FD8" w:rsidRDefault="00617FD8" w:rsidP="00617FD8">
      <w:pPr>
        <w:pStyle w:val="Heading2"/>
      </w:pPr>
      <w:r w:rsidRPr="00617FD8">
        <w:t>Table 6: Provider of Help Desk Support by Component and Tier</w:t>
      </w:r>
    </w:p>
    <w:tbl>
      <w:tblPr>
        <w:tblStyle w:val="TableGrid"/>
        <w:tblW w:w="0" w:type="auto"/>
        <w:tblLook w:val="04A0" w:firstRow="1" w:lastRow="0" w:firstColumn="1" w:lastColumn="0" w:noHBand="0" w:noVBand="1"/>
      </w:tblPr>
      <w:tblGrid>
        <w:gridCol w:w="4829"/>
        <w:gridCol w:w="745"/>
        <w:gridCol w:w="1554"/>
        <w:gridCol w:w="1890"/>
      </w:tblGrid>
      <w:tr w:rsidR="00617FD8" w14:paraId="4FB62C31" w14:textId="77777777" w:rsidTr="00617FD8">
        <w:tc>
          <w:tcPr>
            <w:tcW w:w="0" w:type="auto"/>
            <w:tcBorders>
              <w:top w:val="single" w:sz="4" w:space="0" w:color="auto"/>
              <w:left w:val="single" w:sz="4" w:space="0" w:color="auto"/>
              <w:bottom w:val="single" w:sz="4" w:space="0" w:color="auto"/>
              <w:right w:val="single" w:sz="4" w:space="0" w:color="auto"/>
            </w:tcBorders>
            <w:hideMark/>
          </w:tcPr>
          <w:p w14:paraId="44F980FC" w14:textId="77777777" w:rsidR="00617FD8" w:rsidRDefault="00617FD8">
            <w:pPr>
              <w:jc w:val="center"/>
              <w:rPr>
                <w:b/>
              </w:rPr>
            </w:pPr>
            <w:r>
              <w:rPr>
                <w:b/>
              </w:rPr>
              <w:t>Component</w:t>
            </w:r>
          </w:p>
        </w:tc>
        <w:tc>
          <w:tcPr>
            <w:tcW w:w="0" w:type="auto"/>
            <w:tcBorders>
              <w:top w:val="single" w:sz="4" w:space="0" w:color="auto"/>
              <w:left w:val="single" w:sz="4" w:space="0" w:color="auto"/>
              <w:bottom w:val="single" w:sz="4" w:space="0" w:color="auto"/>
              <w:right w:val="single" w:sz="4" w:space="0" w:color="auto"/>
            </w:tcBorders>
            <w:hideMark/>
          </w:tcPr>
          <w:p w14:paraId="32D61991" w14:textId="77777777" w:rsidR="00617FD8" w:rsidRDefault="00617FD8">
            <w:pPr>
              <w:jc w:val="center"/>
              <w:rPr>
                <w:b/>
              </w:rPr>
            </w:pPr>
            <w:r>
              <w:rPr>
                <w:b/>
              </w:rPr>
              <w:t>Tier 1</w:t>
            </w:r>
          </w:p>
        </w:tc>
        <w:tc>
          <w:tcPr>
            <w:tcW w:w="0" w:type="auto"/>
            <w:tcBorders>
              <w:top w:val="single" w:sz="4" w:space="0" w:color="auto"/>
              <w:left w:val="single" w:sz="4" w:space="0" w:color="auto"/>
              <w:bottom w:val="single" w:sz="4" w:space="0" w:color="auto"/>
              <w:right w:val="single" w:sz="4" w:space="0" w:color="auto"/>
            </w:tcBorders>
            <w:hideMark/>
          </w:tcPr>
          <w:p w14:paraId="5A9F973B" w14:textId="77777777" w:rsidR="00617FD8" w:rsidRDefault="00617FD8">
            <w:pPr>
              <w:jc w:val="center"/>
              <w:rPr>
                <w:b/>
              </w:rPr>
            </w:pPr>
            <w:r>
              <w:rPr>
                <w:b/>
              </w:rPr>
              <w:t>Tier 2</w:t>
            </w:r>
          </w:p>
        </w:tc>
        <w:tc>
          <w:tcPr>
            <w:tcW w:w="0" w:type="auto"/>
            <w:tcBorders>
              <w:top w:val="single" w:sz="4" w:space="0" w:color="auto"/>
              <w:left w:val="single" w:sz="4" w:space="0" w:color="auto"/>
              <w:bottom w:val="single" w:sz="4" w:space="0" w:color="auto"/>
              <w:right w:val="single" w:sz="4" w:space="0" w:color="auto"/>
            </w:tcBorders>
            <w:hideMark/>
          </w:tcPr>
          <w:p w14:paraId="37799E2E" w14:textId="77777777" w:rsidR="00617FD8" w:rsidRDefault="00617FD8">
            <w:pPr>
              <w:jc w:val="center"/>
              <w:rPr>
                <w:b/>
              </w:rPr>
            </w:pPr>
            <w:r>
              <w:rPr>
                <w:b/>
              </w:rPr>
              <w:t>Tier 3</w:t>
            </w:r>
          </w:p>
        </w:tc>
      </w:tr>
      <w:tr w:rsidR="00617FD8" w14:paraId="6967FFFF" w14:textId="77777777" w:rsidTr="00617FD8">
        <w:tc>
          <w:tcPr>
            <w:tcW w:w="0" w:type="auto"/>
            <w:tcBorders>
              <w:top w:val="single" w:sz="4" w:space="0" w:color="auto"/>
              <w:left w:val="single" w:sz="4" w:space="0" w:color="auto"/>
              <w:bottom w:val="single" w:sz="4" w:space="0" w:color="auto"/>
              <w:right w:val="single" w:sz="4" w:space="0" w:color="auto"/>
            </w:tcBorders>
            <w:hideMark/>
          </w:tcPr>
          <w:p w14:paraId="1ACA39B5" w14:textId="77777777" w:rsidR="00617FD8" w:rsidRDefault="00617FD8">
            <w:r>
              <w:t>Test Delivery System</w:t>
            </w:r>
          </w:p>
        </w:tc>
        <w:tc>
          <w:tcPr>
            <w:tcW w:w="0" w:type="auto"/>
            <w:tcBorders>
              <w:top w:val="single" w:sz="4" w:space="0" w:color="auto"/>
              <w:left w:val="single" w:sz="4" w:space="0" w:color="auto"/>
              <w:bottom w:val="single" w:sz="4" w:space="0" w:color="auto"/>
              <w:right w:val="single" w:sz="4" w:space="0" w:color="auto"/>
            </w:tcBorders>
            <w:hideMark/>
          </w:tcPr>
          <w:p w14:paraId="5B14896D"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3DE90F09"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30F2B073" w14:textId="77777777" w:rsidR="00617FD8" w:rsidRDefault="00617FD8">
            <w:pPr>
              <w:jc w:val="center"/>
            </w:pPr>
            <w:r>
              <w:t>Smarter Balanced</w:t>
            </w:r>
          </w:p>
        </w:tc>
      </w:tr>
      <w:tr w:rsidR="00617FD8" w14:paraId="1037964C" w14:textId="77777777" w:rsidTr="00617FD8">
        <w:tc>
          <w:tcPr>
            <w:tcW w:w="0" w:type="auto"/>
            <w:tcBorders>
              <w:top w:val="single" w:sz="4" w:space="0" w:color="auto"/>
              <w:left w:val="single" w:sz="4" w:space="0" w:color="auto"/>
              <w:bottom w:val="single" w:sz="4" w:space="0" w:color="auto"/>
              <w:right w:val="single" w:sz="4" w:space="0" w:color="auto"/>
            </w:tcBorders>
            <w:hideMark/>
          </w:tcPr>
          <w:p w14:paraId="55D4B9C5" w14:textId="77777777" w:rsidR="00617FD8" w:rsidRDefault="00617FD8">
            <w:r>
              <w:t>Interim System</w:t>
            </w:r>
          </w:p>
        </w:tc>
        <w:tc>
          <w:tcPr>
            <w:tcW w:w="0" w:type="auto"/>
            <w:tcBorders>
              <w:top w:val="single" w:sz="4" w:space="0" w:color="auto"/>
              <w:left w:val="single" w:sz="4" w:space="0" w:color="auto"/>
              <w:bottom w:val="single" w:sz="4" w:space="0" w:color="auto"/>
              <w:right w:val="single" w:sz="4" w:space="0" w:color="auto"/>
            </w:tcBorders>
            <w:hideMark/>
          </w:tcPr>
          <w:p w14:paraId="5CE79621"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3B77487B"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6A245E03" w14:textId="77777777" w:rsidR="00617FD8" w:rsidRDefault="00617FD8">
            <w:pPr>
              <w:jc w:val="center"/>
            </w:pPr>
            <w:r>
              <w:t>Smarter Balanced</w:t>
            </w:r>
          </w:p>
        </w:tc>
      </w:tr>
      <w:tr w:rsidR="00617FD8" w14:paraId="21677F42" w14:textId="77777777" w:rsidTr="00617FD8">
        <w:tc>
          <w:tcPr>
            <w:tcW w:w="0" w:type="auto"/>
            <w:tcBorders>
              <w:top w:val="single" w:sz="4" w:space="0" w:color="auto"/>
              <w:left w:val="single" w:sz="4" w:space="0" w:color="auto"/>
              <w:bottom w:val="single" w:sz="4" w:space="0" w:color="auto"/>
              <w:right w:val="single" w:sz="4" w:space="0" w:color="auto"/>
            </w:tcBorders>
            <w:hideMark/>
          </w:tcPr>
          <w:p w14:paraId="3F8DA917" w14:textId="77777777" w:rsidR="00617FD8" w:rsidRDefault="00617FD8">
            <w:r>
              <w:t>Summative Test—Paper-and-Pencil Administration</w:t>
            </w:r>
          </w:p>
        </w:tc>
        <w:tc>
          <w:tcPr>
            <w:tcW w:w="0" w:type="auto"/>
            <w:tcBorders>
              <w:top w:val="single" w:sz="4" w:space="0" w:color="auto"/>
              <w:left w:val="single" w:sz="4" w:space="0" w:color="auto"/>
              <w:bottom w:val="single" w:sz="4" w:space="0" w:color="auto"/>
              <w:right w:val="single" w:sz="4" w:space="0" w:color="auto"/>
            </w:tcBorders>
            <w:hideMark/>
          </w:tcPr>
          <w:p w14:paraId="389CBC23"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6FEA49F4" w14:textId="77777777" w:rsidR="00617FD8" w:rsidRDefault="00617FD8">
            <w:pPr>
              <w:jc w:val="center"/>
            </w:pPr>
            <w:r>
              <w:t>Not Applicable</w:t>
            </w:r>
          </w:p>
        </w:tc>
        <w:tc>
          <w:tcPr>
            <w:tcW w:w="0" w:type="auto"/>
            <w:tcBorders>
              <w:top w:val="single" w:sz="4" w:space="0" w:color="auto"/>
              <w:left w:val="single" w:sz="4" w:space="0" w:color="auto"/>
              <w:bottom w:val="single" w:sz="4" w:space="0" w:color="auto"/>
              <w:right w:val="single" w:sz="4" w:space="0" w:color="auto"/>
            </w:tcBorders>
            <w:hideMark/>
          </w:tcPr>
          <w:p w14:paraId="0A23FB2C" w14:textId="77777777" w:rsidR="00617FD8" w:rsidRDefault="00617FD8">
            <w:pPr>
              <w:jc w:val="center"/>
            </w:pPr>
            <w:r>
              <w:t>Not Applicable</w:t>
            </w:r>
          </w:p>
        </w:tc>
      </w:tr>
      <w:tr w:rsidR="00617FD8" w14:paraId="13DBB643" w14:textId="77777777" w:rsidTr="00617FD8">
        <w:tc>
          <w:tcPr>
            <w:tcW w:w="0" w:type="auto"/>
            <w:tcBorders>
              <w:top w:val="single" w:sz="4" w:space="0" w:color="auto"/>
              <w:left w:val="single" w:sz="4" w:space="0" w:color="auto"/>
              <w:bottom w:val="single" w:sz="4" w:space="0" w:color="auto"/>
              <w:right w:val="single" w:sz="4" w:space="0" w:color="auto"/>
            </w:tcBorders>
            <w:hideMark/>
          </w:tcPr>
          <w:p w14:paraId="1A89CA44" w14:textId="77777777" w:rsidR="00617FD8" w:rsidRDefault="00617FD8">
            <w:r>
              <w:t>Data Warehouse and Reporting</w:t>
            </w:r>
          </w:p>
        </w:tc>
        <w:tc>
          <w:tcPr>
            <w:tcW w:w="0" w:type="auto"/>
            <w:tcBorders>
              <w:top w:val="single" w:sz="4" w:space="0" w:color="auto"/>
              <w:left w:val="single" w:sz="4" w:space="0" w:color="auto"/>
              <w:bottom w:val="single" w:sz="4" w:space="0" w:color="auto"/>
              <w:right w:val="single" w:sz="4" w:space="0" w:color="auto"/>
            </w:tcBorders>
            <w:hideMark/>
          </w:tcPr>
          <w:p w14:paraId="33214A87"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1F34DCE2"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4A0A9AA6" w14:textId="77777777" w:rsidR="00617FD8" w:rsidRDefault="00617FD8">
            <w:pPr>
              <w:jc w:val="center"/>
            </w:pPr>
            <w:r>
              <w:t>Smarter Balanced</w:t>
            </w:r>
          </w:p>
        </w:tc>
      </w:tr>
      <w:tr w:rsidR="00617FD8" w14:paraId="263BA780" w14:textId="77777777" w:rsidTr="00617FD8">
        <w:tc>
          <w:tcPr>
            <w:tcW w:w="0" w:type="auto"/>
            <w:tcBorders>
              <w:top w:val="single" w:sz="4" w:space="0" w:color="auto"/>
              <w:left w:val="single" w:sz="4" w:space="0" w:color="auto"/>
              <w:bottom w:val="single" w:sz="4" w:space="0" w:color="auto"/>
              <w:right w:val="single" w:sz="4" w:space="0" w:color="auto"/>
            </w:tcBorders>
            <w:hideMark/>
          </w:tcPr>
          <w:p w14:paraId="6EEBE7A7" w14:textId="77777777" w:rsidR="00617FD8" w:rsidRDefault="00617FD8">
            <w:r>
              <w:t>Formative Digital Library</w:t>
            </w:r>
          </w:p>
        </w:tc>
        <w:tc>
          <w:tcPr>
            <w:tcW w:w="0" w:type="auto"/>
            <w:tcBorders>
              <w:top w:val="single" w:sz="4" w:space="0" w:color="auto"/>
              <w:left w:val="single" w:sz="4" w:space="0" w:color="auto"/>
              <w:bottom w:val="single" w:sz="4" w:space="0" w:color="auto"/>
              <w:right w:val="single" w:sz="4" w:space="0" w:color="auto"/>
            </w:tcBorders>
            <w:hideMark/>
          </w:tcPr>
          <w:p w14:paraId="6B22DE29"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33B1CBB3"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46E04ECB" w14:textId="77777777" w:rsidR="00617FD8" w:rsidRDefault="00617FD8">
            <w:pPr>
              <w:jc w:val="center"/>
            </w:pPr>
            <w:r>
              <w:t>Smarter Balanced</w:t>
            </w:r>
          </w:p>
        </w:tc>
      </w:tr>
      <w:tr w:rsidR="00617FD8" w14:paraId="5644B525" w14:textId="77777777" w:rsidTr="00617FD8">
        <w:tc>
          <w:tcPr>
            <w:tcW w:w="0" w:type="auto"/>
            <w:tcBorders>
              <w:top w:val="single" w:sz="4" w:space="0" w:color="auto"/>
              <w:left w:val="single" w:sz="4" w:space="0" w:color="auto"/>
              <w:bottom w:val="single" w:sz="4" w:space="0" w:color="auto"/>
              <w:right w:val="single" w:sz="4" w:space="0" w:color="auto"/>
            </w:tcBorders>
            <w:hideMark/>
          </w:tcPr>
          <w:p w14:paraId="5995A69A" w14:textId="77777777" w:rsidR="00617FD8" w:rsidRDefault="00617FD8">
            <w:r>
              <w:t>Single Sign On</w:t>
            </w:r>
          </w:p>
        </w:tc>
        <w:tc>
          <w:tcPr>
            <w:tcW w:w="0" w:type="auto"/>
            <w:tcBorders>
              <w:top w:val="single" w:sz="4" w:space="0" w:color="auto"/>
              <w:left w:val="single" w:sz="4" w:space="0" w:color="auto"/>
              <w:bottom w:val="single" w:sz="4" w:space="0" w:color="auto"/>
              <w:right w:val="single" w:sz="4" w:space="0" w:color="auto"/>
            </w:tcBorders>
            <w:hideMark/>
          </w:tcPr>
          <w:p w14:paraId="5D253843"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77EC45C4"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3E3D71D4" w14:textId="77777777" w:rsidR="00617FD8" w:rsidRDefault="00617FD8">
            <w:pPr>
              <w:jc w:val="center"/>
            </w:pPr>
            <w:r>
              <w:t>Smarter Balanced</w:t>
            </w:r>
          </w:p>
        </w:tc>
      </w:tr>
      <w:tr w:rsidR="00617FD8" w14:paraId="24864B27" w14:textId="77777777" w:rsidTr="00617FD8">
        <w:tc>
          <w:tcPr>
            <w:tcW w:w="0" w:type="auto"/>
            <w:tcBorders>
              <w:top w:val="single" w:sz="4" w:space="0" w:color="auto"/>
              <w:left w:val="single" w:sz="4" w:space="0" w:color="auto"/>
              <w:bottom w:val="single" w:sz="4" w:space="0" w:color="auto"/>
              <w:right w:val="single" w:sz="4" w:space="0" w:color="auto"/>
            </w:tcBorders>
            <w:hideMark/>
          </w:tcPr>
          <w:p w14:paraId="24E63232" w14:textId="77777777" w:rsidR="00617FD8" w:rsidRDefault="00617FD8">
            <w:r>
              <w:t>Item Authoring</w:t>
            </w:r>
          </w:p>
        </w:tc>
        <w:tc>
          <w:tcPr>
            <w:tcW w:w="0" w:type="auto"/>
            <w:tcBorders>
              <w:top w:val="single" w:sz="4" w:space="0" w:color="auto"/>
              <w:left w:val="single" w:sz="4" w:space="0" w:color="auto"/>
              <w:bottom w:val="single" w:sz="4" w:space="0" w:color="auto"/>
              <w:right w:val="single" w:sz="4" w:space="0" w:color="auto"/>
            </w:tcBorders>
            <w:hideMark/>
          </w:tcPr>
          <w:p w14:paraId="2E207544"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2E3F8806" w14:textId="77777777" w:rsidR="00617FD8" w:rsidRDefault="00617FD8">
            <w:pPr>
              <w:jc w:val="center"/>
            </w:pPr>
            <w:r>
              <w:t>State</w:t>
            </w:r>
          </w:p>
        </w:tc>
        <w:tc>
          <w:tcPr>
            <w:tcW w:w="0" w:type="auto"/>
            <w:tcBorders>
              <w:top w:val="single" w:sz="4" w:space="0" w:color="auto"/>
              <w:left w:val="single" w:sz="4" w:space="0" w:color="auto"/>
              <w:bottom w:val="single" w:sz="4" w:space="0" w:color="auto"/>
              <w:right w:val="single" w:sz="4" w:space="0" w:color="auto"/>
            </w:tcBorders>
            <w:hideMark/>
          </w:tcPr>
          <w:p w14:paraId="56520B3F" w14:textId="77777777" w:rsidR="00617FD8" w:rsidRDefault="00617FD8">
            <w:pPr>
              <w:jc w:val="center"/>
            </w:pPr>
            <w:r>
              <w:t>Smarter Balanced</w:t>
            </w:r>
          </w:p>
        </w:tc>
      </w:tr>
    </w:tbl>
    <w:p w14:paraId="4EFDD3C9" w14:textId="77777777" w:rsidR="00617FD8" w:rsidRDefault="00617FD8" w:rsidP="00617FD8"/>
    <w:p w14:paraId="7AB29DD5" w14:textId="77777777" w:rsidR="00617FD8" w:rsidRPr="00617FD8" w:rsidRDefault="00617FD8" w:rsidP="00617FD8">
      <w:pPr>
        <w:pStyle w:val="Heading2"/>
      </w:pPr>
      <w:r w:rsidRPr="00617FD8">
        <w:t>Tier 1 Support.</w:t>
      </w:r>
    </w:p>
    <w:p w14:paraId="315DF016" w14:textId="77777777" w:rsidR="00617FD8" w:rsidRDefault="00617FD8" w:rsidP="00617FD8">
      <w:r>
        <w:t>Tier 1 offers the first line of customer support, addressing the most basic customer issues (e.g., general inquiries, non-technical questions, password recovery, website navigation assistance, basic procedural “how-to” questions). In general, Tier 1 support will provide information that may be found in manuals, with questions not found in manuals (generally more technical in nature) going to Tier 2 support. Prior to testing, states will determine what, if any, questions should be directed to the state instead of the Tier 1 help desk.</w:t>
      </w:r>
    </w:p>
    <w:p w14:paraId="7BD051A2" w14:textId="77777777" w:rsidR="00617FD8" w:rsidRPr="00617FD8" w:rsidRDefault="00617FD8" w:rsidP="00617FD8">
      <w:pPr>
        <w:pStyle w:val="Heading2"/>
      </w:pPr>
      <w:r w:rsidRPr="00617FD8">
        <w:lastRenderedPageBreak/>
        <w:t>Tier 2 Support.</w:t>
      </w:r>
    </w:p>
    <w:p w14:paraId="01D8A54C" w14:textId="77777777" w:rsidR="00617FD8" w:rsidRDefault="00617FD8" w:rsidP="00617FD8">
      <w:r>
        <w:t>Issues not resolved by Tier 1 support are automatically sent to Tier 2, which offers more in-depth technical support than Tier 1. Tier 2 customer support personnel are technicians who can assist with common mid-level technical questions such as local system set-up, local network issues, or compliance with data and interoperability standards, as well as applying technical solutions to issues that have established resolution methods.</w:t>
      </w:r>
    </w:p>
    <w:p w14:paraId="6F4A0862" w14:textId="77777777" w:rsidR="00617FD8" w:rsidRPr="00617FD8" w:rsidRDefault="00617FD8" w:rsidP="00617FD8">
      <w:pPr>
        <w:pStyle w:val="Heading2"/>
      </w:pPr>
      <w:r w:rsidRPr="00617FD8">
        <w:t>Tier 3 Support.</w:t>
      </w:r>
    </w:p>
    <w:p w14:paraId="06308527" w14:textId="77777777" w:rsidR="00617FD8" w:rsidRDefault="00617FD8" w:rsidP="00617FD8">
      <w:r>
        <w:t>Tier 3 requires the greatest level of technical expertise and addresses the most complex technical problems. Tier 3 issues are handled by systems engineers and other technical experts and may require multiple interactions with the customer before the issue is resolved. These issues are bugs in the system that prevent a student from completing a valid test or otherwise prevent a user from using the system (e.g., producing student reports). These are not enhancement requests or changes that are comprised of style or preferences.</w:t>
      </w:r>
    </w:p>
    <w:p w14:paraId="0E70E2CB" w14:textId="77777777" w:rsidR="00617FD8" w:rsidRDefault="00617FD8" w:rsidP="00617FD8">
      <w:r>
        <w:t>During the procurement process, states should request that vendors name the Tier 3 liaison who will be assigned to each component of the Smarter Balanced Assessment System. Vendors will interact with Smarter Balanced on Tier 3 issues, and they will report back to stakeholder who submitted the issue.</w:t>
      </w:r>
    </w:p>
    <w:p w14:paraId="1BB92D03" w14:textId="77777777" w:rsidR="0087187E" w:rsidRPr="0087187E" w:rsidRDefault="0087187E" w:rsidP="00BA58E8">
      <w:pPr>
        <w:pStyle w:val="Heading1"/>
      </w:pPr>
    </w:p>
    <w:sectPr w:rsidR="0087187E" w:rsidRPr="0087187E" w:rsidSect="00951C73">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ED3F2" w14:textId="77777777" w:rsidR="00617FD8" w:rsidRDefault="00617FD8" w:rsidP="0035476E">
      <w:r>
        <w:separator/>
      </w:r>
    </w:p>
  </w:endnote>
  <w:endnote w:type="continuationSeparator" w:id="0">
    <w:p w14:paraId="60583A82" w14:textId="77777777" w:rsidR="00617FD8" w:rsidRDefault="00617FD8"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05C0B" w14:textId="77777777" w:rsidR="00C95740" w:rsidRPr="00A26BA3" w:rsidRDefault="001A3156" w:rsidP="0035476E">
    <w:pPr>
      <w:pStyle w:val="Footer"/>
    </w:pPr>
    <w:r>
      <w:t>Concise Title</w:t>
    </w:r>
    <w:r w:rsidR="00802054">
      <w:t xml:space="preserve"> </w:t>
    </w:r>
    <w:r w:rsidR="00802054">
      <w:tab/>
    </w:r>
    <w:r w:rsidR="002C37F5" w:rsidRPr="00A26BA3">
      <w:fldChar w:fldCharType="begin"/>
    </w:r>
    <w:r w:rsidR="00124FAC" w:rsidRPr="00A26BA3">
      <w:instrText xml:space="preserve"> PAGE   \* MERGEFORMAT </w:instrText>
    </w:r>
    <w:r w:rsidR="002C37F5" w:rsidRPr="00A26BA3">
      <w:fldChar w:fldCharType="separate"/>
    </w:r>
    <w:r w:rsidR="00DD53F8">
      <w:rPr>
        <w:noProof/>
      </w:rPr>
      <w:t>1</w:t>
    </w:r>
    <w:r w:rsidR="002C37F5"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FFE99" w14:textId="77777777" w:rsidR="00617FD8" w:rsidRDefault="00617FD8" w:rsidP="0035476E">
      <w:r>
        <w:separator/>
      </w:r>
    </w:p>
  </w:footnote>
  <w:footnote w:type="continuationSeparator" w:id="0">
    <w:p w14:paraId="52393550" w14:textId="77777777" w:rsidR="00617FD8" w:rsidRDefault="00617FD8" w:rsidP="00354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6"/>
  </w:num>
  <w:num w:numId="21">
    <w:abstractNumId w:val="10"/>
  </w:num>
  <w:num w:numId="22">
    <w:abstractNumId w:val="8"/>
    <w:lvlOverride w:ilvl="0">
      <w:startOverride w:val="1"/>
    </w:lvlOverride>
  </w:num>
  <w:num w:numId="23">
    <w:abstractNumId w:val="3"/>
    <w:lvlOverride w:ilvl="0">
      <w:startOverride w:val="1"/>
    </w:lvlOverride>
  </w:num>
  <w:num w:numId="24">
    <w:abstractNumId w:val="18"/>
  </w:num>
  <w:num w:numId="25">
    <w:abstractNumId w:val="12"/>
  </w:num>
  <w:num w:numId="26">
    <w:abstractNumId w:val="15"/>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FD8"/>
    <w:rsid w:val="0004693F"/>
    <w:rsid w:val="000C2379"/>
    <w:rsid w:val="000C5DA5"/>
    <w:rsid w:val="000E359A"/>
    <w:rsid w:val="000F31E3"/>
    <w:rsid w:val="001025C1"/>
    <w:rsid w:val="00102C1B"/>
    <w:rsid w:val="001207D4"/>
    <w:rsid w:val="00122961"/>
    <w:rsid w:val="00124FAC"/>
    <w:rsid w:val="0013215E"/>
    <w:rsid w:val="00141E4C"/>
    <w:rsid w:val="00144462"/>
    <w:rsid w:val="0017606C"/>
    <w:rsid w:val="001823F0"/>
    <w:rsid w:val="001A133B"/>
    <w:rsid w:val="001A24DB"/>
    <w:rsid w:val="001A3156"/>
    <w:rsid w:val="001B04D1"/>
    <w:rsid w:val="001D5278"/>
    <w:rsid w:val="001D53C6"/>
    <w:rsid w:val="00221D2B"/>
    <w:rsid w:val="00250F39"/>
    <w:rsid w:val="002536B8"/>
    <w:rsid w:val="002576A2"/>
    <w:rsid w:val="002B63E3"/>
    <w:rsid w:val="002C37F5"/>
    <w:rsid w:val="002D3273"/>
    <w:rsid w:val="002E15F9"/>
    <w:rsid w:val="002F32B5"/>
    <w:rsid w:val="002F6E54"/>
    <w:rsid w:val="003208FB"/>
    <w:rsid w:val="003263CE"/>
    <w:rsid w:val="0035476E"/>
    <w:rsid w:val="00362FA0"/>
    <w:rsid w:val="00373C66"/>
    <w:rsid w:val="00383A76"/>
    <w:rsid w:val="003A54BA"/>
    <w:rsid w:val="003B403D"/>
    <w:rsid w:val="003C13EA"/>
    <w:rsid w:val="003E1C59"/>
    <w:rsid w:val="003E67EE"/>
    <w:rsid w:val="003F0451"/>
    <w:rsid w:val="00425116"/>
    <w:rsid w:val="00480BD9"/>
    <w:rsid w:val="004A5714"/>
    <w:rsid w:val="004B6328"/>
    <w:rsid w:val="004D1F2A"/>
    <w:rsid w:val="004E735B"/>
    <w:rsid w:val="005555D0"/>
    <w:rsid w:val="00557105"/>
    <w:rsid w:val="005754D1"/>
    <w:rsid w:val="00583EE5"/>
    <w:rsid w:val="00587714"/>
    <w:rsid w:val="005A6354"/>
    <w:rsid w:val="005D55A5"/>
    <w:rsid w:val="005E07C1"/>
    <w:rsid w:val="005F4324"/>
    <w:rsid w:val="00614992"/>
    <w:rsid w:val="00617FD8"/>
    <w:rsid w:val="00620C84"/>
    <w:rsid w:val="00631F8B"/>
    <w:rsid w:val="00636E54"/>
    <w:rsid w:val="00645140"/>
    <w:rsid w:val="00646D6E"/>
    <w:rsid w:val="00660D13"/>
    <w:rsid w:val="00663313"/>
    <w:rsid w:val="00685EA6"/>
    <w:rsid w:val="006902C6"/>
    <w:rsid w:val="00690390"/>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3B0C"/>
    <w:rsid w:val="007D1322"/>
    <w:rsid w:val="007D526A"/>
    <w:rsid w:val="007F768D"/>
    <w:rsid w:val="00802054"/>
    <w:rsid w:val="00853218"/>
    <w:rsid w:val="008676DC"/>
    <w:rsid w:val="0087187E"/>
    <w:rsid w:val="008869CD"/>
    <w:rsid w:val="008964E5"/>
    <w:rsid w:val="008A097C"/>
    <w:rsid w:val="008B024F"/>
    <w:rsid w:val="008D1104"/>
    <w:rsid w:val="008D1EA6"/>
    <w:rsid w:val="008E1D9D"/>
    <w:rsid w:val="00901B5E"/>
    <w:rsid w:val="00905C3F"/>
    <w:rsid w:val="00916375"/>
    <w:rsid w:val="00935F84"/>
    <w:rsid w:val="00944F67"/>
    <w:rsid w:val="00951C73"/>
    <w:rsid w:val="00956779"/>
    <w:rsid w:val="00996FE4"/>
    <w:rsid w:val="009A3271"/>
    <w:rsid w:val="009A4D84"/>
    <w:rsid w:val="009A6764"/>
    <w:rsid w:val="009B6A9B"/>
    <w:rsid w:val="009C58FC"/>
    <w:rsid w:val="009E4BE9"/>
    <w:rsid w:val="009F3033"/>
    <w:rsid w:val="009F471B"/>
    <w:rsid w:val="00A1131A"/>
    <w:rsid w:val="00A14ABD"/>
    <w:rsid w:val="00A26BA3"/>
    <w:rsid w:val="00A42620"/>
    <w:rsid w:val="00A42E68"/>
    <w:rsid w:val="00A47FE4"/>
    <w:rsid w:val="00A77B56"/>
    <w:rsid w:val="00A872B6"/>
    <w:rsid w:val="00AB2E01"/>
    <w:rsid w:val="00AC7562"/>
    <w:rsid w:val="00AD287D"/>
    <w:rsid w:val="00B77D86"/>
    <w:rsid w:val="00BA58E8"/>
    <w:rsid w:val="00C02B81"/>
    <w:rsid w:val="00C16716"/>
    <w:rsid w:val="00C41084"/>
    <w:rsid w:val="00C52BB2"/>
    <w:rsid w:val="00C565E1"/>
    <w:rsid w:val="00C57955"/>
    <w:rsid w:val="00C72F65"/>
    <w:rsid w:val="00C83748"/>
    <w:rsid w:val="00C95740"/>
    <w:rsid w:val="00C9713C"/>
    <w:rsid w:val="00CF289E"/>
    <w:rsid w:val="00D04882"/>
    <w:rsid w:val="00D10132"/>
    <w:rsid w:val="00D24181"/>
    <w:rsid w:val="00D61CF6"/>
    <w:rsid w:val="00D94507"/>
    <w:rsid w:val="00DC4DE8"/>
    <w:rsid w:val="00DD53F8"/>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77E9"/>
    <w:rsid w:val="00F0110D"/>
    <w:rsid w:val="00F03767"/>
    <w:rsid w:val="00F26EEF"/>
    <w:rsid w:val="00F40580"/>
    <w:rsid w:val="00F70352"/>
    <w:rsid w:val="00F70D85"/>
    <w:rsid w:val="00F90C4B"/>
    <w:rsid w:val="00FD4CB1"/>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9ABB7C"/>
  <w15:docId w15:val="{90B3ACE8-D6C8-4BC3-A567-D660EDAA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20"/>
      </w:numPr>
    </w:pPr>
  </w:style>
  <w:style w:type="paragraph" w:customStyle="1" w:styleId="TableBullet2">
    <w:name w:val="Table Bullet 2"/>
    <w:basedOn w:val="TableBulle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20Balanced%20Template%20-%20BCR.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6D02B-685F-450A-97E2-3958AD69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 Balanced Template - BCR.dotx</Template>
  <TotalTime>11</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Brandt Redd</dc:creator>
  <cp:lastModifiedBy>Brandt Redd</cp:lastModifiedBy>
  <cp:revision>2</cp:revision>
  <cp:lastPrinted>2011-01-26T23:28:00Z</cp:lastPrinted>
  <dcterms:created xsi:type="dcterms:W3CDTF">2014-09-15T02:23:00Z</dcterms:created>
  <dcterms:modified xsi:type="dcterms:W3CDTF">2014-09-24T23:06:00Z</dcterms:modified>
</cp:coreProperties>
</file>