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before="200" w:after="80"/>
              <w:jc w:val="center"/>
            </w:pPr>
            <w:r>
              <w:rPr>
                <w:rFonts w:ascii="Arial" w:cs="Arial" w:eastAsia="Arial" w:hAnsi="Arial"/>
                <w:b/>
                <w:bCs/>
                <w:color w:val="C9A84C"/>
                <w:sz w:val="52"/>
                <w:szCs w:val="52"/>
              </w:rPr>
              <w:t xml:space="preserve">DUBAI RENTAL MARKET</w:t>
            </w:r>
          </w:p>
          <w:p>
            <w:pPr>
              <w:spacing w:before="0" w:after="80"/>
              <w:jc w:val="center"/>
            </w:pPr>
            <w:r>
              <w:rPr>
                <w:rFonts w:ascii="Arial" w:cs="Arial" w:eastAsia="Arial" w:hAnsi="Arial"/>
                <w:b/>
                <w:bCs/>
                <w:color w:val="FFFFFF"/>
                <w:sz w:val="52"/>
                <w:szCs w:val="52"/>
              </w:rPr>
              <w:t xml:space="preserve">INSIGHT REPORT</w:t>
            </w:r>
          </w:p>
          <w:p>
            <w:pPr>
              <w:spacing w:before="80" w:after="200"/>
              <w:jc w:val="center"/>
            </w:pPr>
            <w:r>
              <w:rPr>
                <w:rFonts w:ascii="Arial" w:cs="Arial" w:eastAsia="Arial" w:hAnsi="Arial"/>
                <w:color w:val="C9A84C"/>
                <w:sz w:val="36"/>
                <w:szCs w:val="36"/>
              </w:rPr>
              <w:t xml:space="preserve">2024 – 2025</w:t>
            </w:r>
          </w:p>
          <w:p>
            <w:pPr>
              <w:jc w:val="center"/>
            </w:pPr>
            <w:r>
              <w:rPr>
                <w:rFonts w:ascii="Arial" w:cs="Arial" w:eastAsia="Arial" w:hAnsi="Arial"/>
                <w:color w:val="BBBBBB"/>
                <w:sz w:val="22"/>
                <w:szCs w:val="22"/>
              </w:rPr>
              <w:t xml:space="preserve">Rental Trends  •  Community Analysis  •  Market Intelligence</w:t>
            </w:r>
          </w:p>
          <w:p>
            <w:pPr>
              <w:spacing w:before="0" w:after="120"/>
            </w:pPr>
            <w:r>
              <w:t xml:space="preserve"/>
            </w:r>
          </w:p>
          <w:p>
            <w:pPr>
              <w:jc w:val="center"/>
            </w:pPr>
            <w:r>
              <w:rPr>
                <w:rFonts w:ascii="Arial" w:cs="Arial" w:eastAsia="Arial" w:hAnsi="Arial"/>
                <w:color w:val="888888"/>
                <w:sz w:val="20"/>
                <w:szCs w:val="20"/>
              </w:rPr>
              <w:t xml:space="preserve">Based on 500 Property Finder Listings  |  20 Dubai Communities</w:t>
            </w:r>
          </w:p>
          <w:p>
            <w:pPr>
              <w:jc w:val="center"/>
            </w:pPr>
            <w:r>
              <w:rPr>
                <w:rFonts w:ascii="Arial" w:cs="Arial" w:eastAsia="Arial" w:hAnsi="Arial"/>
                <w:color w:val="888888"/>
                <w:sz w:val="18"/>
                <w:szCs w:val="18"/>
              </w:rPr>
              <w:t xml:space="preserve">February 2025  |  Dubai Land Department (DLD) &amp; Property Finder Data</w:t>
            </w:r>
          </w:p>
        </w:tc>
      </w:tr>
    </w:tbl>
    <w:p>
      <w:pPr>
        <w:spacing w:before="0" w:after="36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EXECUTIVE SUMMARY</w:t>
      </w:r>
    </w:p>
    <w:p>
      <w:pPr>
        <w:spacing w:before="0" w:after="120"/>
      </w:pPr>
      <w:r>
        <w:t xml:space="preserve"/>
      </w:r>
    </w:p>
    <w:p>
      <w:pPr>
        <w:spacing w:before="80" w:after="80"/>
      </w:pPr>
      <w:r>
        <w:rPr>
          <w:rFonts w:ascii="Arial" w:cs="Arial" w:eastAsia="Arial" w:hAnsi="Arial"/>
          <w:color w:val="2C2C2C"/>
          <w:sz w:val="22"/>
          <w:szCs w:val="22"/>
        </w:rPr>
        <w:t xml:space="preserve">This report presents a comprehensive analysis of the Dubai residential rental market for the period February 2024 to February 2025. The dataset covers 500 property listings across 20 communities, sourced from Property Finder and Dubai Land Department (DLD) transaction records. Key findings reflect ongoing demand pressures, pricing dynamics across community tiers, and emerging investment opportunities.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500</w:t>
            </w:r>
          </w:p>
          <w:p>
            <w:pPr>
              <w:jc w:val="center"/>
            </w:pPr>
            <w:r>
              <w:rPr>
                <w:rFonts w:ascii="Arial" w:cs="Arial" w:eastAsia="Arial" w:hAnsi="Arial"/>
                <w:color w:val="666666"/>
                <w:sz w:val="18"/>
                <w:szCs w:val="18"/>
              </w:rPr>
              <w:t xml:space="preserve">Total Listings</w:t>
            </w:r>
          </w:p>
          <w:p>
            <w:pPr>
              <w:jc w:val="center"/>
            </w:pPr>
            <w:r>
              <w:rPr>
                <w:rFonts w:ascii="Arial" w:cs="Arial" w:eastAsia="Arial" w:hAnsi="Arial"/>
                <w:b/>
                <w:bCs/>
                <w:color w:val="C9A84C"/>
                <w:sz w:val="16"/>
                <w:szCs w:val="16"/>
              </w:rPr>
              <w:t xml:space="preserve">20 Communities</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AED 83,486</w:t>
            </w:r>
          </w:p>
          <w:p>
            <w:pPr>
              <w:jc w:val="center"/>
            </w:pPr>
            <w:r>
              <w:rPr>
                <w:rFonts w:ascii="Arial" w:cs="Arial" w:eastAsia="Arial" w:hAnsi="Arial"/>
                <w:color w:val="666666"/>
                <w:sz w:val="18"/>
                <w:szCs w:val="18"/>
              </w:rPr>
              <w:t xml:space="preserve">Avg Annual Rent</w:t>
            </w:r>
          </w:p>
          <w:p>
            <w:pPr>
              <w:jc w:val="center"/>
            </w:pPr>
            <w:r>
              <w:rPr>
                <w:rFonts w:ascii="Arial" w:cs="Arial" w:eastAsia="Arial" w:hAnsi="Arial"/>
                <w:b/>
                <w:bCs/>
                <w:color w:val="C9A84C"/>
                <w:sz w:val="16"/>
                <w:szCs w:val="16"/>
              </w:rPr>
              <w:t xml:space="preserve">Median: AED 59,892</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AED 513,871</w:t>
            </w:r>
          </w:p>
          <w:p>
            <w:pPr>
              <w:jc w:val="center"/>
            </w:pPr>
            <w:r>
              <w:rPr>
                <w:rFonts w:ascii="Arial" w:cs="Arial" w:eastAsia="Arial" w:hAnsi="Arial"/>
                <w:color w:val="666666"/>
                <w:sz w:val="18"/>
                <w:szCs w:val="18"/>
              </w:rPr>
              <w:t xml:space="preserve">Max Rent Recorded</w:t>
            </w:r>
          </w:p>
          <w:p>
            <w:pPr>
              <w:jc w:val="center"/>
            </w:pPr>
            <w:r>
              <w:rPr>
                <w:rFonts w:ascii="Arial" w:cs="Arial" w:eastAsia="Arial" w:hAnsi="Arial"/>
                <w:b/>
                <w:bCs/>
                <w:color w:val="C9A84C"/>
                <w:sz w:val="16"/>
                <w:szCs w:val="16"/>
              </w:rPr>
              <w:t xml:space="preserve">Palm Jumeirah</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AED 9,132</w:t>
            </w:r>
          </w:p>
          <w:p>
            <w:pPr>
              <w:jc w:val="center"/>
            </w:pPr>
            <w:r>
              <w:rPr>
                <w:rFonts w:ascii="Arial" w:cs="Arial" w:eastAsia="Arial" w:hAnsi="Arial"/>
                <w:color w:val="666666"/>
                <w:sz w:val="18"/>
                <w:szCs w:val="18"/>
              </w:rPr>
              <w:t xml:space="preserve">Min Rent Recorded</w:t>
            </w:r>
          </w:p>
          <w:p>
            <w:pPr>
              <w:jc w:val="center"/>
            </w:pPr>
            <w:r>
              <w:rPr>
                <w:rFonts w:ascii="Arial" w:cs="Arial" w:eastAsia="Arial" w:hAnsi="Arial"/>
                <w:b/>
                <w:bCs/>
                <w:color w:val="C9A84C"/>
                <w:sz w:val="16"/>
                <w:szCs w:val="16"/>
              </w:rPr>
              <w:t xml:space="preserve">Affordable Areas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43%</w:t>
            </w:r>
          </w:p>
          <w:p>
            <w:pPr>
              <w:jc w:val="center"/>
            </w:pPr>
            <w:r>
              <w:rPr>
                <w:rFonts w:ascii="Arial" w:cs="Arial" w:eastAsia="Arial" w:hAnsi="Arial"/>
                <w:color w:val="666666"/>
                <w:sz w:val="18"/>
                <w:szCs w:val="18"/>
              </w:rPr>
              <w:t xml:space="preserve">Affordable Listings</w:t>
            </w:r>
          </w:p>
          <w:p>
            <w:pPr>
              <w:jc w:val="center"/>
            </w:pPr>
            <w:r>
              <w:rPr>
                <w:rFonts w:ascii="Arial" w:cs="Arial" w:eastAsia="Arial" w:hAnsi="Arial"/>
                <w:b/>
                <w:bCs/>
                <w:color w:val="C9A84C"/>
                <w:sz w:val="16"/>
                <w:szCs w:val="16"/>
              </w:rPr>
              <w:t xml:space="preserve">214 properties</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30%</w:t>
            </w:r>
          </w:p>
          <w:p>
            <w:pPr>
              <w:jc w:val="center"/>
            </w:pPr>
            <w:r>
              <w:rPr>
                <w:rFonts w:ascii="Arial" w:cs="Arial" w:eastAsia="Arial" w:hAnsi="Arial"/>
                <w:color w:val="666666"/>
                <w:sz w:val="18"/>
                <w:szCs w:val="18"/>
              </w:rPr>
              <w:t xml:space="preserve">Mid-Tier Listings</w:t>
            </w:r>
          </w:p>
          <w:p>
            <w:pPr>
              <w:jc w:val="center"/>
            </w:pPr>
            <w:r>
              <w:rPr>
                <w:rFonts w:ascii="Arial" w:cs="Arial" w:eastAsia="Arial" w:hAnsi="Arial"/>
                <w:b/>
                <w:bCs/>
                <w:color w:val="C9A84C"/>
                <w:sz w:val="16"/>
                <w:szCs w:val="16"/>
              </w:rPr>
              <w:t xml:space="preserve">152 properties</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20%</w:t>
            </w:r>
          </w:p>
          <w:p>
            <w:pPr>
              <w:jc w:val="center"/>
            </w:pPr>
            <w:r>
              <w:rPr>
                <w:rFonts w:ascii="Arial" w:cs="Arial" w:eastAsia="Arial" w:hAnsi="Arial"/>
                <w:color w:val="666666"/>
                <w:sz w:val="18"/>
                <w:szCs w:val="18"/>
              </w:rPr>
              <w:t xml:space="preserve">Premium Listings</w:t>
            </w:r>
          </w:p>
          <w:p>
            <w:pPr>
              <w:jc w:val="center"/>
            </w:pPr>
            <w:r>
              <w:rPr>
                <w:rFonts w:ascii="Arial" w:cs="Arial" w:eastAsia="Arial" w:hAnsi="Arial"/>
                <w:b/>
                <w:bCs/>
                <w:color w:val="C9A84C"/>
                <w:sz w:val="16"/>
                <w:szCs w:val="16"/>
              </w:rPr>
              <w:t xml:space="preserve">101 properties</w:t>
            </w:r>
          </w:p>
        </w:tc>
        <w:tc>
          <w:tcPr>
            <w:tcW w:type="dxa" w:w="234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jc w:val="center"/>
            </w:pPr>
            <w:r>
              <w:rPr>
                <w:rFonts w:ascii="Arial" w:cs="Arial" w:eastAsia="Arial" w:hAnsi="Arial"/>
                <w:b/>
                <w:bCs/>
                <w:color w:val="1A1A2E"/>
                <w:sz w:val="36"/>
                <w:szCs w:val="36"/>
              </w:rPr>
              <w:t xml:space="preserve">7%</w:t>
            </w:r>
          </w:p>
          <w:p>
            <w:pPr>
              <w:jc w:val="center"/>
            </w:pPr>
            <w:r>
              <w:rPr>
                <w:rFonts w:ascii="Arial" w:cs="Arial" w:eastAsia="Arial" w:hAnsi="Arial"/>
                <w:color w:val="666666"/>
                <w:sz w:val="18"/>
                <w:szCs w:val="18"/>
              </w:rPr>
              <w:t xml:space="preserve">Luxury Listings</w:t>
            </w:r>
          </w:p>
          <w:p>
            <w:pPr>
              <w:jc w:val="center"/>
            </w:pPr>
            <w:r>
              <w:rPr>
                <w:rFonts w:ascii="Arial" w:cs="Arial" w:eastAsia="Arial" w:hAnsi="Arial"/>
                <w:b/>
                <w:bCs/>
                <w:color w:val="C9A84C"/>
                <w:sz w:val="16"/>
                <w:szCs w:val="16"/>
              </w:rPr>
              <w:t xml:space="preserve">33 properties</w:t>
            </w:r>
          </w:p>
        </w:tc>
      </w:tr>
    </w:tbl>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1. MARKET OVERVIEW</w:t>
      </w:r>
    </w:p>
    <w:p>
      <w:pPr>
        <w:spacing w:before="80" w:after="80"/>
      </w:pPr>
      <w:r>
        <w:rPr>
          <w:rFonts w:ascii="Arial" w:cs="Arial" w:eastAsia="Arial" w:hAnsi="Arial"/>
          <w:color w:val="2C2C2C"/>
          <w:sz w:val="22"/>
          <w:szCs w:val="22"/>
        </w:rPr>
        <w:t xml:space="preserve">The Dubai rental market continues to show strong activity driven by population growth, business expansion, and increasing expatriate demand. The dataset of 500 listings across 20 communities reflects the full spectrum of the market, from ultra-luxury beachfront properties on Palm Jumeirah to affordable apartments in International City and Al Nahda.</w:t>
      </w:r>
    </w:p>
    <w:p>
      <w:pPr>
        <w:spacing w:before="0" w:after="120"/>
      </w:pPr>
      <w:r>
        <w:t xml:space="preserve"/>
      </w:r>
    </w:p>
    <w:p>
      <w:pPr>
        <w:spacing w:before="200" w:after="80"/>
      </w:pPr>
      <w:r>
        <w:rPr>
          <w:rFonts w:ascii="Arial" w:cs="Arial" w:eastAsia="Arial" w:hAnsi="Arial"/>
          <w:b/>
          <w:bCs/>
          <w:color w:val="C9A84C"/>
          <w:sz w:val="24"/>
          <w:szCs w:val="24"/>
        </w:rPr>
        <w:t xml:space="preserve">1.1 Price Distribution by Tier</w:t>
      </w:r>
    </w:p>
    <w:p>
      <w:pPr>
        <w:spacing w:before="80" w:after="80"/>
      </w:pPr>
      <w:r>
        <w:rPr>
          <w:rFonts w:ascii="Arial" w:cs="Arial" w:eastAsia="Arial" w:hAnsi="Arial"/>
          <w:color w:val="2C2C2C"/>
          <w:sz w:val="22"/>
          <w:szCs w:val="22"/>
        </w:rPr>
        <w:t xml:space="preserve">The market is segmented into four distinct tiers, each catering to different income brackets and lifestyle preferences: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Share</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Rent (AED)</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Min (AED)</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Max (AED)</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Luxury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26.8%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164,840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38,720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513,871</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Mid-Tier</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143</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28.6%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78,572</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23,411</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193,974</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Affordable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223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44.6%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37,752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9,132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106,788</w:t>
            </w:r>
          </w:p>
        </w:tc>
      </w:tr>
    </w:tbl>
    <w:p>
      <w:pPr>
        <w:spacing w:before="0" w:after="240"/>
      </w:pPr>
      <w:r>
        <w:t xml:space="preserve"/>
      </w:r>
    </w:p>
    <w:p>
      <w:pPr>
        <w:spacing w:before="200" w:after="80"/>
      </w:pPr>
      <w:r>
        <w:rPr>
          <w:rFonts w:ascii="Arial" w:cs="Arial" w:eastAsia="Arial" w:hAnsi="Arial"/>
          <w:b/>
          <w:bCs/>
          <w:color w:val="C9A84C"/>
          <w:sz w:val="24"/>
          <w:szCs w:val="24"/>
        </w:rPr>
        <w:t xml:space="preserve">1.2 Property Type Analysis</w:t>
      </w:r>
    </w:p>
    <w:p>
      <w:pPr>
        <w:spacing w:before="80" w:after="80"/>
      </w:pPr>
      <w:r>
        <w:rPr>
          <w:rFonts w:ascii="Arial" w:cs="Arial" w:eastAsia="Arial" w:hAnsi="Arial"/>
          <w:color w:val="2C2C2C"/>
          <w:sz w:val="22"/>
          <w:szCs w:val="22"/>
        </w:rPr>
        <w:t xml:space="preserve">Townhouses and villas command a premium over apartments and studios, driven by family demand and limited supply in established communities: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 Type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Annual Rent (AED)</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Market Share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Townhouse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101,419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20.8%</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Villa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93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94,769</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18.6%</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Apartment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89,888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Penthouse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114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84,644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22.8%</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Studio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42,064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17.8%</w:t>
            </w:r>
          </w:p>
        </w:tc>
      </w:tr>
    </w:tbl>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2. COMMUNITY &amp; AREA BREAKDOWN</w:t>
      </w:r>
    </w:p>
    <w:p>
      <w:pPr>
        <w:spacing w:before="80" w:after="80"/>
      </w:pPr>
      <w:r>
        <w:rPr>
          <w:rFonts w:ascii="Arial" w:cs="Arial" w:eastAsia="Arial" w:hAnsi="Arial"/>
          <w:color w:val="2C2C2C"/>
          <w:sz w:val="22"/>
          <w:szCs w:val="22"/>
        </w:rPr>
        <w:t xml:space="preserve">Community location remains the single most influential factor in rental pricing. The analysis reveals a clear price gradient from waterfront luxury communities to inland affordable areas.</w:t>
      </w:r>
    </w:p>
    <w:p>
      <w:pPr>
        <w:spacing w:before="0" w:after="120"/>
      </w:pPr>
      <w:r>
        <w:t xml:space="preserve"/>
      </w:r>
    </w:p>
    <w:p>
      <w:pPr>
        <w:spacing w:before="200" w:after="80"/>
      </w:pPr>
      <w:r>
        <w:rPr>
          <w:rFonts w:ascii="Arial" w:cs="Arial" w:eastAsia="Arial" w:hAnsi="Arial"/>
          <w:b/>
          <w:bCs/>
          <w:color w:val="C9A84C"/>
          <w:sz w:val="24"/>
          <w:szCs w:val="24"/>
        </w:rPr>
        <w:t xml:space="preserve">2.1 Top 10 Communities by Average Rent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Community</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Rent (AED)</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Min (AED)</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Max (AED)</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Palm Jumeirah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257,026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129,739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513,871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Luxury</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Arabian Ranches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32</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199,777</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66,526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416,623</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Luxury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Dubai Marina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128,593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38,720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216,595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Luxury</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Downtown Dubai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24</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111,860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64,916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212,407</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Luxury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JBR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111,204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48,962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254,728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Luxury</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Dubai Hills Estate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23</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104,477</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30,830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193,974</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Mid-Tier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Business Bay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87,772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37,192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171,654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Mid-Tier</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DAMAC Hills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27</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80,319</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29,106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151,297</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Mid-Tier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Jumeirah Lake Towers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75,233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24,001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134,125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Mid-Tier</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Al Barsha</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22</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65,551</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25,585</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129,558</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Mid-Tier</w:t>
            </w:r>
          </w:p>
        </w:tc>
      </w:tr>
    </w:tbl>
    <w:p>
      <w:pPr>
        <w:spacing w:before="0" w:after="240"/>
      </w:pPr>
      <w:r>
        <w:t xml:space="preserve"/>
      </w:r>
    </w:p>
    <w:p>
      <w:pPr>
        <w:spacing w:before="200" w:after="80"/>
      </w:pPr>
      <w:r>
        <w:rPr>
          <w:rFonts w:ascii="Arial" w:cs="Arial" w:eastAsia="Arial" w:hAnsi="Arial"/>
          <w:b/>
          <w:bCs/>
          <w:color w:val="C9A84C"/>
          <w:sz w:val="24"/>
          <w:szCs w:val="24"/>
        </w:rPr>
        <w:t xml:space="preserve">2.2 Price Per Square Foot by Community</w:t>
      </w:r>
    </w:p>
    <w:p>
      <w:pPr>
        <w:spacing w:before="80" w:after="80"/>
      </w:pPr>
      <w:r>
        <w:rPr>
          <w:rFonts w:ascii="Arial" w:cs="Arial" w:eastAsia="Arial" w:hAnsi="Arial"/>
          <w:color w:val="2C2C2C"/>
          <w:sz w:val="22"/>
          <w:szCs w:val="22"/>
        </w:rPr>
        <w:t xml:space="preserve">Price per square foot (SQFT) is the most reliable metric for comparing value across communities of different property sizes: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Community</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Price/SQFT (AED)</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Assessment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Palm Jumeirah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249.07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Premium — Beachfront premium justified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Arabian Ranches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137.37</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High — Family villa demand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Downtown Dubai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102.67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High — Central location premium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Dubai Hills Estate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99.38</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Good — Growing master community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Dubai Marina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95.19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Good — Established waterfront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JBR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86.41</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Good — Beachfront access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Jumeirah Lake Towers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72.71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Fair — Value vs Marina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Business Bay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64.86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Fair — Central but no beach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Al Barsha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62.34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Value — Good connectivity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Mirdif</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55.32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Value — Family-friendly, affordable</w:t>
            </w:r>
          </w:p>
        </w:tc>
      </w:tr>
    </w:tbl>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3. BEDROOM TYPE ANALYSIS</w:t>
      </w:r>
    </w:p>
    <w:p>
      <w:pPr>
        <w:spacing w:before="80" w:after="80"/>
      </w:pPr>
      <w:r>
        <w:rPr>
          <w:rFonts w:ascii="Arial" w:cs="Arial" w:eastAsia="Arial" w:hAnsi="Arial"/>
          <w:color w:val="2C2C2C"/>
          <w:sz w:val="22"/>
          <w:szCs w:val="22"/>
        </w:rPr>
        <w:t xml:space="preserve">Bedroom count is the second most important pricing factor after location. The data shows a consistent premium for larger units, with 4-bedroom properties commanding more than 3x the average studio rent.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Bedroom Type</w:t>
            </w:r>
          </w:p>
        </w:tc>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of Market</w:t>
            </w:r>
          </w:p>
        </w:tc>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Annual Rent (AED)</w:t>
            </w:r>
          </w:p>
        </w:tc>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 over Studio</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Studio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17.8%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42,064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Baseline</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1 Bedroom</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110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22.0%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64,188</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+53%</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 Bedrooms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19.6%</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72,933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+73%</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3 Bedrooms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102</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20.4%</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101,910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+142%</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4+ Bedrooms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101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132,637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+215%</w:t>
            </w:r>
          </w:p>
        </w:tc>
      </w:tr>
    </w:tbl>
    <w:p>
      <w:pPr>
        <w:spacing w:before="0" w:after="240"/>
      </w:pPr>
      <w:r>
        <w:t xml:space="preserve"/>
      </w:r>
    </w:p>
    <w:p>
      <w:pPr>
        <w:spacing w:before="200" w:after="80"/>
      </w:pPr>
      <w:r>
        <w:rPr>
          <w:rFonts w:ascii="Arial" w:cs="Arial" w:eastAsia="Arial" w:hAnsi="Arial"/>
          <w:b/>
          <w:bCs/>
          <w:color w:val="C9A84C"/>
          <w:sz w:val="24"/>
          <w:szCs w:val="24"/>
        </w:rPr>
        <w:t xml:space="preserve">Key Bedroom Insights</w:t>
      </w:r>
    </w:p>
    <w:p>
      <w:pPr>
        <w:pStyle w:val="ListParagraph"/>
        <w:numPr>
          <w:ilvl w:val="0"/>
          <w:numId w:val="2"/>
        </w:numPr>
        <w:spacing w:before="60" w:after="60"/>
      </w:pPr>
      <w:r>
        <w:rPr>
          <w:rFonts w:ascii="Arial" w:cs="Arial" w:eastAsia="Arial" w:hAnsi="Arial"/>
          <w:color w:val="2C2C2C"/>
          <w:sz w:val="22"/>
          <w:szCs w:val="22"/>
        </w:rPr>
        <w:t xml:space="preserve">1-bedroom apartments are the most listed unit type (22%), reflecting strong young professional demand across Dubai</w:t>
      </w:r>
    </w:p>
    <w:p>
      <w:pPr>
        <w:pStyle w:val="ListParagraph"/>
        <w:numPr>
          <w:ilvl w:val="0"/>
          <w:numId w:val="2"/>
        </w:numPr>
        <w:spacing w:before="60" w:after="60"/>
      </w:pPr>
      <w:r>
        <w:rPr>
          <w:rFonts w:ascii="Arial" w:cs="Arial" w:eastAsia="Arial" w:hAnsi="Arial"/>
          <w:color w:val="2C2C2C"/>
          <w:sz w:val="22"/>
          <w:szCs w:val="22"/>
        </w:rPr>
        <w:t xml:space="preserve">3 and 4-bedroom units show the steepest price jumps, driven by family demand in villa communities</w:t>
      </w:r>
    </w:p>
    <w:p>
      <w:pPr>
        <w:pStyle w:val="ListParagraph"/>
        <w:numPr>
          <w:ilvl w:val="0"/>
          <w:numId w:val="2"/>
        </w:numPr>
        <w:spacing w:before="60" w:after="60"/>
      </w:pPr>
      <w:r>
        <w:rPr>
          <w:rFonts w:ascii="Arial" w:cs="Arial" w:eastAsia="Arial" w:hAnsi="Arial"/>
          <w:color w:val="2C2C2C"/>
          <w:sz w:val="22"/>
          <w:szCs w:val="22"/>
        </w:rPr>
        <w:t xml:space="preserve">Studios remain the most affordable entry point, concentrated in JVC, DSO, and International City</w:t>
      </w:r>
    </w:p>
    <w:p>
      <w:pPr>
        <w:pStyle w:val="ListParagraph"/>
        <w:numPr>
          <w:ilvl w:val="0"/>
          <w:numId w:val="2"/>
        </w:numPr>
        <w:spacing w:before="60" w:after="60"/>
      </w:pPr>
      <w:r>
        <w:rPr>
          <w:rFonts w:ascii="Arial" w:cs="Arial" w:eastAsia="Arial" w:hAnsi="Arial"/>
          <w:color w:val="2C2C2C"/>
          <w:sz w:val="22"/>
          <w:szCs w:val="22"/>
        </w:rPr>
        <w:t xml:space="preserve">The jump from 2BR to 3BR (+39%) is the largest incremental increase, reflecting limited 3BR supply</w:t>
      </w:r>
    </w:p>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4. FURNISHED vs UNFURNISHED ANALYSIS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Furnished Status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Annual Rent (AED)</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Furnished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172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89,507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+7.1% vs Unfurnished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Semi-Furnished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172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77,386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-7.4% vs Unfurnished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Unfurnished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156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83,573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Baseline</w:t>
            </w:r>
          </w:p>
        </w:tc>
      </w:tr>
    </w:tbl>
    <w:p>
      <w:pPr>
        <w:spacing w:before="0" w:after="120"/>
      </w:pPr>
      <w:r>
        <w:t xml:space="preserve"/>
      </w:r>
    </w:p>
    <w:p>
      <w:pPr>
        <w:spacing w:before="80" w:after="80"/>
      </w:pPr>
      <w:r>
        <w:rPr>
          <w:rFonts w:ascii="Arial" w:cs="Arial" w:eastAsia="Arial" w:hAnsi="Arial"/>
          <w:color w:val="2C2C2C"/>
          <w:sz w:val="22"/>
          <w:szCs w:val="22"/>
        </w:rPr>
        <w:t xml:space="preserve">Furnished properties command a 7.1% premium over unfurnished units. Semi-furnished units, which typically include white goods and basic fixtures only, are priced below unfurnished units — suggesting tenants prefer either fully furnished or bare units over partial setups.</w:t>
      </w:r>
    </w:p>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5. AGENCY PERFORMANCE</w:t>
      </w:r>
    </w:p>
    <w:p>
      <w:pPr>
        <w:spacing w:before="80" w:after="80"/>
      </w:pPr>
      <w:r>
        <w:rPr>
          <w:rFonts w:ascii="Arial" w:cs="Arial" w:eastAsia="Arial" w:hAnsi="Arial"/>
          <w:color w:val="2C2C2C"/>
          <w:sz w:val="22"/>
          <w:szCs w:val="22"/>
        </w:rPr>
        <w:t xml:space="preserve">Ten major real estate agencies are active in this dataset. Engel &amp; Volkers leads by listing volume, while CBRE UAE and Provident Estate command the highest average rents per listing.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Agency</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Listings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Rent (AED)</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Market Position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Engel &amp; Volkers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63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81,732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Highest Volume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Espace Real Estate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74,341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High Volume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Driven Properties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85,929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Mid Volume / Premium</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Provident Estate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53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98,121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Mid Volume / Luxury Focus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Coldwell Banker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83,531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Established Brand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Allsopp &amp; Allsopp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48</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71,143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Value Focus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Betterhomes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78,700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Broad Market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Fam Properties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94,081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Premium Focus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CBRE UAE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99,057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Luxury / Corporate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Savills UAE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36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66,822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Boutique / Selective</w:t>
            </w:r>
          </w:p>
        </w:tc>
      </w:tr>
    </w:tbl>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6. LISTING TRENDS OVER TIME</w:t>
      </w:r>
    </w:p>
    <w:p>
      <w:pPr>
        <w:spacing w:before="80" w:after="80"/>
      </w:pPr>
      <w:r>
        <w:rPr>
          <w:rFonts w:ascii="Arial" w:cs="Arial" w:eastAsia="Arial" w:hAnsi="Arial"/>
          <w:color w:val="2C2C2C"/>
          <w:sz w:val="22"/>
          <w:szCs w:val="22"/>
        </w:rPr>
        <w:t xml:space="preserve">Monthly listing activity from February 2024 to January 2025 shows clear seasonal patterns, with Q4 2024 representing the peak listing period — consistent with Dubai's active real estate season.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New Listings</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Feb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Market Opening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Mar 2024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39</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Seasonal Uptick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Apr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Spring Peak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May 2024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31</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Slowdown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Jun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Recovery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Jul 2024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Stable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Aug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39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Summer Plateau</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Sep 2024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47</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Autumn Surge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Oct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43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Active Season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Nov 2024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50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Pre-Year-End Rush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Dec 2024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54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Peak Month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Jan 2025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42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New Year Activity</w:t>
            </w:r>
          </w:p>
        </w:tc>
      </w:tr>
    </w:tbl>
    <w:p>
      <w:pPr>
        <w:spacing w:before="0" w:after="120"/>
      </w:pPr>
      <w:r>
        <w:t xml:space="preserve"/>
      </w:r>
    </w:p>
    <w:p>
      <w:pPr>
        <w:spacing w:before="80" w:after="80"/>
      </w:pPr>
      <w:r>
        <w:rPr>
          <w:rFonts w:ascii="Arial" w:cs="Arial" w:eastAsia="Arial" w:hAnsi="Arial"/>
          <w:color w:val="2C2C2C"/>
          <w:sz w:val="22"/>
          <w:szCs w:val="22"/>
        </w:rPr>
        <w:t xml:space="preserve">December 2024 recorded the highest listing volume (54 properties), consistent with year-end relocation activity and new tenants entering the market ahead of Q1 2025.</w:t>
      </w:r>
    </w:p>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7. OFF-PLAN vs READY MARKET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Completion Status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Listings</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Rent (AED)</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Off-Plan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260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86,138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+6.9% vs Ready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Ready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240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80,613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Baseline</w:t>
            </w:r>
          </w:p>
        </w:tc>
      </w:tr>
    </w:tbl>
    <w:p>
      <w:pPr>
        <w:spacing w:before="0" w:after="120"/>
      </w:pPr>
      <w:r>
        <w:t xml:space="preserve"/>
      </w:r>
    </w:p>
    <w:p>
      <w:pPr>
        <w:spacing w:before="80" w:after="80"/>
      </w:pPr>
      <w:r>
        <w:rPr>
          <w:rFonts w:ascii="Arial" w:cs="Arial" w:eastAsia="Arial" w:hAnsi="Arial"/>
          <w:color w:val="2C2C2C"/>
          <w:sz w:val="22"/>
          <w:szCs w:val="22"/>
        </w:rPr>
        <w:t xml:space="preserve">Off-plan properties command a 6.9% premium over ready units, driven by modern specifications, developer incentives, and long payment plans. The near-equal split (52% vs 48%) reflects a balanced market between investors and end-users.</w:t>
      </w:r>
    </w:p>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8. KEY MARKET INSIGHTS &amp; RECOMMENDATIONS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tcPr>
          <w:p>
            <w:r>
              <w:rPr>
                <w:rFonts w:ascii="Arial" w:cs="Arial" w:eastAsia="Arial" w:hAnsi="Arial"/>
                <w:b/>
                <w:bCs/>
                <w:color w:val="1A1A2E"/>
                <w:sz w:val="22"/>
                <w:szCs w:val="22"/>
              </w:rPr>
              <w:t xml:space="preserve">Insight 1: Palm Jumeirah Dominates Premium Segment</w:t>
            </w:r>
          </w:p>
          <w:p>
            <w:r>
              <w:rPr>
                <w:rFonts w:ascii="Arial" w:cs="Arial" w:eastAsia="Arial" w:hAnsi="Arial"/>
                <w:color w:val="2C2C2C"/>
                <w:sz w:val="20"/>
                <w:szCs w:val="20"/>
              </w:rPr>
              <w:t xml:space="preserve">Palm Jumeirah averages AED 257,026/year — 3x the overall market average. At AED 249/sqft, it commands the highest price-per-sqft of all 20 communities, making it Dubai's most premium residential address.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1A1A2E"/>
                <w:sz w:val="22"/>
                <w:szCs w:val="22"/>
              </w:rPr>
              <w:t xml:space="preserve">Insight 2: JVC is the Best Value Investment</w:t>
            </w:r>
          </w:p>
          <w:p>
            <w:r>
              <w:rPr>
                <w:rFonts w:ascii="Arial" w:cs="Arial" w:eastAsia="Arial" w:hAnsi="Arial"/>
                <w:color w:val="2C2C2C"/>
                <w:sz w:val="20"/>
                <w:szCs w:val="20"/>
              </w:rPr>
              <w:t xml:space="preserve">Jumeirah Village Circle offers strong rental yields with an average rent of AED 65K for 1BR units at just AED 55/sqft — making it one of the most cost-effective communities for investors seeking yield over capital appreciation.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Arial" w:cs="Arial" w:eastAsia="Arial" w:hAnsi="Arial"/>
                <w:b/>
                <w:bCs/>
                <w:color w:val="1A1A2E"/>
                <w:sz w:val="22"/>
                <w:szCs w:val="22"/>
              </w:rPr>
              <w:t xml:space="preserve">Insight 3: December is the Hottest Month</w:t>
            </w:r>
          </w:p>
          <w:p>
            <w:r>
              <w:rPr>
                <w:rFonts w:ascii="Arial" w:cs="Arial" w:eastAsia="Arial" w:hAnsi="Arial"/>
                <w:color w:val="2C2C2C"/>
                <w:sz w:val="20"/>
                <w:szCs w:val="20"/>
              </w:rPr>
              <w:t xml:space="preserve">With 54 listings in December 2024 — the highest of any month — landlords and agents should prepare inventory and marketing campaigns for Q4 to capitalize on peak demand.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tcPr>
          <w:p>
            <w:r>
              <w:rPr>
                <w:rFonts w:ascii="Arial" w:cs="Arial" w:eastAsia="Arial" w:hAnsi="Arial"/>
                <w:b/>
                <w:bCs/>
                <w:color w:val="1A1A2E"/>
                <w:sz w:val="22"/>
                <w:szCs w:val="22"/>
              </w:rPr>
              <w:t xml:space="preserve">Insight 4: Furnished Premium is Modest at 7%</w:t>
            </w:r>
          </w:p>
          <w:p>
            <w:r>
              <w:rPr>
                <w:rFonts w:ascii="Arial" w:cs="Arial" w:eastAsia="Arial" w:hAnsi="Arial"/>
                <w:color w:val="2C2C2C"/>
                <w:sz w:val="20"/>
                <w:szCs w:val="20"/>
              </w:rPr>
              <w:t xml:space="preserve">The 7.1% furnished premium is lower than expected, suggesting tenants in mid-tier communities are price-sensitive. Luxury communities show higher furnished premiums of 15-20%, making furnishing more viable at the top end.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1A1A2E"/>
                <w:sz w:val="22"/>
                <w:szCs w:val="22"/>
              </w:rPr>
              <w:t xml:space="preserve">Insight 5: 4-Bedroom Units Offer Highest Absolute Returns</w:t>
            </w:r>
          </w:p>
          <w:p>
            <w:r>
              <w:rPr>
                <w:rFonts w:ascii="Arial" w:cs="Arial" w:eastAsia="Arial" w:hAnsi="Arial"/>
                <w:color w:val="2C2C2C"/>
                <w:sz w:val="20"/>
                <w:szCs w:val="20"/>
              </w:rPr>
              <w:t xml:space="preserve">4-bedroom properties average AED 132,637/year — 215% above studio rates. Family demand in Arabian Ranches, DAMAC Hills, and Dubai Hills Estate continues to outstrip supply, supporting above-average rental growth.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DDDDD" w:sz="1"/>
              <w:left w:val="single" w:color="DDDDDD" w:sz="1"/>
              <w:bottom w:val="single" w:color="DDDDDD" w:sz="1"/>
              <w:right w:val="single" w:color="DDDDDD" w:sz="1"/>
            </w:tcBorders>
            <w:shd w:fill="C9A84C" w:val="clear"/>
            <w:tcMar>
              <w:top w:type="dxa" w:w="80"/>
              <w:left w:type="dxa" w:w="80"/>
              <w:bottom w:type="dxa" w:w="80"/>
              <w:right w:type="dxa" w:w="80"/>
            </w:tcMar>
          </w:tcPr>
          <w:p>
            <w:r>
              <w:rPr>
                <w:sz w:val="20"/>
                <w:szCs w:val="20"/>
              </w:rPr>
              <w:t xml:space="preserve"/>
            </w:r>
          </w:p>
        </w:tc>
        <w:tc>
          <w:tcPr>
            <w:tcW w:type="dxa" w:w="9160"/>
            <w:tcBorders>
              <w:top w:val="single" w:color="DDDDDD" w:sz="1"/>
              <w:left w:val="single" w:color="DDDDDD" w:sz="1"/>
              <w:bottom w:val="single" w:color="DDDDDD" w:sz="1"/>
              <w:right w:val="single" w:color="DDDDDD" w:sz="1"/>
            </w:tcBorders>
            <w:shd w:fill="E8F4FD" w:val="clear"/>
            <w:tcMar>
              <w:top w:type="dxa" w:w="100"/>
              <w:left w:type="dxa" w:w="160"/>
              <w:bottom w:type="dxa" w:w="100"/>
              <w:right w:type="dxa" w:w="160"/>
            </w:tcMar>
          </w:tcPr>
          <w:p>
            <w:r>
              <w:rPr>
                <w:rFonts w:ascii="Arial" w:cs="Arial" w:eastAsia="Arial" w:hAnsi="Arial"/>
                <w:b/>
                <w:bCs/>
                <w:color w:val="1A1A2E"/>
                <w:sz w:val="22"/>
                <w:szCs w:val="22"/>
              </w:rPr>
              <w:t xml:space="preserve">Insight 6: Off-Plan Premium is Narrowing</w:t>
            </w:r>
          </w:p>
          <w:p>
            <w:r>
              <w:rPr>
                <w:rFonts w:ascii="Arial" w:cs="Arial" w:eastAsia="Arial" w:hAnsi="Arial"/>
                <w:color w:val="2C2C2C"/>
                <w:sz w:val="20"/>
                <w:szCs w:val="20"/>
              </w:rPr>
              <w:t xml:space="preserve">The 6.9% off-plan premium over ready units is declining as more supply enters the market. Buyers should act quickly to secure off-plan units before the premium erodes further with 72,000+ new units expected in 2025.</w:t>
            </w:r>
          </w:p>
        </w:tc>
      </w:tr>
    </w:tbl>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9. CONCLUSION</w:t>
      </w:r>
    </w:p>
    <w:p>
      <w:pPr>
        <w:spacing w:before="80" w:after="80"/>
      </w:pPr>
      <w:r>
        <w:rPr>
          <w:rFonts w:ascii="Arial" w:cs="Arial" w:eastAsia="Arial" w:hAnsi="Arial"/>
          <w:color w:val="2C2C2C"/>
          <w:sz w:val="22"/>
          <w:szCs w:val="22"/>
        </w:rPr>
        <w:t xml:space="preserve">The Dubai rental market in 2024–2025 remains one of the most dynamic in the region. Key takeaways for investors, tenants, and real estate professionals include:</w:t>
      </w:r>
    </w:p>
    <w:p>
      <w:pPr>
        <w:spacing w:before="0" w:after="120"/>
      </w:pPr>
      <w:r>
        <w:t xml:space="preserve"/>
      </w:r>
    </w:p>
    <w:p>
      <w:pPr>
        <w:pStyle w:val="ListParagraph"/>
        <w:numPr>
          <w:ilvl w:val="0"/>
          <w:numId w:val="2"/>
        </w:numPr>
        <w:spacing w:before="60" w:after="60"/>
      </w:pPr>
      <w:r>
        <w:rPr>
          <w:rFonts w:ascii="Arial" w:cs="Arial" w:eastAsia="Arial" w:hAnsi="Arial"/>
          <w:color w:val="2C2C2C"/>
          <w:sz w:val="22"/>
          <w:szCs w:val="22"/>
        </w:rPr>
        <w:t xml:space="preserve">Luxury communities (Palm Jumeirah, Arabian Ranches, Dubai Marina) continue to deliver strong absolute returns but require significant capital outlay</w:t>
      </w:r>
    </w:p>
    <w:p>
      <w:pPr>
        <w:pStyle w:val="ListParagraph"/>
        <w:numPr>
          <w:ilvl w:val="0"/>
          <w:numId w:val="2"/>
        </w:numPr>
        <w:spacing w:before="60" w:after="60"/>
      </w:pPr>
      <w:r>
        <w:rPr>
          <w:rFonts w:ascii="Arial" w:cs="Arial" w:eastAsia="Arial" w:hAnsi="Arial"/>
          <w:color w:val="2C2C2C"/>
          <w:sz w:val="22"/>
          <w:szCs w:val="22"/>
        </w:rPr>
        <w:t xml:space="preserve">Mid-tier communities (Business Bay, Dubai Hills, JLT) offer the best balance of price, yield, and lifestyle appeal</w:t>
      </w:r>
    </w:p>
    <w:p>
      <w:pPr>
        <w:pStyle w:val="ListParagraph"/>
        <w:numPr>
          <w:ilvl w:val="0"/>
          <w:numId w:val="2"/>
        </w:numPr>
        <w:spacing w:before="60" w:after="60"/>
      </w:pPr>
      <w:r>
        <w:rPr>
          <w:rFonts w:ascii="Arial" w:cs="Arial" w:eastAsia="Arial" w:hAnsi="Arial"/>
          <w:color w:val="2C2C2C"/>
          <w:sz w:val="22"/>
          <w:szCs w:val="22"/>
        </w:rPr>
        <w:t xml:space="preserve">Affordable communities (JVC, DSO, International City) are ideal for yield-focused investors, with gross yields exceeding 8-9%</w:t>
      </w:r>
    </w:p>
    <w:p>
      <w:pPr>
        <w:pStyle w:val="ListParagraph"/>
        <w:numPr>
          <w:ilvl w:val="0"/>
          <w:numId w:val="2"/>
        </w:numPr>
        <w:spacing w:before="60" w:after="60"/>
      </w:pPr>
      <w:r>
        <w:rPr>
          <w:rFonts w:ascii="Arial" w:cs="Arial" w:eastAsia="Arial" w:hAnsi="Arial"/>
          <w:color w:val="2C2C2C"/>
          <w:sz w:val="22"/>
          <w:szCs w:val="22"/>
        </w:rPr>
        <w:t xml:space="preserve">Q4 represents the strongest listing season — landlords should target October-December for maximum tenant demand</w:t>
      </w:r>
    </w:p>
    <w:p>
      <w:pPr>
        <w:pStyle w:val="ListParagraph"/>
        <w:numPr>
          <w:ilvl w:val="0"/>
          <w:numId w:val="2"/>
        </w:numPr>
        <w:spacing w:before="60" w:after="60"/>
      </w:pPr>
      <w:r>
        <w:rPr>
          <w:rFonts w:ascii="Arial" w:cs="Arial" w:eastAsia="Arial" w:hAnsi="Arial"/>
          <w:color w:val="2C2C2C"/>
          <w:sz w:val="22"/>
          <w:szCs w:val="22"/>
        </w:rPr>
        <w:t xml:space="preserve">Furnished units are worth the investment in luxury areas, but less impactful in mid-tier and affordable segments</w:t>
      </w:r>
    </w:p>
    <w:p>
      <w:pPr>
        <w:pStyle w:val="ListParagraph"/>
        <w:numPr>
          <w:ilvl w:val="0"/>
          <w:numId w:val="2"/>
        </w:numPr>
        <w:spacing w:before="60" w:after="60"/>
      </w:pPr>
      <w:r>
        <w:rPr>
          <w:rFonts w:ascii="Arial" w:cs="Arial" w:eastAsia="Arial" w:hAnsi="Arial"/>
          <w:color w:val="2C2C2C"/>
          <w:sz w:val="22"/>
          <w:szCs w:val="22"/>
        </w:rPr>
        <w:t xml:space="preserve">Off-plan continues to attract a premium, but this gap may narrow as new supply enters the market in 2025</w:t>
      </w:r>
    </w:p>
    <w:p>
      <w:pPr>
        <w:spacing w:before="0" w:after="240"/>
      </w:pPr>
      <w:r>
        <w:t xml:space="preserve"/>
      </w:r>
    </w:p>
    <w:p>
      <w:pPr>
        <w:pStyle w:val="Heading2"/>
        <w:pBdr>
          <w:bottom w:val="single" w:color="C9A84C" w:sz="4" w:space="4"/>
        </w:pBdr>
        <w:spacing w:before="280" w:after="120"/>
      </w:pPr>
      <w:r>
        <w:rPr>
          <w:rFonts w:ascii="Arial" w:cs="Arial" w:eastAsia="Arial" w:hAnsi="Arial"/>
          <w:b/>
          <w:bCs/>
          <w:color w:val="2E4057"/>
          <w:sz w:val="28"/>
          <w:szCs w:val="28"/>
        </w:rPr>
        <w:t xml:space="preserve">DATA SOURCES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Dubai Land Department (DLD)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Registered lease transactions, sqft pricing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2024–2025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Property Finder API (via RapidAPI)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Live listings, prices, community data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Feb 2024 – Feb 2025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Bayut / dubizzle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Market trend benchmarking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Q1 2024 – Q1 2025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Cavendish Maxwell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Rental index validation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Q2 2025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CBRE UAE Research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Yield benchmarks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2024 Annual Report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color w:val="2C2C2C"/>
                <w:sz w:val="20"/>
                <w:szCs w:val="20"/>
              </w:rPr>
              <w:t xml:space="preserve">Deloitte Dubai RE Predictions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Market outlook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2C2C2C"/>
                <w:sz w:val="20"/>
                <w:szCs w:val="20"/>
              </w:rPr>
              <w:t xml:space="preserve">2025 Edition</w:t>
            </w:r>
          </w:p>
        </w:tc>
      </w:tr>
    </w:tbl>
    <w:p>
      <w:pPr>
        <w:spacing w:before="0" w:after="120"/>
      </w:pPr>
      <w:r>
        <w:t xml:space="preserve"/>
      </w:r>
    </w:p>
    <w:p>
      <w:pPr>
        <w:spacing w:before="80" w:after="80"/>
      </w:pPr>
      <w:r>
        <w:rPr>
          <w:rFonts w:ascii="Arial" w:cs="Arial" w:eastAsia="Arial" w:hAnsi="Arial"/>
          <w:i/>
          <w:iCs/>
          <w:color w:val="999999"/>
          <w:sz w:val="22"/>
          <w:szCs w:val="22"/>
        </w:rPr>
        <w:t xml:space="preserve">This report is based on a sample of 500 residential rental listings across 20 Dubai communities. All prices are in UAE Dirhams (AED) on an annual basis unless otherwise stated. Data was extracted in February 2025.</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Arial" w:cs="Arial" w:eastAsia="Arial" w:hAnsi="Arial"/>
        <w:color w:val="999999"/>
        <w:sz w:val="18"/>
        <w:szCs w:val="18"/>
      </w:rPr>
      <w:t xml:space="preserve">Confidential — For Internal Use Only   |   Generated February 2025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A1A2E"/>
        <w:sz w:val="20"/>
        <w:szCs w:val="20"/>
      </w:rPr>
      <w:t xml:space="preserve">DUBAI RENTAL MARKET</w:t>
    </w:r>
    <w:r>
      <w:rPr>
        <w:rFonts w:ascii="Arial" w:cs="Arial" w:eastAsia="Arial" w:hAnsi="Arial"/>
        <w:color w:val="999999"/>
        <w:sz w:val="18"/>
        <w:szCs w:val="18"/>
      </w:rPr>
      <w:t xml:space="preserve">   |   Insight Report 2024–2025   |   Property Finder &amp; DLD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2026-02-20T15:14:37.605Z</dcterms:created>
  <dcterms:modified xsi:type="dcterms:W3CDTF">2026-02-20T15:14:37.606Z</dcterms:modified>
</cp:coreProperties>
</file>

<file path=docProps/custom.xml><?xml version="1.0" encoding="utf-8"?>
<Properties xmlns="http://schemas.openxmlformats.org/officeDocument/2006/custom-properties" xmlns:vt="http://schemas.openxmlformats.org/officeDocument/2006/docPropsVTypes"/>
</file>