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713232" cy="691454"/>
            <wp:docPr id="1" name="Picture 1" descr="Big Chalk Box green chalk-box logo" title="Big Chalk Box logo"/>
            <wp:cNvGraphicFramePr>
              <a:graphicFrameLocks noChangeAspect="1"/>
            </wp:cNvGraphicFramePr>
            <a:graphic>
              <a:graphicData uri="http://schemas.openxmlformats.org/drawingml/2006/picture">
                <pic:pic>
                  <pic:nvPicPr>
                    <pic:cNvPr id="0" name="logo.png"/>
                    <pic:cNvPicPr/>
                  </pic:nvPicPr>
                  <pic:blipFill>
                    <a:blip r:embed="rId13"/>
                    <a:stretch>
                      <a:fillRect/>
                    </a:stretch>
                  </pic:blipFill>
                  <pic:spPr>
                    <a:xfrm>
                      <a:off x="0" y="0"/>
                      <a:ext cx="713232" cy="691454"/>
                    </a:xfrm>
                    <a:prstGeom prst="rect"/>
                  </pic:spPr>
                </pic:pic>
              </a:graphicData>
            </a:graphic>
          </wp:inline>
        </w:drawing>
      </w:r>
    </w:p>
    <w:p>
      <w:pPr>
        <w:spacing w:before="40" w:after="80"/>
        <w:jc w:val="center"/>
      </w:pPr>
      <w:r>
        <w:rPr>
          <w:rFonts w:ascii="Calibri" w:hAnsi="Calibri" w:eastAsia="Calibri"/>
          <w:b/>
          <w:color w:val="0D4028"/>
          <w:sz w:val="56"/>
        </w:rPr>
        <w:t>BIG CHALK BOX</w:t>
      </w:r>
    </w:p>
    <w:p>
      <w:pPr>
        <w:spacing w:after="160"/>
        <w:jc w:val="center"/>
      </w:pPr>
      <w:r>
        <w:rPr>
          <w:rFonts w:ascii="Calibri" w:hAnsi="Calibri" w:eastAsia="Calibri"/>
          <w:b/>
          <w:color w:val="1A2421"/>
          <w:sz w:val="34"/>
        </w:rPr>
        <w:t>Investor Business Plan</w:t>
      </w:r>
    </w:p>
    <w:p>
      <w:pPr>
        <w:spacing w:after="80"/>
        <w:jc w:val="center"/>
      </w:pPr>
      <w:r>
        <w:rPr>
          <w:rFonts w:ascii="Calibri" w:hAnsi="Calibri" w:eastAsia="Calibri"/>
          <w:i/>
          <w:color w:val="5F6E67"/>
          <w:sz w:val="24"/>
        </w:rPr>
        <w:t>Building the assessment operating system for handwritten education</w:t>
      </w:r>
    </w:p>
    <w:p>
      <w:pPr>
        <w:spacing w:after="360"/>
        <w:jc w:val="center"/>
      </w:pPr>
      <w:r>
        <w:rPr>
          <w:rFonts w:ascii="Calibri" w:hAnsi="Calibri" w:eastAsia="Calibri"/>
          <w:b/>
          <w:color w:val="78857F"/>
          <w:sz w:val="19"/>
        </w:rPr>
        <w:t>Prepared 31 July 2026 · India · Confidential</w:t>
      </w:r>
    </w:p>
    <w:tbl>
      <w:tblPr>
        <w:tblW w:type="dxa" w:w="9360"/>
        <w:tblLook w:firstColumn="1" w:firstRow="1" w:lastColumn="0" w:lastRow="0" w:noHBand="0" w:noVBand="1" w:val="04A0"/>
        <w:jc w:val="left"/>
        <w:tblInd w:w="120" w:type="dxa"/>
        <w:tblLayout w:type="fixed"/>
      </w:tblPr>
      <w:tblGrid>
        <w:gridCol w:w="2340"/>
        <w:gridCol w:w="2340"/>
        <w:gridCol w:w="2340"/>
        <w:gridCol w:w="2340"/>
      </w:tblGrid>
      <w:tr>
        <w:trPr>
          <w:cantSplit w:val="true"/>
        </w:trPr>
        <w:tc>
          <w:tcPr>
            <w:tcW w:type="dxa" w:w="2340"/>
            <w:tcMar>
              <w:top w:w="140" w:type="dxa"/>
              <w:start w:w="100" w:type="dxa"/>
              <w:bottom w:w="140" w:type="dxa"/>
              <w:end w:w="100" w:type="dxa"/>
            </w:tcMar>
            <w:vAlign w:val="center"/>
            <w:shd w:fill="EAF1EC" w:val="clear"/>
            <w:tcBorders>
              <w:top w:val="single" w:sz="5" w:color="D3DED7"/>
              <w:start w:val="single" w:sz="5" w:color="D3DED7"/>
              <w:bottom w:val="single" w:sz="5" w:color="D3DED7"/>
              <w:end w:val="single" w:sz="5" w:color="D3DED7"/>
            </w:tcBorders>
          </w:tcPr>
          <w:p>
            <w:pPr>
              <w:spacing w:after="40"/>
              <w:jc w:val="center"/>
            </w:pPr>
            <w:r>
              <w:rPr>
                <w:rFonts w:ascii="Calibri" w:hAnsi="Calibri" w:eastAsia="Calibri"/>
                <w:b/>
                <w:color w:val="145A38"/>
                <w:sz w:val="32"/>
              </w:rPr>
              <w:t>400+</w:t>
            </w:r>
          </w:p>
          <w:p>
            <w:pPr>
              <w:spacing w:after="0"/>
              <w:jc w:val="center"/>
            </w:pPr>
            <w:r>
              <w:rPr>
                <w:rFonts w:ascii="Calibri" w:hAnsi="Calibri" w:eastAsia="Calibri"/>
                <w:color w:val="5F6E67"/>
                <w:sz w:val="16"/>
              </w:rPr>
              <w:t>sheets evaluated</w:t>
            </w:r>
          </w:p>
        </w:tc>
        <w:tc>
          <w:tcPr>
            <w:tcW w:type="dxa" w:w="2340"/>
            <w:tcMar>
              <w:top w:w="140" w:type="dxa"/>
              <w:start w:w="100" w:type="dxa"/>
              <w:bottom w:w="140" w:type="dxa"/>
              <w:end w:w="100" w:type="dxa"/>
            </w:tcMar>
            <w:vAlign w:val="center"/>
            <w:shd w:fill="EAF1EC" w:val="clear"/>
            <w:tcBorders>
              <w:top w:val="single" w:sz="5" w:color="D3DED7"/>
              <w:start w:val="single" w:sz="5" w:color="D3DED7"/>
              <w:bottom w:val="single" w:sz="5" w:color="D3DED7"/>
              <w:end w:val="single" w:sz="5" w:color="D3DED7"/>
            </w:tcBorders>
          </w:tcPr>
          <w:p>
            <w:pPr>
              <w:spacing w:after="40"/>
              <w:jc w:val="center"/>
            </w:pPr>
            <w:r>
              <w:rPr>
                <w:rFonts w:ascii="Calibri" w:hAnsi="Calibri" w:eastAsia="Calibri"/>
                <w:b/>
                <w:color w:val="145A38"/>
                <w:sz w:val="32"/>
              </w:rPr>
              <w:t>20+</w:t>
            </w:r>
          </w:p>
          <w:p>
            <w:pPr>
              <w:spacing w:after="0"/>
              <w:jc w:val="center"/>
            </w:pPr>
            <w:r>
              <w:rPr>
                <w:rFonts w:ascii="Calibri" w:hAnsi="Calibri" w:eastAsia="Calibri"/>
                <w:color w:val="5F6E67"/>
                <w:sz w:val="16"/>
              </w:rPr>
              <w:t>educators onboard</w:t>
            </w:r>
          </w:p>
        </w:tc>
        <w:tc>
          <w:tcPr>
            <w:tcW w:type="dxa" w:w="2340"/>
            <w:tcMar>
              <w:top w:w="140" w:type="dxa"/>
              <w:start w:w="100" w:type="dxa"/>
              <w:bottom w:w="140" w:type="dxa"/>
              <w:end w:w="100" w:type="dxa"/>
            </w:tcMar>
            <w:vAlign w:val="center"/>
            <w:shd w:fill="F7F3E8" w:val="clear"/>
            <w:tcBorders>
              <w:top w:val="single" w:sz="5" w:color="D3DED7"/>
              <w:start w:val="single" w:sz="5" w:color="D3DED7"/>
              <w:bottom w:val="single" w:sz="5" w:color="D3DED7"/>
              <w:end w:val="single" w:sz="5" w:color="D3DED7"/>
            </w:tcBorders>
          </w:tcPr>
          <w:p>
            <w:pPr>
              <w:spacing w:after="40"/>
              <w:jc w:val="center"/>
            </w:pPr>
            <w:r>
              <w:rPr>
                <w:rFonts w:ascii="Calibri" w:hAnsi="Calibri" w:eastAsia="Calibri"/>
                <w:b/>
                <w:color w:val="145A38"/>
                <w:sz w:val="32"/>
              </w:rPr>
              <w:t>98%</w:t>
            </w:r>
          </w:p>
          <w:p>
            <w:pPr>
              <w:spacing w:after="0"/>
              <w:jc w:val="center"/>
            </w:pPr>
            <w:r>
              <w:rPr>
                <w:rFonts w:ascii="Calibri" w:hAnsi="Calibri" w:eastAsia="Calibri"/>
                <w:color w:val="5F6E67"/>
                <w:sz w:val="16"/>
              </w:rPr>
              <w:t>rubric accuracy</w:t>
            </w:r>
          </w:p>
        </w:tc>
        <w:tc>
          <w:tcPr>
            <w:tcW w:type="dxa" w:w="2340"/>
            <w:tcMar>
              <w:top w:w="140" w:type="dxa"/>
              <w:start w:w="100" w:type="dxa"/>
              <w:bottom w:w="140" w:type="dxa"/>
              <w:end w:w="100" w:type="dxa"/>
            </w:tcMar>
            <w:vAlign w:val="center"/>
            <w:shd w:fill="EAF1EC" w:val="clear"/>
            <w:tcBorders>
              <w:top w:val="single" w:sz="5" w:color="D3DED7"/>
              <w:start w:val="single" w:sz="5" w:color="D3DED7"/>
              <w:bottom w:val="single" w:sz="5" w:color="D3DED7"/>
              <w:end w:val="single" w:sz="5" w:color="D3DED7"/>
            </w:tcBorders>
          </w:tcPr>
          <w:p>
            <w:pPr>
              <w:spacing w:after="40"/>
              <w:jc w:val="center"/>
            </w:pPr>
            <w:r>
              <w:rPr>
                <w:rFonts w:ascii="Calibri" w:hAnsi="Calibri" w:eastAsia="Calibri"/>
                <w:b/>
                <w:color w:val="145A38"/>
                <w:sz w:val="32"/>
              </w:rPr>
              <w:t>~15 sec</w:t>
            </w:r>
          </w:p>
          <w:p>
            <w:pPr>
              <w:spacing w:after="0"/>
              <w:jc w:val="center"/>
            </w:pPr>
            <w:r>
              <w:rPr>
                <w:rFonts w:ascii="Calibri" w:hAnsi="Calibri" w:eastAsia="Calibri"/>
                <w:color w:val="5F6E67"/>
                <w:sz w:val="16"/>
              </w:rPr>
              <w:t>processing / sheet</w:t>
            </w:r>
          </w:p>
        </w:tc>
      </w:tr>
    </w:tbl>
    <w:p>
      <w:pPr>
        <w:spacing w:after="80"/>
      </w:pP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INVESTMENT PROPOSITION</w:t>
            </w:r>
          </w:p>
          <w:p>
            <w:pPr>
              <w:spacing w:after="80"/>
            </w:pPr>
            <w:r>
              <w:rPr>
                <w:rFonts w:ascii="Calibri" w:hAnsi="Calibri" w:eastAsia="Calibri"/>
                <w:b/>
                <w:color w:val="1A2421"/>
                <w:sz w:val="27"/>
              </w:rPr>
              <w:t>Own the full assessment lifecycle, not one grading feature.</w:t>
            </w:r>
          </w:p>
          <w:p>
            <w:pPr>
              <w:spacing w:after="0" w:line="283" w:lineRule="auto"/>
            </w:pPr>
            <w:r>
              <w:rPr>
                <w:rFonts w:ascii="Calibri" w:hAnsi="Calibri" w:eastAsia="Calibri"/>
                <w:color w:val="26322E"/>
                <w:sz w:val="20"/>
              </w:rPr>
              <w:t>Question Paper Generation and Moderation provide a low-friction entry point. DASES expands the account into recurring, high-value handwritten evaluation, faculty review, student feedback, and institutional analytics.</w:t>
            </w:r>
          </w:p>
        </w:tc>
      </w:tr>
    </w:tbl>
    <w:p>
      <w:pPr>
        <w:spacing w:after="20"/>
      </w:pPr>
    </w:p>
    <w:p>
      <w:pPr>
        <w:spacing w:before="100"/>
        <w:jc w:val="center"/>
      </w:pPr>
      <w:r>
        <w:rPr>
          <w:rFonts w:ascii="Calibri" w:hAnsi="Calibri" w:eastAsia="Calibri"/>
          <w:i/>
          <w:color w:val="78857F"/>
          <w:sz w:val="16"/>
        </w:rPr>
        <w:t>Company-reported product metrics; validation plan included in this document.</w:t>
      </w:r>
    </w:p>
    <w:p>
      <w:r>
        <w:br w:type="page"/>
      </w:r>
    </w:p>
    <w:p>
      <w:pPr>
        <w:keepNext/>
        <w:spacing w:before="0" w:after="120"/>
      </w:pPr>
      <w:r>
        <w:rPr>
          <w:rFonts w:ascii="Calibri" w:hAnsi="Calibri" w:eastAsia="Calibri"/>
          <w:b/>
          <w:color w:val="BF9B30"/>
          <w:sz w:val="17"/>
        </w:rPr>
        <w:t>SECTION 01</w:t>
      </w:r>
    </w:p>
    <w:p>
      <w:pPr>
        <w:pStyle w:val="Heading1"/>
      </w:pPr>
      <w:r>
        <w:t>Executive Summary</w:t>
      </w:r>
    </w:p>
    <w:p>
      <w:pPr>
        <w:spacing w:after="200"/>
      </w:pPr>
      <w:r>
        <w:rPr>
          <w:rFonts w:ascii="Calibri" w:hAnsi="Calibri" w:eastAsia="Calibri"/>
          <w:i/>
          <w:color w:val="5F6E67"/>
          <w:sz w:val="23"/>
        </w:rPr>
        <w:t>A focused investment case for an early-stage academic infrastructure company</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EAF1EC" w:val="clear"/>
            <w:tcBorders>
              <w:top w:val="single" w:sz="4" w:color="EAF1EC"/>
              <w:start w:val="single" w:sz="18" w:color="145A38"/>
              <w:bottom w:val="single" w:sz="4" w:color="EAF1EC"/>
              <w:end w:val="single" w:sz="4" w:color="EAF1EC"/>
            </w:tcBorders>
          </w:tcPr>
          <w:p>
            <w:pPr>
              <w:spacing w:after="60"/>
            </w:pPr>
            <w:r>
              <w:rPr>
                <w:rFonts w:ascii="Calibri" w:hAnsi="Calibri" w:eastAsia="Calibri"/>
                <w:b/>
                <w:color w:val="145A38"/>
                <w:sz w:val="16"/>
              </w:rPr>
              <w:t>RECOMMENDED SEED PROPOSAL</w:t>
            </w:r>
          </w:p>
          <w:p>
            <w:pPr>
              <w:spacing w:after="80"/>
            </w:pPr>
            <w:r>
              <w:rPr>
                <w:rFonts w:ascii="Calibri" w:hAnsi="Calibri" w:eastAsia="Calibri"/>
                <w:b/>
                <w:color w:val="1A2421"/>
                <w:sz w:val="27"/>
              </w:rPr>
              <w:t>₹4.0 crore for approximately 18 months of runway</w:t>
            </w:r>
          </w:p>
          <w:p>
            <w:pPr>
              <w:spacing w:after="0" w:line="283" w:lineRule="auto"/>
            </w:pPr>
            <w:r>
              <w:rPr>
                <w:rFonts w:ascii="Calibri" w:hAnsi="Calibri" w:eastAsia="Calibri"/>
                <w:color w:val="26322E"/>
                <w:sz w:val="20"/>
              </w:rPr>
              <w:t>Use the round to reach 50 paying institutions, a ₹2.0 crore ARR run-rate, 70%+ gross-margin trajectory, independently documented accuracy, and enterprise-grade privacy/security readiness. The amount and milestones are management recommendations, not current commitments.</w:t>
            </w:r>
          </w:p>
        </w:tc>
      </w:tr>
    </w:tbl>
    <w:p>
      <w:pPr>
        <w:spacing w:after="20"/>
      </w:pPr>
    </w:p>
    <w:p>
      <w:pPr>
        <w:spacing w:before="0" w:after="160" w:line="302" w:lineRule="auto"/>
        <w:jc w:val="left"/>
      </w:pPr>
      <w:r>
        <w:rPr>
          <w:rFonts w:ascii="Calibri" w:hAnsi="Calibri" w:eastAsia="Calibri"/>
          <w:i w:val="0"/>
          <w:color w:val="26322E"/>
        </w:rPr>
        <w:t>Big Chalk Box Pvt. Ltd., founded in 2024, is building AI infrastructure for the most operationally heavy part of education: designing, moderating, evaluating, and learning from handwritten assessments. Its flagship product, DASES (Digital Academic Student Evaluation System), reads handwritten scripts, scores each answer against faculty-defined rubrics, and generates detailed per-question feedback for faculty review.</w:t>
      </w:r>
    </w:p>
    <w:p>
      <w:pPr>
        <w:spacing w:before="0" w:after="160" w:line="302" w:lineRule="auto"/>
        <w:jc w:val="left"/>
      </w:pPr>
      <w:r>
        <w:rPr>
          <w:rFonts w:ascii="Calibri" w:hAnsi="Calibri" w:eastAsia="Calibri"/>
          <w:i w:val="0"/>
          <w:color w:val="26322E"/>
        </w:rPr>
        <w:t>The core investment thesis is stronger than a single AI-grading feature. Big Chalk Box can become an assessment workflow system that begins before the exam and compounds after it: syllabus-aligned paper generation, quality moderation, sample answers, marking rubrics, script evaluation, human approval, student feedback, and performance analytics in one institutional record.</w:t>
      </w:r>
    </w:p>
    <w:p>
      <w:pPr>
        <w:spacing w:before="0" w:after="160" w:line="302" w:lineRule="auto"/>
        <w:jc w:val="left"/>
      </w:pPr>
      <w:r>
        <w:rPr>
          <w:rFonts w:ascii="Calibri" w:hAnsi="Calibri" w:eastAsia="Calibri"/>
          <w:i w:val="0"/>
          <w:color w:val="26322E"/>
        </w:rPr>
        <w:t>Why now. India registered 64,756 higher-education institutions and nearly 4.5 crore students in AISHE 2023-24. A 2025 FICCI-EY-Parthenon survey reported that 38% of participating Indian HEIs cited automated grading as an AI application, while also emphasizing phased pilots, governance, fairness, and data protection. The market is large, but trust and workflow integration—not generic model access—will determine adoption. [5][6]</w:t>
      </w:r>
    </w:p>
    <w:p>
      <w:pPr>
        <w:pStyle w:val="Heading2"/>
      </w:pPr>
      <w:r>
        <w:t>The investor case</w:t>
      </w:r>
    </w:p>
    <w:p>
      <w:pPr>
        <w:numPr>
          <w:ilvl w:val="0"/>
          <w:numId w:val="10"/>
        </w:numPr>
        <w:spacing w:after="80" w:line="290" w:lineRule="auto"/>
      </w:pPr>
      <w:r>
        <w:rPr>
          <w:rFonts w:ascii="Calibri" w:hAnsi="Calibri" w:eastAsia="Calibri"/>
          <w:color w:val="26322E"/>
        </w:rPr>
        <w:t>Clear pain with budget value: grading consumes faculty time, result cycles are slow, and feedback is inconsistent or thin.</w:t>
      </w:r>
    </w:p>
    <w:p>
      <w:pPr>
        <w:numPr>
          <w:ilvl w:val="0"/>
          <w:numId w:val="10"/>
        </w:numPr>
        <w:spacing w:after="80" w:line="290" w:lineRule="auto"/>
      </w:pPr>
      <w:r>
        <w:rPr>
          <w:rFonts w:ascii="Calibri" w:hAnsi="Calibri" w:eastAsia="Calibri"/>
          <w:color w:val="26322E"/>
        </w:rPr>
        <w:t>A wedge-and-expand model: ₹400 + GST per question paper lowers adoption friction; DASES evaluation creates larger, recurring institutional contracts.</w:t>
      </w:r>
    </w:p>
    <w:p>
      <w:pPr>
        <w:numPr>
          <w:ilvl w:val="0"/>
          <w:numId w:val="10"/>
        </w:numPr>
        <w:spacing w:after="80" w:line="290" w:lineRule="auto"/>
      </w:pPr>
      <w:r>
        <w:rPr>
          <w:rFonts w:ascii="Calibri" w:hAnsi="Calibri" w:eastAsia="Calibri"/>
          <w:color w:val="26322E"/>
        </w:rPr>
        <w:t>Early technical proof: the company reports 400+ sheets evaluated, 20+ educators onboard, 98% rubric accuracy, ~15 seconds per sheet, and 500-sheet parallel capacity. [1][2]</w:t>
      </w:r>
    </w:p>
    <w:p>
      <w:pPr>
        <w:numPr>
          <w:ilvl w:val="0"/>
          <w:numId w:val="10"/>
        </w:numPr>
        <w:spacing w:after="80" w:line="290" w:lineRule="auto"/>
      </w:pPr>
      <w:r>
        <w:rPr>
          <w:rFonts w:ascii="Calibri" w:hAnsi="Calibri" w:eastAsia="Calibri"/>
          <w:color w:val="26322E"/>
        </w:rPr>
        <w:t>A credible India-first position: handwritten descriptive formats, internal-choice structures, syllabus mapping, Bloom's taxonomy, and price sensitivity are central—not edge cases.</w:t>
      </w:r>
    </w:p>
    <w:p>
      <w:pPr>
        <w:numPr>
          <w:ilvl w:val="0"/>
          <w:numId w:val="10"/>
        </w:numPr>
        <w:spacing w:after="80" w:line="290" w:lineRule="auto"/>
      </w:pPr>
      <w:r>
        <w:rPr>
          <w:rFonts w:ascii="Calibri" w:hAnsi="Calibri" w:eastAsia="Calibri"/>
          <w:color w:val="26322E"/>
        </w:rPr>
        <w:t>A defensibility path: workflow data, approved rubrics, faculty overrides, integrations, audit trails, and trust can become harder to replace than the underlying AI models.</w:t>
      </w:r>
    </w:p>
    <w:p>
      <w:pPr>
        <w:pStyle w:val="Heading2"/>
      </w:pPr>
      <w:r>
        <w:t>What must be proven in the next 18 months</w:t>
      </w:r>
    </w:p>
    <w:tbl>
      <w:tblPr>
        <w:tblStyle w:val="TableGrid"/>
        <w:tblW w:type="dxa" w:w="9360"/>
        <w:tblLook w:firstColumn="1" w:firstRow="1" w:lastColumn="0" w:lastRow="0" w:noHBand="0" w:noVBand="1" w:val="04A0"/>
        <w:jc w:val="left"/>
        <w:tblInd w:w="120" w:type="dxa"/>
        <w:tblLayout w:type="fixed"/>
      </w:tblPr>
      <w:tblGrid>
        <w:gridCol w:w="1800"/>
        <w:gridCol w:w="2700"/>
        <w:gridCol w:w="4860"/>
      </w:tblGrid>
      <w:tr>
        <w:trPr>
          <w:tblHeader w:val="true"/>
          <w:cantSplit w:val="true"/>
        </w:trPr>
        <w:tc>
          <w:tcPr>
            <w:tcW w:type="dxa" w:w="18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Proof point</w:t>
            </w:r>
          </w:p>
        </w:tc>
        <w:tc>
          <w:tcPr>
            <w:tcW w:type="dxa" w:w="27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18-month target</w:t>
            </w:r>
          </w:p>
        </w:tc>
        <w:tc>
          <w:tcPr>
            <w:tcW w:type="dxa" w:w="48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Investor significance</w:t>
            </w:r>
          </w:p>
        </w:tc>
      </w:tr>
      <w:tr>
        <w:trPr>
          <w:cantSplit w:val="true"/>
        </w:trPr>
        <w:tc>
          <w:tcPr>
            <w:tcW w:type="dxa" w:w="1800"/>
            <w:vAlign w:val="center"/>
          </w:tcPr>
          <w:p>
            <w:pPr>
              <w:spacing w:after="0" w:line="269" w:lineRule="auto"/>
              <w:jc w:val="left"/>
            </w:pPr>
            <w:r>
              <w:rPr>
                <w:rFonts w:ascii="Calibri" w:hAnsi="Calibri" w:eastAsia="Calibri"/>
                <w:b/>
                <w:color w:val="26322E"/>
                <w:sz w:val="17"/>
              </w:rPr>
              <w:t>Commercial</w:t>
            </w:r>
          </w:p>
        </w:tc>
        <w:tc>
          <w:tcPr>
            <w:tcW w:type="dxa" w:w="2700"/>
            <w:vAlign w:val="center"/>
          </w:tcPr>
          <w:p>
            <w:pPr>
              <w:spacing w:after="0" w:line="269" w:lineRule="auto"/>
              <w:jc w:val="left"/>
            </w:pPr>
            <w:r>
              <w:rPr>
                <w:rFonts w:ascii="Calibri" w:hAnsi="Calibri" w:eastAsia="Calibri"/>
                <w:b w:val="0"/>
                <w:color w:val="26322E"/>
                <w:sz w:val="17"/>
              </w:rPr>
              <w:t>50 paying institutions; ₹2.0 crore ARR run-rate</w:t>
            </w:r>
          </w:p>
        </w:tc>
        <w:tc>
          <w:tcPr>
            <w:tcW w:type="dxa" w:w="4860"/>
            <w:vAlign w:val="center"/>
          </w:tcPr>
          <w:p>
            <w:pPr>
              <w:spacing w:after="0" w:line="269" w:lineRule="auto"/>
              <w:jc w:val="left"/>
            </w:pPr>
            <w:r>
              <w:rPr>
                <w:rFonts w:ascii="Calibri" w:hAnsi="Calibri" w:eastAsia="Calibri"/>
                <w:b w:val="0"/>
                <w:color w:val="26322E"/>
                <w:sz w:val="17"/>
              </w:rPr>
              <w:t>Demonstrates repeatable conversion beyond founder-led pilots</w:t>
            </w:r>
          </w:p>
        </w:tc>
      </w:tr>
      <w:tr>
        <w:trPr>
          <w:cantSplit w:val="true"/>
        </w:trPr>
        <w:tc>
          <w:tcPr>
            <w:tcW w:type="dxa" w:w="1800"/>
            <w:shd w:fill="F3F5F4" w:val="clear"/>
            <w:vAlign w:val="center"/>
          </w:tcPr>
          <w:p>
            <w:pPr>
              <w:spacing w:after="0" w:line="269" w:lineRule="auto"/>
              <w:jc w:val="left"/>
            </w:pPr>
            <w:r>
              <w:rPr>
                <w:rFonts w:ascii="Calibri" w:hAnsi="Calibri" w:eastAsia="Calibri"/>
                <w:b/>
                <w:color w:val="26322E"/>
                <w:sz w:val="17"/>
              </w:rPr>
              <w:t>Retention</w:t>
            </w:r>
          </w:p>
        </w:tc>
        <w:tc>
          <w:tcPr>
            <w:tcW w:type="dxa" w:w="2700"/>
            <w:shd w:fill="F3F5F4" w:val="clear"/>
            <w:vAlign w:val="center"/>
          </w:tcPr>
          <w:p>
            <w:pPr>
              <w:spacing w:after="0" w:line="269" w:lineRule="auto"/>
              <w:jc w:val="left"/>
            </w:pPr>
            <w:r>
              <w:rPr>
                <w:rFonts w:ascii="Calibri" w:hAnsi="Calibri" w:eastAsia="Calibri"/>
                <w:b w:val="0"/>
                <w:color w:val="26322E"/>
                <w:sz w:val="17"/>
              </w:rPr>
              <w:t>&gt;90% gross logo retention; multi-module expansion</w:t>
            </w:r>
          </w:p>
        </w:tc>
        <w:tc>
          <w:tcPr>
            <w:tcW w:type="dxa" w:w="4860"/>
            <w:shd w:fill="F3F5F4" w:val="clear"/>
            <w:vAlign w:val="center"/>
          </w:tcPr>
          <w:p>
            <w:pPr>
              <w:spacing w:after="0" w:line="269" w:lineRule="auto"/>
              <w:jc w:val="left"/>
            </w:pPr>
            <w:r>
              <w:rPr>
                <w:rFonts w:ascii="Calibri" w:hAnsi="Calibri" w:eastAsia="Calibri"/>
                <w:b w:val="0"/>
                <w:color w:val="26322E"/>
                <w:sz w:val="17"/>
              </w:rPr>
              <w:t>Shows workflow stickiness and cross-sell</w:t>
            </w:r>
          </w:p>
        </w:tc>
      </w:tr>
      <w:tr>
        <w:trPr>
          <w:cantSplit w:val="true"/>
        </w:trPr>
        <w:tc>
          <w:tcPr>
            <w:tcW w:type="dxa" w:w="1800"/>
            <w:vAlign w:val="center"/>
          </w:tcPr>
          <w:p>
            <w:pPr>
              <w:spacing w:after="0" w:line="269" w:lineRule="auto"/>
              <w:jc w:val="left"/>
            </w:pPr>
            <w:r>
              <w:rPr>
                <w:rFonts w:ascii="Calibri" w:hAnsi="Calibri" w:eastAsia="Calibri"/>
                <w:b/>
                <w:color w:val="26322E"/>
                <w:sz w:val="17"/>
              </w:rPr>
              <w:t>Economics</w:t>
            </w:r>
          </w:p>
        </w:tc>
        <w:tc>
          <w:tcPr>
            <w:tcW w:type="dxa" w:w="2700"/>
            <w:vAlign w:val="center"/>
          </w:tcPr>
          <w:p>
            <w:pPr>
              <w:spacing w:after="0" w:line="269" w:lineRule="auto"/>
              <w:jc w:val="left"/>
            </w:pPr>
            <w:r>
              <w:rPr>
                <w:rFonts w:ascii="Calibri" w:hAnsi="Calibri" w:eastAsia="Calibri"/>
                <w:b w:val="0"/>
                <w:color w:val="26322E"/>
                <w:sz w:val="17"/>
              </w:rPr>
              <w:t>70%+ gross-margin trajectory; CAC payback &lt;12 months</w:t>
            </w:r>
          </w:p>
        </w:tc>
        <w:tc>
          <w:tcPr>
            <w:tcW w:type="dxa" w:w="4860"/>
            <w:vAlign w:val="center"/>
          </w:tcPr>
          <w:p>
            <w:pPr>
              <w:spacing w:after="0" w:line="269" w:lineRule="auto"/>
              <w:jc w:val="left"/>
            </w:pPr>
            <w:r>
              <w:rPr>
                <w:rFonts w:ascii="Calibri" w:hAnsi="Calibri" w:eastAsia="Calibri"/>
                <w:b w:val="0"/>
                <w:color w:val="26322E"/>
                <w:sz w:val="17"/>
              </w:rPr>
              <w:t>Supports venture-scale operating leverage</w:t>
            </w:r>
          </w:p>
        </w:tc>
      </w:tr>
      <w:tr>
        <w:trPr>
          <w:cantSplit w:val="true"/>
        </w:trPr>
        <w:tc>
          <w:tcPr>
            <w:tcW w:type="dxa" w:w="1800"/>
            <w:shd w:fill="F3F5F4" w:val="clear"/>
            <w:vAlign w:val="center"/>
          </w:tcPr>
          <w:p>
            <w:pPr>
              <w:spacing w:after="0" w:line="269" w:lineRule="auto"/>
              <w:jc w:val="left"/>
            </w:pPr>
            <w:r>
              <w:rPr>
                <w:rFonts w:ascii="Calibri" w:hAnsi="Calibri" w:eastAsia="Calibri"/>
                <w:b/>
                <w:color w:val="26322E"/>
                <w:sz w:val="17"/>
              </w:rPr>
              <w:t>Trust</w:t>
            </w:r>
          </w:p>
        </w:tc>
        <w:tc>
          <w:tcPr>
            <w:tcW w:type="dxa" w:w="2700"/>
            <w:shd w:fill="F3F5F4" w:val="clear"/>
            <w:vAlign w:val="center"/>
          </w:tcPr>
          <w:p>
            <w:pPr>
              <w:spacing w:after="0" w:line="269" w:lineRule="auto"/>
              <w:jc w:val="left"/>
            </w:pPr>
            <w:r>
              <w:rPr>
                <w:rFonts w:ascii="Calibri" w:hAnsi="Calibri" w:eastAsia="Calibri"/>
                <w:b w:val="0"/>
                <w:color w:val="26322E"/>
                <w:sz w:val="17"/>
              </w:rPr>
              <w:t>Independent benchmark + human-review policy</w:t>
            </w:r>
          </w:p>
        </w:tc>
        <w:tc>
          <w:tcPr>
            <w:tcW w:type="dxa" w:w="4860"/>
            <w:shd w:fill="F3F5F4" w:val="clear"/>
            <w:vAlign w:val="center"/>
          </w:tcPr>
          <w:p>
            <w:pPr>
              <w:spacing w:after="0" w:line="269" w:lineRule="auto"/>
              <w:jc w:val="left"/>
            </w:pPr>
            <w:r>
              <w:rPr>
                <w:rFonts w:ascii="Calibri" w:hAnsi="Calibri" w:eastAsia="Calibri"/>
                <w:b w:val="0"/>
                <w:color w:val="26322E"/>
                <w:sz w:val="17"/>
              </w:rPr>
              <w:t>De-risks grading accuracy and institutional adoption</w:t>
            </w:r>
          </w:p>
        </w:tc>
      </w:tr>
      <w:tr>
        <w:trPr>
          <w:cantSplit w:val="true"/>
        </w:trPr>
        <w:tc>
          <w:tcPr>
            <w:tcW w:type="dxa" w:w="1800"/>
            <w:vAlign w:val="center"/>
          </w:tcPr>
          <w:p>
            <w:pPr>
              <w:spacing w:after="0" w:line="269" w:lineRule="auto"/>
              <w:jc w:val="left"/>
            </w:pPr>
            <w:r>
              <w:rPr>
                <w:rFonts w:ascii="Calibri" w:hAnsi="Calibri" w:eastAsia="Calibri"/>
                <w:b/>
                <w:color w:val="26322E"/>
                <w:sz w:val="17"/>
              </w:rPr>
              <w:t>Governance</w:t>
            </w:r>
          </w:p>
        </w:tc>
        <w:tc>
          <w:tcPr>
            <w:tcW w:type="dxa" w:w="2700"/>
            <w:vAlign w:val="center"/>
          </w:tcPr>
          <w:p>
            <w:pPr>
              <w:spacing w:after="0" w:line="269" w:lineRule="auto"/>
              <w:jc w:val="left"/>
            </w:pPr>
            <w:r>
              <w:rPr>
                <w:rFonts w:ascii="Calibri" w:hAnsi="Calibri" w:eastAsia="Calibri"/>
                <w:b w:val="0"/>
                <w:color w:val="26322E"/>
                <w:sz w:val="17"/>
              </w:rPr>
              <w:t>DPDP-ready controls, audit logs, retention/deletion workflows</w:t>
            </w:r>
          </w:p>
        </w:tc>
        <w:tc>
          <w:tcPr>
            <w:tcW w:type="dxa" w:w="4860"/>
            <w:vAlign w:val="center"/>
          </w:tcPr>
          <w:p>
            <w:pPr>
              <w:spacing w:after="0" w:line="269" w:lineRule="auto"/>
              <w:jc w:val="left"/>
            </w:pPr>
            <w:r>
              <w:rPr>
                <w:rFonts w:ascii="Calibri" w:hAnsi="Calibri" w:eastAsia="Calibri"/>
                <w:b w:val="0"/>
                <w:color w:val="26322E"/>
                <w:sz w:val="17"/>
              </w:rPr>
              <w:t>Reduces enterprise and regulatory friction</w:t>
            </w:r>
          </w:p>
        </w:tc>
      </w:tr>
    </w:tbl>
    <w:p>
      <w:pPr>
        <w:spacing w:after="40"/>
      </w:pPr>
    </w:p>
    <w:p>
      <w:pPr>
        <w:keepNext/>
        <w:spacing w:before="0" w:after="120"/>
      </w:pPr>
      <w:r>
        <w:rPr>
          <w:rFonts w:ascii="Calibri" w:hAnsi="Calibri" w:eastAsia="Calibri"/>
          <w:b/>
          <w:color w:val="BF9B30"/>
          <w:sz w:val="17"/>
        </w:rPr>
        <w:t>SECTION 02</w:t>
      </w:r>
    </w:p>
    <w:p>
      <w:pPr>
        <w:pStyle w:val="Heading1"/>
      </w:pPr>
      <w:r>
        <w:t>Company, Mission &amp; Problem</w:t>
      </w:r>
    </w:p>
    <w:p>
      <w:pPr>
        <w:spacing w:after="200"/>
      </w:pPr>
      <w:r>
        <w:rPr>
          <w:rFonts w:ascii="Calibri" w:hAnsi="Calibri" w:eastAsia="Calibri"/>
          <w:i/>
          <w:color w:val="5F6E67"/>
          <w:sz w:val="23"/>
        </w:rPr>
        <w:t>Educators should spend time on teaching and judgment—not repetitive paper operations</w:t>
      </w:r>
    </w:p>
    <w:p>
      <w:pPr>
        <w:spacing w:before="0" w:after="160" w:line="302" w:lineRule="auto"/>
        <w:jc w:val="left"/>
      </w:pPr>
      <w:r>
        <w:rPr>
          <w:rFonts w:ascii="Calibri" w:hAnsi="Calibri" w:eastAsia="Calibri"/>
          <w:i w:val="0"/>
          <w:color w:val="26322E"/>
        </w:rPr>
        <w:t>Big Chalk Box describes itself as an India-based EdTech engineering company built by engineers and educators. The company's public mission is to automate the tedious, high-effort parts of academic work while keeping educators in control. DASES is the current flagship; Question Paper Generation and Moderation extend the company into a full academic assessment suite. [2][3]</w:t>
      </w:r>
    </w:p>
    <w:p>
      <w:pPr>
        <w:pStyle w:val="Heading2"/>
      </w:pPr>
      <w:r>
        <w:t>The operational problem</w:t>
      </w:r>
    </w:p>
    <w:tbl>
      <w:tblPr>
        <w:tblStyle w:val="TableGrid"/>
        <w:tblW w:type="dxa" w:w="9360"/>
        <w:tblLook w:firstColumn="1" w:firstRow="1" w:lastColumn="0" w:lastRow="0" w:noHBand="0" w:noVBand="1" w:val="04A0"/>
        <w:jc w:val="left"/>
        <w:tblInd w:w="120" w:type="dxa"/>
        <w:tblLayout w:type="fixed"/>
      </w:tblPr>
      <w:tblGrid>
        <w:gridCol w:w="1450"/>
        <w:gridCol w:w="4300"/>
        <w:gridCol w:w="3610"/>
      </w:tblGrid>
      <w:tr>
        <w:trPr>
          <w:tblHeader w:val="true"/>
          <w:cantSplit w:val="true"/>
        </w:trPr>
        <w:tc>
          <w:tcPr>
            <w:tcW w:type="dxa" w:w="145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Stage</w:t>
            </w:r>
          </w:p>
        </w:tc>
        <w:tc>
          <w:tcPr>
            <w:tcW w:type="dxa" w:w="43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Current institutional friction</w:t>
            </w:r>
          </w:p>
        </w:tc>
        <w:tc>
          <w:tcPr>
            <w:tcW w:type="dxa" w:w="361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Business consequence</w:t>
            </w:r>
          </w:p>
        </w:tc>
      </w:tr>
      <w:tr>
        <w:trPr>
          <w:cantSplit w:val="true"/>
        </w:trPr>
        <w:tc>
          <w:tcPr>
            <w:tcW w:type="dxa" w:w="1450"/>
            <w:vAlign w:val="center"/>
          </w:tcPr>
          <w:p>
            <w:pPr>
              <w:spacing w:after="0" w:line="269" w:lineRule="auto"/>
              <w:jc w:val="left"/>
            </w:pPr>
            <w:r>
              <w:rPr>
                <w:rFonts w:ascii="Calibri" w:hAnsi="Calibri" w:eastAsia="Calibri"/>
                <w:b/>
                <w:color w:val="26322E"/>
                <w:sz w:val="17"/>
              </w:rPr>
              <w:t>Paper design</w:t>
            </w:r>
          </w:p>
        </w:tc>
        <w:tc>
          <w:tcPr>
            <w:tcW w:type="dxa" w:w="4300"/>
            <w:vAlign w:val="center"/>
          </w:tcPr>
          <w:p>
            <w:pPr>
              <w:spacing w:after="0" w:line="269" w:lineRule="auto"/>
              <w:jc w:val="left"/>
            </w:pPr>
            <w:r>
              <w:rPr>
                <w:rFonts w:ascii="Calibri" w:hAnsi="Calibri" w:eastAsia="Calibri"/>
                <w:b w:val="0"/>
                <w:color w:val="26322E"/>
                <w:sz w:val="17"/>
              </w:rPr>
              <w:t>Questions are assembled manually across syllabi, outcomes, difficulty levels, and prior papers</w:t>
            </w:r>
          </w:p>
        </w:tc>
        <w:tc>
          <w:tcPr>
            <w:tcW w:type="dxa" w:w="3610"/>
            <w:vAlign w:val="center"/>
          </w:tcPr>
          <w:p>
            <w:pPr>
              <w:spacing w:after="0" w:line="269" w:lineRule="auto"/>
              <w:jc w:val="left"/>
            </w:pPr>
            <w:r>
              <w:rPr>
                <w:rFonts w:ascii="Calibri" w:hAnsi="Calibri" w:eastAsia="Calibri"/>
                <w:b w:val="0"/>
                <w:color w:val="26322E"/>
                <w:sz w:val="17"/>
              </w:rPr>
              <w:t>Slow cycles; uneven quality; repeated questions</w:t>
            </w:r>
          </w:p>
        </w:tc>
      </w:tr>
      <w:tr>
        <w:trPr>
          <w:cantSplit w:val="true"/>
        </w:trPr>
        <w:tc>
          <w:tcPr>
            <w:tcW w:type="dxa" w:w="1450"/>
            <w:shd w:fill="F3F5F4" w:val="clear"/>
            <w:vAlign w:val="center"/>
          </w:tcPr>
          <w:p>
            <w:pPr>
              <w:spacing w:after="0" w:line="269" w:lineRule="auto"/>
              <w:jc w:val="left"/>
            </w:pPr>
            <w:r>
              <w:rPr>
                <w:rFonts w:ascii="Calibri" w:hAnsi="Calibri" w:eastAsia="Calibri"/>
                <w:b/>
                <w:color w:val="26322E"/>
                <w:sz w:val="17"/>
              </w:rPr>
              <w:t>Moderation</w:t>
            </w:r>
          </w:p>
        </w:tc>
        <w:tc>
          <w:tcPr>
            <w:tcW w:type="dxa" w:w="4300"/>
            <w:shd w:fill="F3F5F4" w:val="clear"/>
            <w:vAlign w:val="center"/>
          </w:tcPr>
          <w:p>
            <w:pPr>
              <w:spacing w:after="0" w:line="269" w:lineRule="auto"/>
              <w:jc w:val="left"/>
            </w:pPr>
            <w:r>
              <w:rPr>
                <w:rFonts w:ascii="Calibri" w:hAnsi="Calibri" w:eastAsia="Calibri"/>
                <w:b w:val="0"/>
                <w:color w:val="26322E"/>
                <w:sz w:val="17"/>
              </w:rPr>
              <w:t>Review depends on scarce senior faculty and inconsistent checklists</w:t>
            </w:r>
          </w:p>
        </w:tc>
        <w:tc>
          <w:tcPr>
            <w:tcW w:type="dxa" w:w="3610"/>
            <w:shd w:fill="F3F5F4" w:val="clear"/>
            <w:vAlign w:val="center"/>
          </w:tcPr>
          <w:p>
            <w:pPr>
              <w:spacing w:after="0" w:line="269" w:lineRule="auto"/>
              <w:jc w:val="left"/>
            </w:pPr>
            <w:r>
              <w:rPr>
                <w:rFonts w:ascii="Calibri" w:hAnsi="Calibri" w:eastAsia="Calibri"/>
                <w:b w:val="0"/>
                <w:color w:val="26322E"/>
                <w:sz w:val="17"/>
              </w:rPr>
              <w:t>Ambiguity, syllabus gaps, appeals, and rework</w:t>
            </w:r>
          </w:p>
        </w:tc>
      </w:tr>
      <w:tr>
        <w:trPr>
          <w:cantSplit w:val="true"/>
        </w:trPr>
        <w:tc>
          <w:tcPr>
            <w:tcW w:type="dxa" w:w="1450"/>
            <w:vAlign w:val="center"/>
          </w:tcPr>
          <w:p>
            <w:pPr>
              <w:spacing w:after="0" w:line="269" w:lineRule="auto"/>
              <w:jc w:val="left"/>
            </w:pPr>
            <w:r>
              <w:rPr>
                <w:rFonts w:ascii="Calibri" w:hAnsi="Calibri" w:eastAsia="Calibri"/>
                <w:b/>
                <w:color w:val="26322E"/>
                <w:sz w:val="17"/>
              </w:rPr>
              <w:t>Rubric creation</w:t>
            </w:r>
          </w:p>
        </w:tc>
        <w:tc>
          <w:tcPr>
            <w:tcW w:type="dxa" w:w="4300"/>
            <w:vAlign w:val="center"/>
          </w:tcPr>
          <w:p>
            <w:pPr>
              <w:spacing w:after="0" w:line="269" w:lineRule="auto"/>
              <w:jc w:val="left"/>
            </w:pPr>
            <w:r>
              <w:rPr>
                <w:rFonts w:ascii="Calibri" w:hAnsi="Calibri" w:eastAsia="Calibri"/>
                <w:b w:val="0"/>
                <w:color w:val="26322E"/>
                <w:sz w:val="17"/>
              </w:rPr>
              <w:t>Model answers and criteria are often late, coarse, or inconsistent</w:t>
            </w:r>
          </w:p>
        </w:tc>
        <w:tc>
          <w:tcPr>
            <w:tcW w:type="dxa" w:w="3610"/>
            <w:vAlign w:val="center"/>
          </w:tcPr>
          <w:p>
            <w:pPr>
              <w:spacing w:after="0" w:line="269" w:lineRule="auto"/>
              <w:jc w:val="left"/>
            </w:pPr>
            <w:r>
              <w:rPr>
                <w:rFonts w:ascii="Calibri" w:hAnsi="Calibri" w:eastAsia="Calibri"/>
                <w:b w:val="0"/>
                <w:color w:val="26322E"/>
                <w:sz w:val="17"/>
              </w:rPr>
              <w:t>Evaluator drift and weak partial-credit logic</w:t>
            </w:r>
          </w:p>
        </w:tc>
      </w:tr>
      <w:tr>
        <w:trPr>
          <w:cantSplit w:val="true"/>
        </w:trPr>
        <w:tc>
          <w:tcPr>
            <w:tcW w:type="dxa" w:w="1450"/>
            <w:shd w:fill="F3F5F4" w:val="clear"/>
            <w:vAlign w:val="center"/>
          </w:tcPr>
          <w:p>
            <w:pPr>
              <w:spacing w:after="0" w:line="269" w:lineRule="auto"/>
              <w:jc w:val="left"/>
            </w:pPr>
            <w:r>
              <w:rPr>
                <w:rFonts w:ascii="Calibri" w:hAnsi="Calibri" w:eastAsia="Calibri"/>
                <w:b/>
                <w:color w:val="26322E"/>
                <w:sz w:val="17"/>
              </w:rPr>
              <w:t>Evaluation</w:t>
            </w:r>
          </w:p>
        </w:tc>
        <w:tc>
          <w:tcPr>
            <w:tcW w:type="dxa" w:w="4300"/>
            <w:shd w:fill="F3F5F4" w:val="clear"/>
            <w:vAlign w:val="center"/>
          </w:tcPr>
          <w:p>
            <w:pPr>
              <w:spacing w:after="0" w:line="269" w:lineRule="auto"/>
              <w:jc w:val="left"/>
            </w:pPr>
            <w:r>
              <w:rPr>
                <w:rFonts w:ascii="Calibri" w:hAnsi="Calibri" w:eastAsia="Calibri"/>
                <w:b w:val="0"/>
                <w:color w:val="26322E"/>
                <w:sz w:val="17"/>
              </w:rPr>
              <w:t>Hundreds of handwritten scripts are reviewed sequentially</w:t>
            </w:r>
          </w:p>
        </w:tc>
        <w:tc>
          <w:tcPr>
            <w:tcW w:type="dxa" w:w="3610"/>
            <w:shd w:fill="F3F5F4" w:val="clear"/>
            <w:vAlign w:val="center"/>
          </w:tcPr>
          <w:p>
            <w:pPr>
              <w:spacing w:after="0" w:line="269" w:lineRule="auto"/>
              <w:jc w:val="left"/>
            </w:pPr>
            <w:r>
              <w:rPr>
                <w:rFonts w:ascii="Calibri" w:hAnsi="Calibri" w:eastAsia="Calibri"/>
                <w:b w:val="0"/>
                <w:color w:val="26322E"/>
                <w:sz w:val="17"/>
              </w:rPr>
              <w:t>Delayed results and faculty workload spikes</w:t>
            </w:r>
          </w:p>
        </w:tc>
      </w:tr>
      <w:tr>
        <w:trPr>
          <w:cantSplit w:val="true"/>
        </w:trPr>
        <w:tc>
          <w:tcPr>
            <w:tcW w:type="dxa" w:w="1450"/>
            <w:vAlign w:val="center"/>
          </w:tcPr>
          <w:p>
            <w:pPr>
              <w:spacing w:after="0" w:line="269" w:lineRule="auto"/>
              <w:jc w:val="left"/>
            </w:pPr>
            <w:r>
              <w:rPr>
                <w:rFonts w:ascii="Calibri" w:hAnsi="Calibri" w:eastAsia="Calibri"/>
                <w:b/>
                <w:color w:val="26322E"/>
                <w:sz w:val="17"/>
              </w:rPr>
              <w:t>Feedback</w:t>
            </w:r>
          </w:p>
        </w:tc>
        <w:tc>
          <w:tcPr>
            <w:tcW w:type="dxa" w:w="4300"/>
            <w:vAlign w:val="center"/>
          </w:tcPr>
          <w:p>
            <w:pPr>
              <w:spacing w:after="0" w:line="269" w:lineRule="auto"/>
              <w:jc w:val="left"/>
            </w:pPr>
            <w:r>
              <w:rPr>
                <w:rFonts w:ascii="Calibri" w:hAnsi="Calibri" w:eastAsia="Calibri"/>
                <w:b w:val="0"/>
                <w:color w:val="26322E"/>
                <w:sz w:val="17"/>
              </w:rPr>
              <w:t>Time pressure reduces feedback to a score or short remark</w:t>
            </w:r>
          </w:p>
        </w:tc>
        <w:tc>
          <w:tcPr>
            <w:tcW w:type="dxa" w:w="3610"/>
            <w:vAlign w:val="center"/>
          </w:tcPr>
          <w:p>
            <w:pPr>
              <w:spacing w:after="0" w:line="269" w:lineRule="auto"/>
              <w:jc w:val="left"/>
            </w:pPr>
            <w:r>
              <w:rPr>
                <w:rFonts w:ascii="Calibri" w:hAnsi="Calibri" w:eastAsia="Calibri"/>
                <w:b w:val="0"/>
                <w:color w:val="26322E"/>
                <w:sz w:val="17"/>
              </w:rPr>
              <w:t>Students do not know how to improve</w:t>
            </w:r>
          </w:p>
        </w:tc>
      </w:tr>
      <w:tr>
        <w:trPr>
          <w:cantSplit w:val="true"/>
        </w:trPr>
        <w:tc>
          <w:tcPr>
            <w:tcW w:type="dxa" w:w="1450"/>
            <w:shd w:fill="F3F5F4" w:val="clear"/>
            <w:vAlign w:val="center"/>
          </w:tcPr>
          <w:p>
            <w:pPr>
              <w:spacing w:after="0" w:line="269" w:lineRule="auto"/>
              <w:jc w:val="left"/>
            </w:pPr>
            <w:r>
              <w:rPr>
                <w:rFonts w:ascii="Calibri" w:hAnsi="Calibri" w:eastAsia="Calibri"/>
                <w:b/>
                <w:color w:val="26322E"/>
                <w:sz w:val="17"/>
              </w:rPr>
              <w:t>Analytics</w:t>
            </w:r>
          </w:p>
        </w:tc>
        <w:tc>
          <w:tcPr>
            <w:tcW w:type="dxa" w:w="4300"/>
            <w:shd w:fill="F3F5F4" w:val="clear"/>
            <w:vAlign w:val="center"/>
          </w:tcPr>
          <w:p>
            <w:pPr>
              <w:spacing w:after="0" w:line="269" w:lineRule="auto"/>
              <w:jc w:val="left"/>
            </w:pPr>
            <w:r>
              <w:rPr>
                <w:rFonts w:ascii="Calibri" w:hAnsi="Calibri" w:eastAsia="Calibri"/>
                <w:b w:val="0"/>
                <w:color w:val="26322E"/>
                <w:sz w:val="17"/>
              </w:rPr>
              <w:t>Question-level evidence is trapped in paper files</w:t>
            </w:r>
          </w:p>
        </w:tc>
        <w:tc>
          <w:tcPr>
            <w:tcW w:type="dxa" w:w="3610"/>
            <w:shd w:fill="F3F5F4" w:val="clear"/>
            <w:vAlign w:val="center"/>
          </w:tcPr>
          <w:p>
            <w:pPr>
              <w:spacing w:after="0" w:line="269" w:lineRule="auto"/>
              <w:jc w:val="left"/>
            </w:pPr>
            <w:r>
              <w:rPr>
                <w:rFonts w:ascii="Calibri" w:hAnsi="Calibri" w:eastAsia="Calibri"/>
                <w:b w:val="0"/>
                <w:color w:val="26322E"/>
                <w:sz w:val="17"/>
              </w:rPr>
              <w:t>Little insight into topic gaps or assessment quality</w:t>
            </w:r>
          </w:p>
        </w:tc>
      </w:tr>
    </w:tbl>
    <w:p>
      <w:pPr>
        <w:spacing w:after="40"/>
      </w:pPr>
    </w:p>
    <w:p>
      <w:pPr>
        <w:pStyle w:val="Heading2"/>
      </w:pPr>
      <w:r>
        <w:t>Why existing approaches leave a gap</w:t>
      </w:r>
    </w:p>
    <w:p>
      <w:pPr>
        <w:numPr>
          <w:ilvl w:val="0"/>
          <w:numId w:val="10"/>
        </w:numPr>
        <w:spacing w:after="80" w:line="290" w:lineRule="auto"/>
      </w:pPr>
      <w:r>
        <w:rPr>
          <w:rFonts w:ascii="Calibri" w:hAnsi="Calibri" w:eastAsia="Calibri"/>
          <w:color w:val="26322E"/>
        </w:rPr>
        <w:t>Manual grading preserves judgment but does not scale consistently across large batches.</w:t>
      </w:r>
    </w:p>
    <w:p>
      <w:pPr>
        <w:numPr>
          <w:ilvl w:val="0"/>
          <w:numId w:val="10"/>
        </w:numPr>
        <w:spacing w:after="80" w:line="290" w:lineRule="auto"/>
      </w:pPr>
      <w:r>
        <w:rPr>
          <w:rFonts w:ascii="Calibri" w:hAnsi="Calibri" w:eastAsia="Calibri"/>
          <w:color w:val="26322E"/>
        </w:rPr>
        <w:t>On-screen marking digitizes handling, but many workflows still require human scoring for every response.</w:t>
      </w:r>
    </w:p>
    <w:p>
      <w:pPr>
        <w:numPr>
          <w:ilvl w:val="0"/>
          <w:numId w:val="10"/>
        </w:numPr>
        <w:spacing w:after="80" w:line="290" w:lineRule="auto"/>
      </w:pPr>
      <w:r>
        <w:rPr>
          <w:rFonts w:ascii="Calibri" w:hAnsi="Calibri" w:eastAsia="Calibri"/>
          <w:color w:val="26322E"/>
        </w:rPr>
        <w:t>Global grading tools digitize handwritten submissions and may group similar answers, but are not necessarily designed for autonomous rubric-based evaluation of Indian descriptive exam formats. [7]</w:t>
      </w:r>
    </w:p>
    <w:p>
      <w:pPr>
        <w:numPr>
          <w:ilvl w:val="0"/>
          <w:numId w:val="10"/>
        </w:numPr>
        <w:spacing w:after="80" w:line="290" w:lineRule="auto"/>
      </w:pPr>
      <w:r>
        <w:rPr>
          <w:rFonts w:ascii="Calibri" w:hAnsi="Calibri" w:eastAsia="Calibri"/>
          <w:color w:val="26322E"/>
        </w:rPr>
        <w:t>Generic AI tools can draft questions or score text, but lack institutional controls, original-script traceability, audit trails, and an end-to-end academic workflow.</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DESIGN PRINCIPLE</w:t>
            </w:r>
          </w:p>
          <w:p>
            <w:pPr>
              <w:spacing w:after="80"/>
            </w:pPr>
            <w:r>
              <w:rPr>
                <w:rFonts w:ascii="Calibri" w:hAnsi="Calibri" w:eastAsia="Calibri"/>
                <w:b/>
                <w:color w:val="1A2421"/>
                <w:sz w:val="27"/>
              </w:rPr>
              <w:t>AI proposes and processes; faculty remain accountable.</w:t>
            </w:r>
          </w:p>
          <w:p>
            <w:pPr>
              <w:spacing w:after="0" w:line="283" w:lineRule="auto"/>
            </w:pPr>
            <w:r>
              <w:rPr>
                <w:rFonts w:ascii="Calibri" w:hAnsi="Calibri" w:eastAsia="Calibri"/>
                <w:color w:val="26322E"/>
                <w:sz w:val="20"/>
              </w:rPr>
              <w:t>The defensible operating model is human-in-the-loop: faculty approve rubrics, review low-confidence or high-stakes answers, override scores, and publish results. This positions Big Chalk Box as decision-support infrastructure rather than an unreviewable black-box grader.</w:t>
            </w:r>
          </w:p>
        </w:tc>
      </w:tr>
    </w:tbl>
    <w:p>
      <w:pPr>
        <w:spacing w:after="20"/>
      </w:pPr>
    </w:p>
    <w:p>
      <w:pPr>
        <w:keepNext/>
        <w:spacing w:before="0" w:after="120"/>
      </w:pPr>
      <w:r>
        <w:rPr>
          <w:rFonts w:ascii="Calibri" w:hAnsi="Calibri" w:eastAsia="Calibri"/>
          <w:b/>
          <w:color w:val="BF9B30"/>
          <w:sz w:val="17"/>
        </w:rPr>
        <w:t>SECTION 03</w:t>
      </w:r>
    </w:p>
    <w:p>
      <w:pPr>
        <w:pStyle w:val="Heading1"/>
      </w:pPr>
      <w:r>
        <w:t>Product Suite &amp; Workflow</w:t>
      </w:r>
    </w:p>
    <w:p>
      <w:pPr>
        <w:spacing w:after="200"/>
      </w:pPr>
      <w:r>
        <w:rPr>
          <w:rFonts w:ascii="Calibri" w:hAnsi="Calibri" w:eastAsia="Calibri"/>
          <w:i/>
          <w:color w:val="5F6E67"/>
          <w:sz w:val="23"/>
        </w:rPr>
        <w:t>One assessment record from syllabus to student feedback</w:t>
      </w:r>
    </w:p>
    <w:p>
      <w:pPr>
        <w:spacing w:before="0" w:after="160" w:line="302" w:lineRule="auto"/>
        <w:jc w:val="left"/>
      </w:pPr>
      <w:r>
        <w:rPr>
          <w:rFonts w:ascii="Calibri" w:hAnsi="Calibri" w:eastAsia="Calibri"/>
          <w:i w:val="0"/>
          <w:color w:val="26322E"/>
        </w:rPr>
        <w:t>The suite is organized around a single lifecycle. Each module can sell independently, but the strategic value comes from shared syllabus, question, answer, rubric, and evaluation data flowing forward without re-entry.</w:t>
      </w:r>
    </w:p>
    <w:p>
      <w:pPr>
        <w:spacing w:after="120"/>
        <w:jc w:val="center"/>
      </w:pPr>
      <w:r>
        <w:drawing>
          <wp:inline xmlns:a="http://schemas.openxmlformats.org/drawingml/2006/main" xmlns:pic="http://schemas.openxmlformats.org/drawingml/2006/picture">
            <wp:extent cx="5806440" cy="1045159"/>
            <wp:docPr id="2" name="Picture 2" descr="Assessment lifecycle: syllabus, generate, moderate, build answers and rubric, evaluate, faculty review, feedback and analytics" title="Big Chalk Box assessment lifecycle"/>
            <wp:cNvGraphicFramePr>
              <a:graphicFrameLocks noChangeAspect="1"/>
            </wp:cNvGraphicFramePr>
            <a:graphic>
              <a:graphicData uri="http://schemas.openxmlformats.org/drawingml/2006/picture">
                <pic:pic>
                  <pic:nvPicPr>
                    <pic:cNvPr id="0" name="assessment_lifecycle.png"/>
                    <pic:cNvPicPr/>
                  </pic:nvPicPr>
                  <pic:blipFill>
                    <a:blip r:embed="rId14"/>
                    <a:stretch>
                      <a:fillRect/>
                    </a:stretch>
                  </pic:blipFill>
                  <pic:spPr>
                    <a:xfrm>
                      <a:off x="0" y="0"/>
                      <a:ext cx="5806440" cy="1045159"/>
                    </a:xfrm>
                    <a:prstGeom prst="rect"/>
                  </pic:spPr>
                </pic:pic>
              </a:graphicData>
            </a:graphic>
          </wp:inline>
        </w:drawing>
      </w:r>
    </w:p>
    <w:p>
      <w:pPr>
        <w:spacing w:before="80" w:after="80" w:line="240" w:lineRule="auto"/>
      </w:pPr>
      <w:r>
        <w:rPr>
          <w:rFonts w:ascii="Calibri" w:hAnsi="Calibri" w:eastAsia="Calibri"/>
          <w:i/>
          <w:color w:val="78857F"/>
          <w:sz w:val="16"/>
        </w:rPr>
        <w:t>Figure 1. Target assessment lifecycle. Current module status and roadmap should be confirmed before external circulation.</w:t>
      </w:r>
    </w:p>
    <w:tbl>
      <w:tblPr>
        <w:tblStyle w:val="TableGrid"/>
        <w:tblW w:type="dxa" w:w="9360"/>
        <w:tblLook w:firstColumn="1" w:firstRow="1" w:lastColumn="0" w:lastRow="0" w:noHBand="0" w:noVBand="1" w:val="04A0"/>
        <w:jc w:val="left"/>
        <w:tblInd w:w="120" w:type="dxa"/>
        <w:tblLayout w:type="fixed"/>
      </w:tblPr>
      <w:tblGrid>
        <w:gridCol w:w="1900"/>
        <w:gridCol w:w="2400"/>
        <w:gridCol w:w="5060"/>
      </w:tblGrid>
      <w:tr>
        <w:trPr>
          <w:tblHeader w:val="true"/>
          <w:cantSplit w:val="true"/>
        </w:trPr>
        <w:tc>
          <w:tcPr>
            <w:tcW w:type="dxa" w:w="19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Module</w:t>
            </w:r>
          </w:p>
        </w:tc>
        <w:tc>
          <w:tcPr>
            <w:tcW w:type="dxa" w:w="24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Customer job</w:t>
            </w:r>
          </w:p>
        </w:tc>
        <w:tc>
          <w:tcPr>
            <w:tcW w:type="dxa" w:w="50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Current value proposition</w:t>
            </w:r>
          </w:p>
        </w:tc>
      </w:tr>
      <w:tr>
        <w:trPr>
          <w:cantSplit w:val="true"/>
        </w:trPr>
        <w:tc>
          <w:tcPr>
            <w:tcW w:type="dxa" w:w="1900"/>
            <w:vAlign w:val="center"/>
          </w:tcPr>
          <w:p>
            <w:pPr>
              <w:spacing w:after="0" w:line="269" w:lineRule="auto"/>
              <w:jc w:val="left"/>
            </w:pPr>
            <w:r>
              <w:rPr>
                <w:rFonts w:ascii="Calibri" w:hAnsi="Calibri" w:eastAsia="Calibri"/>
                <w:b/>
                <w:color w:val="26322E"/>
                <w:sz w:val="17"/>
              </w:rPr>
              <w:t>Question Paper Moderation</w:t>
            </w:r>
          </w:p>
        </w:tc>
        <w:tc>
          <w:tcPr>
            <w:tcW w:type="dxa" w:w="2400"/>
            <w:vAlign w:val="center"/>
          </w:tcPr>
          <w:p>
            <w:pPr>
              <w:spacing w:after="0" w:line="269" w:lineRule="auto"/>
              <w:jc w:val="left"/>
            </w:pPr>
            <w:r>
              <w:rPr>
                <w:rFonts w:ascii="Calibri" w:hAnsi="Calibri" w:eastAsia="Calibri"/>
                <w:b w:val="0"/>
                <w:color w:val="26322E"/>
                <w:sz w:val="17"/>
              </w:rPr>
              <w:t>Audit a draft before approval</w:t>
            </w:r>
          </w:p>
        </w:tc>
        <w:tc>
          <w:tcPr>
            <w:tcW w:type="dxa" w:w="5060"/>
            <w:vAlign w:val="center"/>
          </w:tcPr>
          <w:p>
            <w:pPr>
              <w:spacing w:after="0" w:line="269" w:lineRule="auto"/>
              <w:jc w:val="left"/>
            </w:pPr>
            <w:r>
              <w:rPr>
                <w:rFonts w:ascii="Calibri" w:hAnsi="Calibri" w:eastAsia="Calibri"/>
                <w:b w:val="0"/>
                <w:color w:val="26322E"/>
                <w:sz w:val="17"/>
              </w:rPr>
              <w:t>Syllabus coverage, difficulty/Bloom's balance, ambiguity, duplication, structure, and suggested revisions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7"/>
              </w:rPr>
              <w:t>Question Paper Generation</w:t>
            </w:r>
          </w:p>
        </w:tc>
        <w:tc>
          <w:tcPr>
            <w:tcW w:type="dxa" w:w="2400"/>
            <w:shd w:fill="F3F5F4" w:val="clear"/>
            <w:vAlign w:val="center"/>
          </w:tcPr>
          <w:p>
            <w:pPr>
              <w:spacing w:after="0" w:line="269" w:lineRule="auto"/>
              <w:jc w:val="left"/>
            </w:pPr>
            <w:r>
              <w:rPr>
                <w:rFonts w:ascii="Calibri" w:hAnsi="Calibri" w:eastAsia="Calibri"/>
                <w:b w:val="0"/>
                <w:color w:val="26322E"/>
                <w:sz w:val="17"/>
              </w:rPr>
              <w:t>Create a compliant paper quickly</w:t>
            </w:r>
          </w:p>
        </w:tc>
        <w:tc>
          <w:tcPr>
            <w:tcW w:type="dxa" w:w="5060"/>
            <w:shd w:fill="F3F5F4" w:val="clear"/>
            <w:vAlign w:val="center"/>
          </w:tcPr>
          <w:p>
            <w:pPr>
              <w:spacing w:after="0" w:line="269" w:lineRule="auto"/>
              <w:jc w:val="left"/>
            </w:pPr>
            <w:r>
              <w:rPr>
                <w:rFonts w:ascii="Calibri" w:hAnsi="Calibri" w:eastAsia="Calibri"/>
                <w:b w:val="0"/>
                <w:color w:val="26322E"/>
                <w:sz w:val="17"/>
              </w:rPr>
              <w:t>Syllabus-aligned generation by section, difficulty, Bloom's targets, sample answers, rubrics, and print-ready output</w:t>
            </w:r>
          </w:p>
        </w:tc>
      </w:tr>
      <w:tr>
        <w:trPr>
          <w:cantSplit w:val="true"/>
        </w:trPr>
        <w:tc>
          <w:tcPr>
            <w:tcW w:type="dxa" w:w="1900"/>
            <w:vAlign w:val="center"/>
          </w:tcPr>
          <w:p>
            <w:pPr>
              <w:spacing w:after="0" w:line="269" w:lineRule="auto"/>
              <w:jc w:val="left"/>
            </w:pPr>
            <w:r>
              <w:rPr>
                <w:rFonts w:ascii="Calibri" w:hAnsi="Calibri" w:eastAsia="Calibri"/>
                <w:b/>
                <w:color w:val="26322E"/>
                <w:sz w:val="17"/>
              </w:rPr>
              <w:t>DASES Evaluation</w:t>
            </w:r>
          </w:p>
        </w:tc>
        <w:tc>
          <w:tcPr>
            <w:tcW w:type="dxa" w:w="2400"/>
            <w:vAlign w:val="center"/>
          </w:tcPr>
          <w:p>
            <w:pPr>
              <w:spacing w:after="0" w:line="269" w:lineRule="auto"/>
              <w:jc w:val="left"/>
            </w:pPr>
            <w:r>
              <w:rPr>
                <w:rFonts w:ascii="Calibri" w:hAnsi="Calibri" w:eastAsia="Calibri"/>
                <w:b w:val="0"/>
                <w:color w:val="26322E"/>
                <w:sz w:val="17"/>
              </w:rPr>
              <w:t>Evaluate handwritten scripts at scale</w:t>
            </w:r>
          </w:p>
        </w:tc>
        <w:tc>
          <w:tcPr>
            <w:tcW w:type="dxa" w:w="5060"/>
            <w:vAlign w:val="center"/>
          </w:tcPr>
          <w:p>
            <w:pPr>
              <w:spacing w:after="0" w:line="269" w:lineRule="auto"/>
              <w:jc w:val="left"/>
            </w:pPr>
            <w:r>
              <w:rPr>
                <w:rFonts w:ascii="Calibri" w:hAnsi="Calibri" w:eastAsia="Calibri"/>
                <w:b w:val="0"/>
                <w:color w:val="26322E"/>
                <w:sz w:val="17"/>
              </w:rPr>
              <w:t>Handwriting recognition, rubric-based scoring, per-question feedback, faculty review, and student reports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7"/>
              </w:rPr>
              <w:t>Analytics layer</w:t>
            </w:r>
          </w:p>
        </w:tc>
        <w:tc>
          <w:tcPr>
            <w:tcW w:type="dxa" w:w="2400"/>
            <w:shd w:fill="F3F5F4" w:val="clear"/>
            <w:vAlign w:val="center"/>
          </w:tcPr>
          <w:p>
            <w:pPr>
              <w:spacing w:after="0" w:line="269" w:lineRule="auto"/>
              <w:jc w:val="left"/>
            </w:pPr>
            <w:r>
              <w:rPr>
                <w:rFonts w:ascii="Calibri" w:hAnsi="Calibri" w:eastAsia="Calibri"/>
                <w:b w:val="0"/>
                <w:color w:val="26322E"/>
                <w:sz w:val="17"/>
              </w:rPr>
              <w:t>Improve teaching and assessment quality</w:t>
            </w:r>
          </w:p>
        </w:tc>
        <w:tc>
          <w:tcPr>
            <w:tcW w:type="dxa" w:w="5060"/>
            <w:shd w:fill="F3F5F4" w:val="clear"/>
            <w:vAlign w:val="center"/>
          </w:tcPr>
          <w:p>
            <w:pPr>
              <w:spacing w:after="0" w:line="269" w:lineRule="auto"/>
              <w:jc w:val="left"/>
            </w:pPr>
            <w:r>
              <w:rPr>
                <w:rFonts w:ascii="Calibri" w:hAnsi="Calibri" w:eastAsia="Calibri"/>
                <w:b w:val="0"/>
                <w:color w:val="26322E"/>
                <w:sz w:val="17"/>
              </w:rPr>
              <w:t>Coverage, question performance, criterion gaps, and—in later releases—outcome attainment</w:t>
            </w:r>
          </w:p>
        </w:tc>
      </w:tr>
    </w:tbl>
    <w:p>
      <w:pPr>
        <w:spacing w:after="40"/>
      </w:pPr>
    </w:p>
    <w:p>
      <w:pPr>
        <w:pStyle w:val="Heading2"/>
      </w:pPr>
      <w:r>
        <w:t>Product edge that matters to institutions</w:t>
      </w:r>
    </w:p>
    <w:p>
      <w:pPr>
        <w:numPr>
          <w:ilvl w:val="0"/>
          <w:numId w:val="10"/>
        </w:numPr>
        <w:spacing w:after="80" w:line="290" w:lineRule="auto"/>
      </w:pPr>
      <w:r>
        <w:rPr>
          <w:rFonts w:ascii="Calibri" w:hAnsi="Calibri" w:eastAsia="Calibri"/>
          <w:color w:val="26322E"/>
        </w:rPr>
        <w:t>Institution-specific configuration: syllabi, course outcomes, formats, internal choices, mark allocations, and rubric rules.</w:t>
      </w:r>
    </w:p>
    <w:p>
      <w:pPr>
        <w:numPr>
          <w:ilvl w:val="0"/>
          <w:numId w:val="10"/>
        </w:numPr>
        <w:spacing w:after="80" w:line="290" w:lineRule="auto"/>
      </w:pPr>
      <w:r>
        <w:rPr>
          <w:rFonts w:ascii="Calibri" w:hAnsi="Calibri" w:eastAsia="Calibri"/>
          <w:color w:val="26322E"/>
        </w:rPr>
        <w:t>Original-to-decision traceability: faculty should be able to inspect the scan, extracted content, criterion score, rationale, override, and approver.</w:t>
      </w:r>
    </w:p>
    <w:p>
      <w:pPr>
        <w:numPr>
          <w:ilvl w:val="0"/>
          <w:numId w:val="10"/>
        </w:numPr>
        <w:spacing w:after="80" w:line="290" w:lineRule="auto"/>
      </w:pPr>
      <w:r>
        <w:rPr>
          <w:rFonts w:ascii="Calibri" w:hAnsi="Calibri" w:eastAsia="Calibri"/>
          <w:color w:val="26322E"/>
        </w:rPr>
        <w:t>Pre-exam and post-exam continuity: the same approved question paper, sample answer, and rubric flow into evaluation.</w:t>
      </w:r>
    </w:p>
    <w:p>
      <w:pPr>
        <w:numPr>
          <w:ilvl w:val="0"/>
          <w:numId w:val="10"/>
        </w:numPr>
        <w:spacing w:after="80" w:line="290" w:lineRule="auto"/>
      </w:pPr>
      <w:r>
        <w:rPr>
          <w:rFonts w:ascii="Calibri" w:hAnsi="Calibri" w:eastAsia="Calibri"/>
          <w:color w:val="26322E"/>
        </w:rPr>
        <w:t>Operational scale: company-reported processing of up to 500 sheets in parallel at approximately 15 seconds per sheet. [1][3]</w:t>
      </w:r>
    </w:p>
    <w:p>
      <w:pPr>
        <w:numPr>
          <w:ilvl w:val="0"/>
          <w:numId w:val="10"/>
        </w:numPr>
        <w:spacing w:after="80" w:line="290" w:lineRule="auto"/>
      </w:pPr>
      <w:r>
        <w:rPr>
          <w:rFonts w:ascii="Calibri" w:hAnsi="Calibri" w:eastAsia="Calibri"/>
          <w:color w:val="26322E"/>
        </w:rPr>
        <w:t>Feedback as a product: every student can receive question-level, criterion-level guidance—not merely a total score.</w:t>
      </w:r>
    </w:p>
    <w:p>
      <w:pPr>
        <w:pStyle w:val="Heading2"/>
      </w:pPr>
      <w:r>
        <w:t>September 2026 release commitment</w:t>
      </w:r>
    </w:p>
    <w:p>
      <w:pPr>
        <w:spacing w:before="0" w:after="160" w:line="302" w:lineRule="auto"/>
        <w:jc w:val="left"/>
      </w:pPr>
      <w:r>
        <w:rPr>
          <w:rFonts w:ascii="Calibri" w:hAnsi="Calibri" w:eastAsia="Calibri"/>
          <w:i w:val="0"/>
          <w:color w:val="26322E"/>
        </w:rPr>
        <w:t>The supplied pricing roadmap states that Sample Answers and Marking Rubrics for Question Paper Moderation are scheduled for release in September 2026. This release is strategically important because it closes the handoff from paper quality to DASES evaluation and increases cross-module attach rate.</w:t>
      </w:r>
    </w:p>
    <w:p>
      <w:pPr>
        <w:keepNext/>
        <w:spacing w:before="0" w:after="120"/>
      </w:pPr>
      <w:r>
        <w:rPr>
          <w:rFonts w:ascii="Calibri" w:hAnsi="Calibri" w:eastAsia="Calibri"/>
          <w:b/>
          <w:color w:val="BF9B30"/>
          <w:sz w:val="17"/>
        </w:rPr>
        <w:t>SECTION 04</w:t>
      </w:r>
    </w:p>
    <w:p>
      <w:pPr>
        <w:pStyle w:val="Heading1"/>
      </w:pPr>
      <w:r>
        <w:t>Business Model &amp; Pricing</w:t>
      </w:r>
    </w:p>
    <w:p>
      <w:pPr>
        <w:spacing w:after="200"/>
      </w:pPr>
      <w:r>
        <w:rPr>
          <w:rFonts w:ascii="Calibri" w:hAnsi="Calibri" w:eastAsia="Calibri"/>
          <w:i/>
          <w:color w:val="5F6E67"/>
          <w:sz w:val="23"/>
        </w:rPr>
        <w:t>Preserve the low-friction entry point; convert usage into committed institutional revenue</w:t>
      </w:r>
    </w:p>
    <w:tbl>
      <w:tblPr>
        <w:tblStyle w:val="TableGrid"/>
        <w:tblW w:type="dxa" w:w="9360"/>
        <w:tblLook w:firstColumn="1" w:firstRow="1" w:lastColumn="0" w:lastRow="0" w:noHBand="0" w:noVBand="1" w:val="04A0"/>
        <w:jc w:val="left"/>
        <w:tblInd w:w="120" w:type="dxa"/>
        <w:tblLayout w:type="fixed"/>
      </w:tblPr>
      <w:tblGrid>
        <w:gridCol w:w="2400"/>
        <w:gridCol w:w="1800"/>
        <w:gridCol w:w="5160"/>
      </w:tblGrid>
      <w:tr>
        <w:trPr>
          <w:tblHeader w:val="true"/>
          <w:cantSplit w:val="true"/>
        </w:trPr>
        <w:tc>
          <w:tcPr>
            <w:tcW w:type="dxa" w:w="24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Offering</w:t>
            </w:r>
          </w:p>
        </w:tc>
        <w:tc>
          <w:tcPr>
            <w:tcW w:type="dxa" w:w="1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Public price</w:t>
            </w:r>
          </w:p>
        </w:tc>
        <w:tc>
          <w:tcPr>
            <w:tcW w:type="dxa" w:w="51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Commercial role</w:t>
            </w:r>
          </w:p>
        </w:tc>
      </w:tr>
      <w:tr>
        <w:trPr>
          <w:cantSplit w:val="true"/>
        </w:trPr>
        <w:tc>
          <w:tcPr>
            <w:tcW w:type="dxa" w:w="2400"/>
            <w:vAlign w:val="center"/>
          </w:tcPr>
          <w:p>
            <w:pPr>
              <w:spacing w:after="0" w:line="269" w:lineRule="auto"/>
              <w:jc w:val="left"/>
            </w:pPr>
            <w:r>
              <w:rPr>
                <w:rFonts w:ascii="Calibri" w:hAnsi="Calibri" w:eastAsia="Calibri"/>
                <w:b/>
                <w:color w:val="26322E"/>
                <w:sz w:val="18"/>
              </w:rPr>
              <w:t>Question Paper Moderation</w:t>
            </w:r>
          </w:p>
        </w:tc>
        <w:tc>
          <w:tcPr>
            <w:tcW w:type="dxa" w:w="1800"/>
            <w:vAlign w:val="center"/>
          </w:tcPr>
          <w:p>
            <w:pPr>
              <w:spacing w:after="0" w:line="269" w:lineRule="auto"/>
              <w:jc w:val="left"/>
            </w:pPr>
            <w:r>
              <w:rPr>
                <w:rFonts w:ascii="Calibri" w:hAnsi="Calibri" w:eastAsia="Calibri"/>
                <w:b w:val="0"/>
                <w:color w:val="26322E"/>
                <w:sz w:val="18"/>
              </w:rPr>
              <w:t>₹400 + GST / paper</w:t>
            </w:r>
          </w:p>
        </w:tc>
        <w:tc>
          <w:tcPr>
            <w:tcW w:type="dxa" w:w="5160"/>
            <w:vAlign w:val="center"/>
          </w:tcPr>
          <w:p>
            <w:pPr>
              <w:spacing w:after="0" w:line="269" w:lineRule="auto"/>
              <w:jc w:val="left"/>
            </w:pPr>
            <w:r>
              <w:rPr>
                <w:rFonts w:ascii="Calibri" w:hAnsi="Calibri" w:eastAsia="Calibri"/>
                <w:b w:val="0"/>
                <w:color w:val="26322E"/>
                <w:sz w:val="18"/>
              </w:rPr>
              <w:t>Low-risk paid wedge; creates evidence and an evaluation-ready rubric</w:t>
            </w:r>
          </w:p>
        </w:tc>
      </w:tr>
      <w:tr>
        <w:trPr>
          <w:cantSplit w:val="true"/>
        </w:trPr>
        <w:tc>
          <w:tcPr>
            <w:tcW w:type="dxa" w:w="2400"/>
            <w:shd w:fill="F3F5F4" w:val="clear"/>
            <w:vAlign w:val="center"/>
          </w:tcPr>
          <w:p>
            <w:pPr>
              <w:spacing w:after="0" w:line="269" w:lineRule="auto"/>
              <w:jc w:val="left"/>
            </w:pPr>
            <w:r>
              <w:rPr>
                <w:rFonts w:ascii="Calibri" w:hAnsi="Calibri" w:eastAsia="Calibri"/>
                <w:b/>
                <w:color w:val="26322E"/>
                <w:sz w:val="18"/>
              </w:rPr>
              <w:t>Question Paper Generation</w:t>
            </w:r>
          </w:p>
        </w:tc>
        <w:tc>
          <w:tcPr>
            <w:tcW w:type="dxa" w:w="1800"/>
            <w:shd w:fill="F3F5F4" w:val="clear"/>
            <w:vAlign w:val="center"/>
          </w:tcPr>
          <w:p>
            <w:pPr>
              <w:spacing w:after="0" w:line="269" w:lineRule="auto"/>
              <w:jc w:val="left"/>
            </w:pPr>
            <w:r>
              <w:rPr>
                <w:rFonts w:ascii="Calibri" w:hAnsi="Calibri" w:eastAsia="Calibri"/>
                <w:b w:val="0"/>
                <w:color w:val="26322E"/>
                <w:sz w:val="18"/>
              </w:rPr>
              <w:t>₹400 + GST / paper</w:t>
            </w:r>
          </w:p>
        </w:tc>
        <w:tc>
          <w:tcPr>
            <w:tcW w:type="dxa" w:w="5160"/>
            <w:shd w:fill="F3F5F4" w:val="clear"/>
            <w:vAlign w:val="center"/>
          </w:tcPr>
          <w:p>
            <w:pPr>
              <w:spacing w:after="0" w:line="269" w:lineRule="auto"/>
              <w:jc w:val="left"/>
            </w:pPr>
            <w:r>
              <w:rPr>
                <w:rFonts w:ascii="Calibri" w:hAnsi="Calibri" w:eastAsia="Calibri"/>
                <w:b w:val="0"/>
                <w:color w:val="26322E"/>
                <w:sz w:val="18"/>
              </w:rPr>
              <w:t>Faculty productivity wedge; generates sample answers and marking rubrics</w:t>
            </w:r>
          </w:p>
        </w:tc>
      </w:tr>
      <w:tr>
        <w:trPr>
          <w:cantSplit w:val="true"/>
        </w:trPr>
        <w:tc>
          <w:tcPr>
            <w:tcW w:type="dxa" w:w="2400"/>
            <w:vAlign w:val="center"/>
          </w:tcPr>
          <w:p>
            <w:pPr>
              <w:spacing w:after="0" w:line="269" w:lineRule="auto"/>
              <w:jc w:val="left"/>
            </w:pPr>
            <w:r>
              <w:rPr>
                <w:rFonts w:ascii="Calibri" w:hAnsi="Calibri" w:eastAsia="Calibri"/>
                <w:b/>
                <w:color w:val="26322E"/>
                <w:sz w:val="18"/>
              </w:rPr>
              <w:t>DASES Evaluation</w:t>
            </w:r>
          </w:p>
        </w:tc>
        <w:tc>
          <w:tcPr>
            <w:tcW w:type="dxa" w:w="1800"/>
            <w:vAlign w:val="center"/>
          </w:tcPr>
          <w:p>
            <w:pPr>
              <w:spacing w:after="0" w:line="269" w:lineRule="auto"/>
              <w:jc w:val="left"/>
            </w:pPr>
            <w:r>
              <w:rPr>
                <w:rFonts w:ascii="Calibri" w:hAnsi="Calibri" w:eastAsia="Calibri"/>
                <w:b w:val="0"/>
                <w:color w:val="26322E"/>
                <w:sz w:val="18"/>
              </w:rPr>
              <w:t>Custom pricing</w:t>
            </w:r>
          </w:p>
        </w:tc>
        <w:tc>
          <w:tcPr>
            <w:tcW w:type="dxa" w:w="5160"/>
            <w:vAlign w:val="center"/>
          </w:tcPr>
          <w:p>
            <w:pPr>
              <w:spacing w:after="0" w:line="269" w:lineRule="auto"/>
              <w:jc w:val="left"/>
            </w:pPr>
            <w:r>
              <w:rPr>
                <w:rFonts w:ascii="Calibri" w:hAnsi="Calibri" w:eastAsia="Calibri"/>
                <w:b w:val="0"/>
                <w:color w:val="26322E"/>
                <w:sz w:val="18"/>
              </w:rPr>
              <w:t>Primary expansion product; price by volume, modules, support, and integration needs</w:t>
            </w:r>
          </w:p>
        </w:tc>
      </w:tr>
    </w:tbl>
    <w:p>
      <w:pPr>
        <w:spacing w:after="40"/>
      </w:pPr>
    </w:p>
    <w:p>
      <w:pPr>
        <w:spacing w:before="80" w:after="80" w:line="240" w:lineRule="auto"/>
      </w:pPr>
      <w:r>
        <w:rPr>
          <w:rFonts w:ascii="Calibri" w:hAnsi="Calibri" w:eastAsia="Calibri"/>
          <w:i/>
          <w:color w:val="78857F"/>
          <w:sz w:val="16"/>
        </w:rPr>
        <w:t>Source: management-supplied Pricing — BigChalkBox Academic Suite, July 2026. GST is excluded from revenue calculations.</w:t>
      </w:r>
    </w:p>
    <w:p>
      <w:pPr>
        <w:pStyle w:val="Heading2"/>
      </w:pPr>
      <w:r>
        <w:t>Recommended packaging architecture</w:t>
      </w:r>
    </w:p>
    <w:tbl>
      <w:tblPr>
        <w:tblStyle w:val="TableGrid"/>
        <w:tblW w:type="dxa" w:w="9360"/>
        <w:tblLook w:firstColumn="1" w:firstRow="1" w:lastColumn="0" w:lastRow="0" w:noHBand="0" w:noVBand="1" w:val="04A0"/>
        <w:jc w:val="left"/>
        <w:tblInd w:w="120" w:type="dxa"/>
        <w:tblLayout w:type="fixed"/>
      </w:tblPr>
      <w:tblGrid>
        <w:gridCol w:w="2000"/>
        <w:gridCol w:w="3550"/>
        <w:gridCol w:w="3810"/>
      </w:tblGrid>
      <w:tr>
        <w:trPr>
          <w:tblHeader w:val="true"/>
          <w:cantSplit w:val="true"/>
        </w:trPr>
        <w:tc>
          <w:tcPr>
            <w:tcW w:type="dxa" w:w="20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Commercial layer</w:t>
            </w:r>
          </w:p>
        </w:tc>
        <w:tc>
          <w:tcPr>
            <w:tcW w:type="dxa" w:w="355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Illustrative structure</w:t>
            </w:r>
          </w:p>
        </w:tc>
        <w:tc>
          <w:tcPr>
            <w:tcW w:type="dxa" w:w="381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Purpose</w:t>
            </w:r>
          </w:p>
        </w:tc>
      </w:tr>
      <w:tr>
        <w:trPr>
          <w:cantSplit w:val="true"/>
        </w:trPr>
        <w:tc>
          <w:tcPr>
            <w:tcW w:type="dxa" w:w="2000"/>
            <w:vAlign w:val="center"/>
          </w:tcPr>
          <w:p>
            <w:pPr>
              <w:spacing w:after="0" w:line="269" w:lineRule="auto"/>
              <w:jc w:val="left"/>
            </w:pPr>
            <w:r>
              <w:rPr>
                <w:rFonts w:ascii="Calibri" w:hAnsi="Calibri" w:eastAsia="Calibri"/>
                <w:b/>
                <w:color w:val="26322E"/>
                <w:sz w:val="17"/>
              </w:rPr>
              <w:t>Pay-as-you-go</w:t>
            </w:r>
          </w:p>
        </w:tc>
        <w:tc>
          <w:tcPr>
            <w:tcW w:type="dxa" w:w="3550"/>
            <w:vAlign w:val="center"/>
          </w:tcPr>
          <w:p>
            <w:pPr>
              <w:spacing w:after="0" w:line="269" w:lineRule="auto"/>
              <w:jc w:val="left"/>
            </w:pPr>
            <w:r>
              <w:rPr>
                <w:rFonts w:ascii="Calibri" w:hAnsi="Calibri" w:eastAsia="Calibri"/>
                <w:b w:val="0"/>
                <w:color w:val="26322E"/>
                <w:sz w:val="17"/>
              </w:rPr>
              <w:t>Retain ₹400/paper for generation and moderation</w:t>
            </w:r>
          </w:p>
        </w:tc>
        <w:tc>
          <w:tcPr>
            <w:tcW w:type="dxa" w:w="3810"/>
            <w:vAlign w:val="center"/>
          </w:tcPr>
          <w:p>
            <w:pPr>
              <w:spacing w:after="0" w:line="269" w:lineRule="auto"/>
              <w:jc w:val="left"/>
            </w:pPr>
            <w:r>
              <w:rPr>
                <w:rFonts w:ascii="Calibri" w:hAnsi="Calibri" w:eastAsia="Calibri"/>
                <w:b w:val="0"/>
                <w:color w:val="26322E"/>
                <w:sz w:val="17"/>
              </w:rPr>
              <w:t>Fast departmental adoption; transparent value demonstration</w:t>
            </w:r>
          </w:p>
        </w:tc>
      </w:tr>
      <w:tr>
        <w:trPr>
          <w:cantSplit w:val="true"/>
        </w:trPr>
        <w:tc>
          <w:tcPr>
            <w:tcW w:type="dxa" w:w="2000"/>
            <w:shd w:fill="F3F5F4" w:val="clear"/>
            <w:vAlign w:val="center"/>
          </w:tcPr>
          <w:p>
            <w:pPr>
              <w:spacing w:after="0" w:line="269" w:lineRule="auto"/>
              <w:jc w:val="left"/>
            </w:pPr>
            <w:r>
              <w:rPr>
                <w:rFonts w:ascii="Calibri" w:hAnsi="Calibri" w:eastAsia="Calibri"/>
                <w:b/>
                <w:color w:val="26322E"/>
                <w:sz w:val="17"/>
              </w:rPr>
              <w:t>Department commitment</w:t>
            </w:r>
          </w:p>
        </w:tc>
        <w:tc>
          <w:tcPr>
            <w:tcW w:type="dxa" w:w="3550"/>
            <w:shd w:fill="F3F5F4" w:val="clear"/>
            <w:vAlign w:val="center"/>
          </w:tcPr>
          <w:p>
            <w:pPr>
              <w:spacing w:after="0" w:line="269" w:lineRule="auto"/>
              <w:jc w:val="left"/>
            </w:pPr>
            <w:r>
              <w:rPr>
                <w:rFonts w:ascii="Calibri" w:hAnsi="Calibri" w:eastAsia="Calibri"/>
                <w:b w:val="0"/>
                <w:color w:val="26322E"/>
                <w:sz w:val="17"/>
              </w:rPr>
              <w:t>₹2.4–4.8 lakh annual minimum; shared credits + evaluation volume</w:t>
            </w:r>
          </w:p>
        </w:tc>
        <w:tc>
          <w:tcPr>
            <w:tcW w:type="dxa" w:w="3810"/>
            <w:shd w:fill="F3F5F4" w:val="clear"/>
            <w:vAlign w:val="center"/>
          </w:tcPr>
          <w:p>
            <w:pPr>
              <w:spacing w:after="0" w:line="269" w:lineRule="auto"/>
              <w:jc w:val="left"/>
            </w:pPr>
            <w:r>
              <w:rPr>
                <w:rFonts w:ascii="Calibri" w:hAnsi="Calibri" w:eastAsia="Calibri"/>
                <w:b w:val="0"/>
                <w:color w:val="26322E"/>
                <w:sz w:val="17"/>
              </w:rPr>
              <w:t>Creates recurring revenue and predictable usage</w:t>
            </w:r>
          </w:p>
        </w:tc>
      </w:tr>
      <w:tr>
        <w:trPr>
          <w:cantSplit w:val="true"/>
        </w:trPr>
        <w:tc>
          <w:tcPr>
            <w:tcW w:type="dxa" w:w="2000"/>
            <w:vAlign w:val="center"/>
          </w:tcPr>
          <w:p>
            <w:pPr>
              <w:spacing w:after="0" w:line="269" w:lineRule="auto"/>
              <w:jc w:val="left"/>
            </w:pPr>
            <w:r>
              <w:rPr>
                <w:rFonts w:ascii="Calibri" w:hAnsi="Calibri" w:eastAsia="Calibri"/>
                <w:b/>
                <w:color w:val="26322E"/>
                <w:sz w:val="17"/>
              </w:rPr>
              <w:t>Institution contract</w:t>
            </w:r>
          </w:p>
        </w:tc>
        <w:tc>
          <w:tcPr>
            <w:tcW w:type="dxa" w:w="3550"/>
            <w:vAlign w:val="center"/>
          </w:tcPr>
          <w:p>
            <w:pPr>
              <w:spacing w:after="0" w:line="269" w:lineRule="auto"/>
              <w:jc w:val="left"/>
            </w:pPr>
            <w:r>
              <w:rPr>
                <w:rFonts w:ascii="Calibri" w:hAnsi="Calibri" w:eastAsia="Calibri"/>
                <w:b w:val="0"/>
                <w:color w:val="26322E"/>
                <w:sz w:val="17"/>
              </w:rPr>
              <w:t>₹8–20 lakh annual minimum; multi-department controls, integrations, SLA, analytics</w:t>
            </w:r>
          </w:p>
        </w:tc>
        <w:tc>
          <w:tcPr>
            <w:tcW w:type="dxa" w:w="3810"/>
            <w:vAlign w:val="center"/>
          </w:tcPr>
          <w:p>
            <w:pPr>
              <w:spacing w:after="0" w:line="269" w:lineRule="auto"/>
              <w:jc w:val="left"/>
            </w:pPr>
            <w:r>
              <w:rPr>
                <w:rFonts w:ascii="Calibri" w:hAnsi="Calibri" w:eastAsia="Calibri"/>
                <w:b w:val="0"/>
                <w:color w:val="26322E"/>
                <w:sz w:val="17"/>
              </w:rPr>
              <w:t>Raises ACV and embeds the platform institution-wide</w:t>
            </w:r>
          </w:p>
        </w:tc>
      </w:tr>
      <w:tr>
        <w:trPr>
          <w:cantSplit w:val="true"/>
        </w:trPr>
        <w:tc>
          <w:tcPr>
            <w:tcW w:type="dxa" w:w="2000"/>
            <w:shd w:fill="F3F5F4" w:val="clear"/>
            <w:vAlign w:val="center"/>
          </w:tcPr>
          <w:p>
            <w:pPr>
              <w:spacing w:after="0" w:line="269" w:lineRule="auto"/>
              <w:jc w:val="left"/>
            </w:pPr>
            <w:r>
              <w:rPr>
                <w:rFonts w:ascii="Calibri" w:hAnsi="Calibri" w:eastAsia="Calibri"/>
                <w:b/>
                <w:color w:val="26322E"/>
                <w:sz w:val="17"/>
              </w:rPr>
              <w:t>Overages / services</w:t>
            </w:r>
          </w:p>
        </w:tc>
        <w:tc>
          <w:tcPr>
            <w:tcW w:type="dxa" w:w="3550"/>
            <w:shd w:fill="F3F5F4" w:val="clear"/>
            <w:vAlign w:val="center"/>
          </w:tcPr>
          <w:p>
            <w:pPr>
              <w:spacing w:after="0" w:line="269" w:lineRule="auto"/>
              <w:jc w:val="left"/>
            </w:pPr>
            <w:r>
              <w:rPr>
                <w:rFonts w:ascii="Calibri" w:hAnsi="Calibri" w:eastAsia="Calibri"/>
                <w:b w:val="0"/>
                <w:color w:val="26322E"/>
                <w:sz w:val="17"/>
              </w:rPr>
              <w:t>Per-sheet evaluation overage; implementation/integration fees</w:t>
            </w:r>
          </w:p>
        </w:tc>
        <w:tc>
          <w:tcPr>
            <w:tcW w:type="dxa" w:w="3810"/>
            <w:shd w:fill="F3F5F4" w:val="clear"/>
            <w:vAlign w:val="center"/>
          </w:tcPr>
          <w:p>
            <w:pPr>
              <w:spacing w:after="0" w:line="269" w:lineRule="auto"/>
              <w:jc w:val="left"/>
            </w:pPr>
            <w:r>
              <w:rPr>
                <w:rFonts w:ascii="Calibri" w:hAnsi="Calibri" w:eastAsia="Calibri"/>
                <w:b w:val="0"/>
                <w:color w:val="26322E"/>
                <w:sz w:val="17"/>
              </w:rPr>
              <w:t>Protects gross margin and funds non-standard work</w:t>
            </w:r>
          </w:p>
        </w:tc>
      </w:tr>
    </w:tbl>
    <w:p>
      <w:pPr>
        <w:spacing w:after="40"/>
      </w:pPr>
    </w:p>
    <w:p>
      <w:pPr>
        <w:spacing w:before="80" w:after="80" w:line="240" w:lineRule="auto"/>
      </w:pPr>
      <w:r>
        <w:rPr>
          <w:rFonts w:ascii="Calibri" w:hAnsi="Calibri" w:eastAsia="Calibri"/>
          <w:i/>
          <w:color w:val="78857F"/>
          <w:sz w:val="16"/>
        </w:rPr>
        <w:t>Illustrative management recommendation—not current published pricing. Final tiers require unit-cost, willingness-to-pay, and procurement testing.</w:t>
      </w:r>
    </w:p>
    <w:p>
      <w:pPr>
        <w:pStyle w:val="Heading2"/>
      </w:pPr>
      <w:r>
        <w:t>Economic logic</w:t>
      </w:r>
    </w:p>
    <w:p>
      <w:pPr>
        <w:numPr>
          <w:ilvl w:val="0"/>
          <w:numId w:val="12"/>
        </w:numPr>
        <w:spacing w:after="80" w:line="290" w:lineRule="auto"/>
      </w:pPr>
      <w:r>
        <w:rPr>
          <w:rFonts w:ascii="Calibri" w:hAnsi="Calibri" w:eastAsia="Calibri"/>
          <w:color w:val="26322E"/>
        </w:rPr>
        <w:t>Land: one department buys generation or moderation for a small number of papers.</w:t>
      </w:r>
    </w:p>
    <w:p>
      <w:pPr>
        <w:numPr>
          <w:ilvl w:val="0"/>
          <w:numId w:val="12"/>
        </w:numPr>
        <w:spacing w:after="80" w:line="290" w:lineRule="auto"/>
      </w:pPr>
      <w:r>
        <w:rPr>
          <w:rFonts w:ascii="Calibri" w:hAnsi="Calibri" w:eastAsia="Calibri"/>
          <w:color w:val="26322E"/>
        </w:rPr>
        <w:t>Prove: a structured pilot measures faculty hours, agreement with approved scores, review time, and student feedback quality.</w:t>
      </w:r>
    </w:p>
    <w:p>
      <w:pPr>
        <w:numPr>
          <w:ilvl w:val="0"/>
          <w:numId w:val="12"/>
        </w:numPr>
        <w:spacing w:after="80" w:line="290" w:lineRule="auto"/>
      </w:pPr>
      <w:r>
        <w:rPr>
          <w:rFonts w:ascii="Calibri" w:hAnsi="Calibri" w:eastAsia="Calibri"/>
          <w:color w:val="26322E"/>
        </w:rPr>
        <w:t>Expand: evaluation volume, additional departments, student reports, analytics, and integrations increase annual contract value.</w:t>
      </w:r>
    </w:p>
    <w:p>
      <w:pPr>
        <w:numPr>
          <w:ilvl w:val="0"/>
          <w:numId w:val="12"/>
        </w:numPr>
        <w:spacing w:after="80" w:line="290" w:lineRule="auto"/>
      </w:pPr>
      <w:r>
        <w:rPr>
          <w:rFonts w:ascii="Calibri" w:hAnsi="Calibri" w:eastAsia="Calibri"/>
          <w:color w:val="26322E"/>
        </w:rPr>
        <w:t>Renew: reusable syllabi, rubrics, workflows, permissions, and reporting history reduce the cost of each subsequent exam cycle.</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EAF1EC" w:val="clear"/>
            <w:tcBorders>
              <w:top w:val="single" w:sz="4" w:color="EAF1EC"/>
              <w:start w:val="single" w:sz="18" w:color="145A38"/>
              <w:bottom w:val="single" w:sz="4" w:color="EAF1EC"/>
              <w:end w:val="single" w:sz="4" w:color="EAF1EC"/>
            </w:tcBorders>
          </w:tcPr>
          <w:p>
            <w:pPr>
              <w:spacing w:after="60"/>
            </w:pPr>
            <w:r>
              <w:rPr>
                <w:rFonts w:ascii="Calibri" w:hAnsi="Calibri" w:eastAsia="Calibri"/>
                <w:b/>
                <w:color w:val="145A38"/>
                <w:sz w:val="16"/>
              </w:rPr>
              <w:t>PILOT ROI INSTRUMENT</w:t>
            </w:r>
          </w:p>
          <w:p>
            <w:pPr>
              <w:spacing w:after="80"/>
            </w:pPr>
            <w:r>
              <w:rPr>
                <w:rFonts w:ascii="Calibri" w:hAnsi="Calibri" w:eastAsia="Calibri"/>
                <w:b/>
                <w:color w:val="1A2421"/>
                <w:sz w:val="27"/>
              </w:rPr>
              <w:t>Measure value before negotiating a campus-wide contract.</w:t>
            </w:r>
          </w:p>
          <w:p>
            <w:pPr>
              <w:spacing w:after="0" w:line="283" w:lineRule="auto"/>
            </w:pPr>
            <w:r>
              <w:rPr>
                <w:rFonts w:ascii="Calibri" w:hAnsi="Calibri" w:eastAsia="Calibri"/>
                <w:color w:val="26322E"/>
                <w:sz w:val="20"/>
              </w:rPr>
              <w:t>For every pilot, record baseline faculty hours, AI processing time, faculty review time, score agreement, override rate, result turnaround, feedback coverage, compute cost, and willingness to renew. The investor-quality metric is not 'sheets processed'; it is repeatable paid conversion with improving gross margin.</w:t>
            </w:r>
          </w:p>
        </w:tc>
      </w:tr>
    </w:tbl>
    <w:p>
      <w:pPr>
        <w:spacing w:after="20"/>
      </w:pPr>
    </w:p>
    <w:p>
      <w:pPr>
        <w:keepNext/>
        <w:spacing w:before="0" w:after="120"/>
      </w:pPr>
      <w:r>
        <w:rPr>
          <w:rFonts w:ascii="Calibri" w:hAnsi="Calibri" w:eastAsia="Calibri"/>
          <w:b/>
          <w:color w:val="BF9B30"/>
          <w:sz w:val="17"/>
        </w:rPr>
        <w:t>SECTION 05</w:t>
      </w:r>
    </w:p>
    <w:p>
      <w:pPr>
        <w:pStyle w:val="Heading1"/>
      </w:pPr>
      <w:r>
        <w:t>Traction &amp; Evidence</w:t>
      </w:r>
    </w:p>
    <w:p>
      <w:pPr>
        <w:spacing w:after="200"/>
      </w:pPr>
      <w:r>
        <w:rPr>
          <w:rFonts w:ascii="Calibri" w:hAnsi="Calibri" w:eastAsia="Calibri"/>
          <w:i/>
          <w:color w:val="5F6E67"/>
          <w:sz w:val="23"/>
        </w:rPr>
        <w:t>Promising product proof; the next round must convert it into commercial proof</w:t>
      </w:r>
    </w:p>
    <w:tbl>
      <w:tblPr>
        <w:tblStyle w:val="TableGrid"/>
        <w:tblW w:type="dxa" w:w="9360"/>
        <w:tblLook w:firstColumn="1" w:firstRow="1" w:lastColumn="0" w:lastRow="0" w:noHBand="0" w:noVBand="1" w:val="04A0"/>
        <w:jc w:val="left"/>
        <w:tblInd w:w="120" w:type="dxa"/>
        <w:tblLayout w:type="fixed"/>
      </w:tblPr>
      <w:tblGrid>
        <w:gridCol w:w="1900"/>
        <w:gridCol w:w="1800"/>
        <w:gridCol w:w="5660"/>
      </w:tblGrid>
      <w:tr>
        <w:trPr>
          <w:tblHeader w:val="true"/>
          <w:cantSplit w:val="true"/>
        </w:trPr>
        <w:tc>
          <w:tcPr>
            <w:tcW w:type="dxa" w:w="19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Metric</w:t>
            </w:r>
          </w:p>
        </w:tc>
        <w:tc>
          <w:tcPr>
            <w:tcW w:type="dxa" w:w="1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Reported result</w:t>
            </w:r>
          </w:p>
        </w:tc>
        <w:tc>
          <w:tcPr>
            <w:tcW w:type="dxa" w:w="56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Diligence standard for next round</w:t>
            </w:r>
          </w:p>
        </w:tc>
      </w:tr>
      <w:tr>
        <w:trPr>
          <w:cantSplit w:val="true"/>
        </w:trPr>
        <w:tc>
          <w:tcPr>
            <w:tcW w:type="dxa" w:w="1900"/>
            <w:vAlign w:val="center"/>
          </w:tcPr>
          <w:p>
            <w:pPr>
              <w:spacing w:after="0" w:line="269" w:lineRule="auto"/>
              <w:jc w:val="left"/>
            </w:pPr>
            <w:r>
              <w:rPr>
                <w:rFonts w:ascii="Calibri" w:hAnsi="Calibri" w:eastAsia="Calibri"/>
                <w:b/>
                <w:color w:val="26322E"/>
                <w:sz w:val="17"/>
              </w:rPr>
              <w:t>Sheets evaluated</w:t>
            </w:r>
          </w:p>
        </w:tc>
        <w:tc>
          <w:tcPr>
            <w:tcW w:type="dxa" w:w="1800"/>
            <w:vAlign w:val="center"/>
          </w:tcPr>
          <w:p>
            <w:pPr>
              <w:spacing w:after="0" w:line="269" w:lineRule="auto"/>
              <w:jc w:val="left"/>
            </w:pPr>
            <w:r>
              <w:rPr>
                <w:rFonts w:ascii="Calibri" w:hAnsi="Calibri" w:eastAsia="Calibri"/>
                <w:b w:val="0"/>
                <w:color w:val="26322E"/>
                <w:sz w:val="17"/>
              </w:rPr>
              <w:t>400+</w:t>
            </w:r>
          </w:p>
        </w:tc>
        <w:tc>
          <w:tcPr>
            <w:tcW w:type="dxa" w:w="5660"/>
            <w:vAlign w:val="center"/>
          </w:tcPr>
          <w:p>
            <w:pPr>
              <w:spacing w:after="0" w:line="269" w:lineRule="auto"/>
              <w:jc w:val="left"/>
            </w:pPr>
            <w:r>
              <w:rPr>
                <w:rFonts w:ascii="Calibri" w:hAnsi="Calibri" w:eastAsia="Calibri"/>
                <w:b w:val="0"/>
                <w:color w:val="26322E"/>
                <w:sz w:val="17"/>
              </w:rPr>
              <w:t>Batch-level log with subjects, institutions, dates, and review outcomes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7"/>
              </w:rPr>
              <w:t>Educators onboard</w:t>
            </w:r>
          </w:p>
        </w:tc>
        <w:tc>
          <w:tcPr>
            <w:tcW w:type="dxa" w:w="1800"/>
            <w:shd w:fill="F3F5F4" w:val="clear"/>
            <w:vAlign w:val="center"/>
          </w:tcPr>
          <w:p>
            <w:pPr>
              <w:spacing w:after="0" w:line="269" w:lineRule="auto"/>
              <w:jc w:val="left"/>
            </w:pPr>
            <w:r>
              <w:rPr>
                <w:rFonts w:ascii="Calibri" w:hAnsi="Calibri" w:eastAsia="Calibri"/>
                <w:b w:val="0"/>
                <w:color w:val="26322E"/>
                <w:sz w:val="17"/>
              </w:rPr>
              <w:t>20+</w:t>
            </w:r>
          </w:p>
        </w:tc>
        <w:tc>
          <w:tcPr>
            <w:tcW w:type="dxa" w:w="5660"/>
            <w:shd w:fill="F3F5F4" w:val="clear"/>
            <w:vAlign w:val="center"/>
          </w:tcPr>
          <w:p>
            <w:pPr>
              <w:spacing w:after="0" w:line="269" w:lineRule="auto"/>
              <w:jc w:val="left"/>
            </w:pPr>
            <w:r>
              <w:rPr>
                <w:rFonts w:ascii="Calibri" w:hAnsi="Calibri" w:eastAsia="Calibri"/>
                <w:b w:val="0"/>
                <w:color w:val="26322E"/>
                <w:sz w:val="17"/>
              </w:rPr>
              <w:t>Active vs. trial users; institution count; 30/90-day retention</w:t>
            </w:r>
          </w:p>
        </w:tc>
      </w:tr>
      <w:tr>
        <w:trPr>
          <w:cantSplit w:val="true"/>
        </w:trPr>
        <w:tc>
          <w:tcPr>
            <w:tcW w:type="dxa" w:w="1900"/>
            <w:vAlign w:val="center"/>
          </w:tcPr>
          <w:p>
            <w:pPr>
              <w:spacing w:after="0" w:line="269" w:lineRule="auto"/>
              <w:jc w:val="left"/>
            </w:pPr>
            <w:r>
              <w:rPr>
                <w:rFonts w:ascii="Calibri" w:hAnsi="Calibri" w:eastAsia="Calibri"/>
                <w:b/>
                <w:color w:val="26322E"/>
                <w:sz w:val="17"/>
              </w:rPr>
              <w:t>Rubric accuracy</w:t>
            </w:r>
          </w:p>
        </w:tc>
        <w:tc>
          <w:tcPr>
            <w:tcW w:type="dxa" w:w="1800"/>
            <w:vAlign w:val="center"/>
          </w:tcPr>
          <w:p>
            <w:pPr>
              <w:spacing w:after="0" w:line="269" w:lineRule="auto"/>
              <w:jc w:val="left"/>
            </w:pPr>
            <w:r>
              <w:rPr>
                <w:rFonts w:ascii="Calibri" w:hAnsi="Calibri" w:eastAsia="Calibri"/>
                <w:b w:val="0"/>
                <w:color w:val="26322E"/>
                <w:sz w:val="17"/>
              </w:rPr>
              <w:t>98%</w:t>
            </w:r>
          </w:p>
        </w:tc>
        <w:tc>
          <w:tcPr>
            <w:tcW w:type="dxa" w:w="5660"/>
            <w:vAlign w:val="center"/>
          </w:tcPr>
          <w:p>
            <w:pPr>
              <w:spacing w:after="0" w:line="269" w:lineRule="auto"/>
              <w:jc w:val="left"/>
            </w:pPr>
            <w:r>
              <w:rPr>
                <w:rFonts w:ascii="Calibri" w:hAnsi="Calibri" w:eastAsia="Calibri"/>
                <w:b w:val="0"/>
                <w:color w:val="26322E"/>
                <w:sz w:val="17"/>
              </w:rPr>
              <w:t>Predefined benchmark, sample size, blind human comparison, confidence interval</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7"/>
              </w:rPr>
              <w:t>Processing time</w:t>
            </w:r>
          </w:p>
        </w:tc>
        <w:tc>
          <w:tcPr>
            <w:tcW w:type="dxa" w:w="1800"/>
            <w:shd w:fill="F3F5F4" w:val="clear"/>
            <w:vAlign w:val="center"/>
          </w:tcPr>
          <w:p>
            <w:pPr>
              <w:spacing w:after="0" w:line="269" w:lineRule="auto"/>
              <w:jc w:val="left"/>
            </w:pPr>
            <w:r>
              <w:rPr>
                <w:rFonts w:ascii="Calibri" w:hAnsi="Calibri" w:eastAsia="Calibri"/>
                <w:b w:val="0"/>
                <w:color w:val="26322E"/>
                <w:sz w:val="17"/>
              </w:rPr>
              <w:t>~15 sec/sheet</w:t>
            </w:r>
          </w:p>
        </w:tc>
        <w:tc>
          <w:tcPr>
            <w:tcW w:type="dxa" w:w="5660"/>
            <w:shd w:fill="F3F5F4" w:val="clear"/>
            <w:vAlign w:val="center"/>
          </w:tcPr>
          <w:p>
            <w:pPr>
              <w:spacing w:after="0" w:line="269" w:lineRule="auto"/>
              <w:jc w:val="left"/>
            </w:pPr>
            <w:r>
              <w:rPr>
                <w:rFonts w:ascii="Calibri" w:hAnsi="Calibri" w:eastAsia="Calibri"/>
                <w:b w:val="0"/>
                <w:color w:val="26322E"/>
                <w:sz w:val="17"/>
              </w:rPr>
              <w:t>p50/p95 latency by page count, subject, image quality, and batch size</w:t>
            </w:r>
          </w:p>
        </w:tc>
      </w:tr>
      <w:tr>
        <w:trPr>
          <w:cantSplit w:val="true"/>
        </w:trPr>
        <w:tc>
          <w:tcPr>
            <w:tcW w:type="dxa" w:w="1900"/>
            <w:vAlign w:val="center"/>
          </w:tcPr>
          <w:p>
            <w:pPr>
              <w:spacing w:after="0" w:line="269" w:lineRule="auto"/>
              <w:jc w:val="left"/>
            </w:pPr>
            <w:r>
              <w:rPr>
                <w:rFonts w:ascii="Calibri" w:hAnsi="Calibri" w:eastAsia="Calibri"/>
                <w:b/>
                <w:color w:val="26322E"/>
                <w:sz w:val="17"/>
              </w:rPr>
              <w:t>Parallel scale</w:t>
            </w:r>
          </w:p>
        </w:tc>
        <w:tc>
          <w:tcPr>
            <w:tcW w:type="dxa" w:w="1800"/>
            <w:vAlign w:val="center"/>
          </w:tcPr>
          <w:p>
            <w:pPr>
              <w:spacing w:after="0" w:line="269" w:lineRule="auto"/>
              <w:jc w:val="left"/>
            </w:pPr>
            <w:r>
              <w:rPr>
                <w:rFonts w:ascii="Calibri" w:hAnsi="Calibri" w:eastAsia="Calibri"/>
                <w:b w:val="0"/>
                <w:color w:val="26322E"/>
                <w:sz w:val="17"/>
              </w:rPr>
              <w:t>Up to 500 sheets</w:t>
            </w:r>
          </w:p>
        </w:tc>
        <w:tc>
          <w:tcPr>
            <w:tcW w:type="dxa" w:w="5660"/>
            <w:vAlign w:val="center"/>
          </w:tcPr>
          <w:p>
            <w:pPr>
              <w:spacing w:after="0" w:line="269" w:lineRule="auto"/>
              <w:jc w:val="left"/>
            </w:pPr>
            <w:r>
              <w:rPr>
                <w:rFonts w:ascii="Calibri" w:hAnsi="Calibri" w:eastAsia="Calibri"/>
                <w:b w:val="0"/>
                <w:color w:val="26322E"/>
                <w:sz w:val="17"/>
              </w:rPr>
              <w:t>Load test, failure/retry rate, queue behavior, and cost per sheet</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7"/>
              </w:rPr>
              <w:t>Program support</w:t>
            </w:r>
          </w:p>
        </w:tc>
        <w:tc>
          <w:tcPr>
            <w:tcW w:type="dxa" w:w="1800"/>
            <w:shd w:fill="F3F5F4" w:val="clear"/>
            <w:vAlign w:val="center"/>
          </w:tcPr>
          <w:p>
            <w:pPr>
              <w:spacing w:after="0" w:line="269" w:lineRule="auto"/>
              <w:jc w:val="left"/>
            </w:pPr>
            <w:r>
              <w:rPr>
                <w:rFonts w:ascii="Calibri" w:hAnsi="Calibri" w:eastAsia="Calibri"/>
                <w:b w:val="0"/>
                <w:color w:val="26322E"/>
                <w:sz w:val="17"/>
              </w:rPr>
              <w:t>Runway Incubator; Google for Startups; AWS Startups listed</w:t>
            </w:r>
          </w:p>
        </w:tc>
        <w:tc>
          <w:tcPr>
            <w:tcW w:type="dxa" w:w="5660"/>
            <w:shd w:fill="F3F5F4" w:val="clear"/>
            <w:vAlign w:val="center"/>
          </w:tcPr>
          <w:p>
            <w:pPr>
              <w:spacing w:after="0" w:line="269" w:lineRule="auto"/>
              <w:jc w:val="left"/>
            </w:pPr>
            <w:r>
              <w:rPr>
                <w:rFonts w:ascii="Calibri" w:hAnsi="Calibri" w:eastAsia="Calibri"/>
                <w:b w:val="0"/>
                <w:color w:val="26322E"/>
                <w:sz w:val="17"/>
              </w:rPr>
              <w:t>Acceptance/credit documentation and active benefit status</w:t>
            </w:r>
          </w:p>
        </w:tc>
      </w:tr>
    </w:tbl>
    <w:p>
      <w:pPr>
        <w:spacing w:after="40"/>
      </w:pPr>
    </w:p>
    <w:p>
      <w:pPr>
        <w:spacing w:before="80" w:after="80" w:line="240" w:lineRule="auto"/>
      </w:pPr>
      <w:r>
        <w:rPr>
          <w:rFonts w:ascii="Calibri" w:hAnsi="Calibri" w:eastAsia="Calibri"/>
          <w:i/>
          <w:color w:val="78857F"/>
          <w:sz w:val="16"/>
        </w:rPr>
        <w:t>All results in this table are company-reported on DASES public pages and should be substantiated in the investor data room. [1][2]</w:t>
      </w:r>
    </w:p>
    <w:p>
      <w:pPr>
        <w:pStyle w:val="Heading2"/>
      </w:pPr>
      <w:r>
        <w:t>Evidence hierarchy investors will reward</w:t>
      </w:r>
    </w:p>
    <w:p>
      <w:pPr>
        <w:numPr>
          <w:ilvl w:val="0"/>
          <w:numId w:val="10"/>
        </w:numPr>
        <w:spacing w:after="80" w:line="290" w:lineRule="auto"/>
      </w:pPr>
      <w:r>
        <w:rPr>
          <w:rFonts w:ascii="Calibri" w:hAnsi="Calibri" w:eastAsia="Calibri"/>
          <w:color w:val="26322E"/>
        </w:rPr>
        <w:t>Best: paid renewals and expansion across departments.</w:t>
      </w:r>
    </w:p>
    <w:p>
      <w:pPr>
        <w:numPr>
          <w:ilvl w:val="0"/>
          <w:numId w:val="10"/>
        </w:numPr>
        <w:spacing w:after="80" w:line="290" w:lineRule="auto"/>
      </w:pPr>
      <w:r>
        <w:rPr>
          <w:rFonts w:ascii="Calibri" w:hAnsi="Calibri" w:eastAsia="Calibri"/>
          <w:color w:val="26322E"/>
        </w:rPr>
        <w:t>Strong: signed annual contracts, purchase orders, or paid pilots with referenceable institutions.</w:t>
      </w:r>
    </w:p>
    <w:p>
      <w:pPr>
        <w:numPr>
          <w:ilvl w:val="0"/>
          <w:numId w:val="10"/>
        </w:numPr>
        <w:spacing w:after="80" w:line="290" w:lineRule="auto"/>
      </w:pPr>
      <w:r>
        <w:rPr>
          <w:rFonts w:ascii="Calibri" w:hAnsi="Calibri" w:eastAsia="Calibri"/>
          <w:color w:val="26322E"/>
        </w:rPr>
        <w:t>Useful: dated LOIs with scope, expected contract value, and procurement owner.</w:t>
      </w:r>
    </w:p>
    <w:p>
      <w:pPr>
        <w:numPr>
          <w:ilvl w:val="0"/>
          <w:numId w:val="10"/>
        </w:numPr>
        <w:spacing w:after="80" w:line="290" w:lineRule="auto"/>
      </w:pPr>
      <w:r>
        <w:rPr>
          <w:rFonts w:ascii="Calibri" w:hAnsi="Calibri" w:eastAsia="Calibri"/>
          <w:color w:val="26322E"/>
        </w:rPr>
        <w:t>Supporting: educator usage, testimonial, benchmark, or demo engagement.</w:t>
      </w:r>
    </w:p>
    <w:p>
      <w:pPr>
        <w:numPr>
          <w:ilvl w:val="0"/>
          <w:numId w:val="10"/>
        </w:numPr>
        <w:spacing w:after="80" w:line="290" w:lineRule="auto"/>
      </w:pPr>
      <w:r>
        <w:rPr>
          <w:rFonts w:ascii="Calibri" w:hAnsi="Calibri" w:eastAsia="Calibri"/>
          <w:color w:val="26322E"/>
        </w:rPr>
        <w:t>Weak alone: waitlist size, page views, unqualified signups, or unverified accuracy claims.</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MESSAGING DISCIPLINE</w:t>
            </w:r>
          </w:p>
          <w:p>
            <w:pPr>
              <w:spacing w:after="80"/>
            </w:pPr>
            <w:r>
              <w:rPr>
                <w:rFonts w:ascii="Calibri" w:hAnsi="Calibri" w:eastAsia="Calibri"/>
                <w:b/>
                <w:color w:val="1A2421"/>
                <w:sz w:val="27"/>
              </w:rPr>
              <w:t>Convert technical claims into auditable institutional outcomes.</w:t>
            </w:r>
          </w:p>
          <w:p>
            <w:pPr>
              <w:spacing w:after="0" w:line="283" w:lineRule="auto"/>
            </w:pPr>
            <w:r>
              <w:rPr>
                <w:rFonts w:ascii="Calibri" w:hAnsi="Calibri" w:eastAsia="Calibri"/>
                <w:color w:val="26322E"/>
                <w:sz w:val="20"/>
              </w:rPr>
              <w:t>Use 'company-reported' until an independent or jointly signed validation exists. Replace broad claims such as 'human-level accuracy' with benchmark definitions, exceptions, and the faculty review policy. Credibility improves the deal more than an inflated metric.</w:t>
            </w:r>
          </w:p>
        </w:tc>
      </w:tr>
    </w:tbl>
    <w:p>
      <w:pPr>
        <w:spacing w:after="20"/>
      </w:pPr>
    </w:p>
    <w:p>
      <w:pPr>
        <w:keepNext/>
        <w:spacing w:before="0" w:after="120"/>
      </w:pPr>
      <w:r>
        <w:rPr>
          <w:rFonts w:ascii="Calibri" w:hAnsi="Calibri" w:eastAsia="Calibri"/>
          <w:b/>
          <w:color w:val="BF9B30"/>
          <w:sz w:val="17"/>
        </w:rPr>
        <w:t>SECTION 06</w:t>
      </w:r>
    </w:p>
    <w:p>
      <w:pPr>
        <w:pStyle w:val="Heading1"/>
      </w:pPr>
      <w:r>
        <w:t>Market Opportunity</w:t>
      </w:r>
    </w:p>
    <w:p>
      <w:pPr>
        <w:spacing w:after="200"/>
      </w:pPr>
      <w:r>
        <w:rPr>
          <w:rFonts w:ascii="Calibri" w:hAnsi="Calibri" w:eastAsia="Calibri"/>
          <w:i/>
          <w:color w:val="5F6E67"/>
          <w:sz w:val="23"/>
        </w:rPr>
        <w:t>A large institutional base with a narrow, measurable beachhead</w:t>
      </w:r>
    </w:p>
    <w:p>
      <w:pPr>
        <w:spacing w:before="0" w:after="160" w:line="302" w:lineRule="auto"/>
        <w:jc w:val="left"/>
      </w:pPr>
      <w:r>
        <w:rPr>
          <w:rFonts w:ascii="Calibri" w:hAnsi="Calibri" w:eastAsia="Calibri"/>
          <w:i w:val="0"/>
          <w:color w:val="26322E"/>
        </w:rPr>
        <w:t>AISHE 2023-24 registered 1,289 universities, 48,246 colleges, and 15,221 standalone institutions—64,756 HEIs in total—with nearly 4.5 crore students and 17.3 lakh teachers. Seventy percent of responding colleges were private unaided, an attractive segment for faster procurement and measurable operating ROI. [5]</w:t>
      </w:r>
    </w:p>
    <w:tbl>
      <w:tblPr>
        <w:tblStyle w:val="TableGrid"/>
        <w:tblW w:type="dxa" w:w="9360"/>
        <w:tblLook w:firstColumn="1" w:firstRow="1" w:lastColumn="0" w:lastRow="0" w:noHBand="0" w:noVBand="1" w:val="04A0"/>
        <w:jc w:val="left"/>
        <w:tblInd w:w="120" w:type="dxa"/>
        <w:tblLayout w:type="fixed"/>
      </w:tblPr>
      <w:tblGrid>
        <w:gridCol w:w="1200"/>
        <w:gridCol w:w="3720"/>
        <w:gridCol w:w="1800"/>
        <w:gridCol w:w="2640"/>
      </w:tblGrid>
      <w:tr>
        <w:trPr>
          <w:tblHeader w:val="true"/>
          <w:cantSplit w:val="true"/>
        </w:trPr>
        <w:tc>
          <w:tcPr>
            <w:tcW w:type="dxa" w:w="12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Layer</w:t>
            </w:r>
          </w:p>
        </w:tc>
        <w:tc>
          <w:tcPr>
            <w:tcW w:type="dxa" w:w="37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Scope assumption</w:t>
            </w:r>
          </w:p>
        </w:tc>
        <w:tc>
          <w:tcPr>
            <w:tcW w:type="dxa" w:w="1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Illustrative ACV</w:t>
            </w:r>
          </w:p>
        </w:tc>
        <w:tc>
          <w:tcPr>
            <w:tcW w:type="dxa" w:w="264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Annual value</w:t>
            </w:r>
          </w:p>
        </w:tc>
      </w:tr>
      <w:tr>
        <w:trPr>
          <w:cantSplit w:val="true"/>
        </w:trPr>
        <w:tc>
          <w:tcPr>
            <w:tcW w:type="dxa" w:w="1200"/>
            <w:vAlign w:val="center"/>
          </w:tcPr>
          <w:p>
            <w:pPr>
              <w:spacing w:after="0" w:line="269" w:lineRule="auto"/>
              <w:jc w:val="left"/>
            </w:pPr>
            <w:r>
              <w:rPr>
                <w:rFonts w:ascii="Calibri" w:hAnsi="Calibri" w:eastAsia="Calibri"/>
                <w:b/>
                <w:color w:val="26322E"/>
                <w:sz w:val="18"/>
              </w:rPr>
              <w:t>TAM</w:t>
            </w:r>
          </w:p>
        </w:tc>
        <w:tc>
          <w:tcPr>
            <w:tcW w:type="dxa" w:w="3720"/>
            <w:vAlign w:val="center"/>
          </w:tcPr>
          <w:p>
            <w:pPr>
              <w:spacing w:after="0" w:line="269" w:lineRule="auto"/>
              <w:jc w:val="left"/>
            </w:pPr>
            <w:r>
              <w:rPr>
                <w:rFonts w:ascii="Calibri" w:hAnsi="Calibri" w:eastAsia="Calibri"/>
                <w:b w:val="0"/>
                <w:color w:val="26322E"/>
                <w:sz w:val="18"/>
              </w:rPr>
              <w:t>64,756 registered Indian HEIs</w:t>
            </w:r>
          </w:p>
        </w:tc>
        <w:tc>
          <w:tcPr>
            <w:tcW w:type="dxa" w:w="1800"/>
            <w:vAlign w:val="center"/>
          </w:tcPr>
          <w:p>
            <w:pPr>
              <w:spacing w:after="0" w:line="269" w:lineRule="auto"/>
              <w:jc w:val="left"/>
            </w:pPr>
            <w:r>
              <w:rPr>
                <w:rFonts w:ascii="Calibri" w:hAnsi="Calibri" w:eastAsia="Calibri"/>
                <w:b w:val="0"/>
                <w:color w:val="26322E"/>
                <w:sz w:val="18"/>
              </w:rPr>
              <w:t>₹6 lakh</w:t>
            </w:r>
          </w:p>
        </w:tc>
        <w:tc>
          <w:tcPr>
            <w:tcW w:type="dxa" w:w="2640"/>
            <w:vAlign w:val="center"/>
          </w:tcPr>
          <w:p>
            <w:pPr>
              <w:spacing w:after="0" w:line="269" w:lineRule="auto"/>
              <w:jc w:val="left"/>
            </w:pPr>
            <w:r>
              <w:rPr>
                <w:rFonts w:ascii="Calibri" w:hAnsi="Calibri" w:eastAsia="Calibri"/>
                <w:b w:val="0"/>
                <w:color w:val="26322E"/>
                <w:sz w:val="18"/>
              </w:rPr>
              <w:t>₹3,885 crore</w:t>
            </w:r>
          </w:p>
        </w:tc>
      </w:tr>
      <w:tr>
        <w:trPr>
          <w:cantSplit w:val="true"/>
        </w:trPr>
        <w:tc>
          <w:tcPr>
            <w:tcW w:type="dxa" w:w="1200"/>
            <w:shd w:fill="F3F5F4" w:val="clear"/>
            <w:vAlign w:val="center"/>
          </w:tcPr>
          <w:p>
            <w:pPr>
              <w:spacing w:after="0" w:line="269" w:lineRule="auto"/>
              <w:jc w:val="left"/>
            </w:pPr>
            <w:r>
              <w:rPr>
                <w:rFonts w:ascii="Calibri" w:hAnsi="Calibri" w:eastAsia="Calibri"/>
                <w:b/>
                <w:color w:val="26322E"/>
                <w:sz w:val="18"/>
              </w:rPr>
              <w:t>SAM</w:t>
            </w:r>
          </w:p>
        </w:tc>
        <w:tc>
          <w:tcPr>
            <w:tcW w:type="dxa" w:w="3720"/>
            <w:shd w:fill="F3F5F4" w:val="clear"/>
            <w:vAlign w:val="center"/>
          </w:tcPr>
          <w:p>
            <w:pPr>
              <w:spacing w:after="0" w:line="269" w:lineRule="auto"/>
              <w:jc w:val="left"/>
            </w:pPr>
            <w:r>
              <w:rPr>
                <w:rFonts w:ascii="Calibri" w:hAnsi="Calibri" w:eastAsia="Calibri"/>
                <w:b w:val="0"/>
                <w:color w:val="26322E"/>
                <w:sz w:val="18"/>
              </w:rPr>
              <w:t>20,000 priority private/autonomous/technical institutions</w:t>
            </w:r>
          </w:p>
        </w:tc>
        <w:tc>
          <w:tcPr>
            <w:tcW w:type="dxa" w:w="1800"/>
            <w:shd w:fill="F3F5F4" w:val="clear"/>
            <w:vAlign w:val="center"/>
          </w:tcPr>
          <w:p>
            <w:pPr>
              <w:spacing w:after="0" w:line="269" w:lineRule="auto"/>
              <w:jc w:val="left"/>
            </w:pPr>
            <w:r>
              <w:rPr>
                <w:rFonts w:ascii="Calibri" w:hAnsi="Calibri" w:eastAsia="Calibri"/>
                <w:b w:val="0"/>
                <w:color w:val="26322E"/>
                <w:sz w:val="18"/>
              </w:rPr>
              <w:t>₹6 lakh</w:t>
            </w:r>
          </w:p>
        </w:tc>
        <w:tc>
          <w:tcPr>
            <w:tcW w:type="dxa" w:w="2640"/>
            <w:shd w:fill="F3F5F4" w:val="clear"/>
            <w:vAlign w:val="center"/>
          </w:tcPr>
          <w:p>
            <w:pPr>
              <w:spacing w:after="0" w:line="269" w:lineRule="auto"/>
              <w:jc w:val="left"/>
            </w:pPr>
            <w:r>
              <w:rPr>
                <w:rFonts w:ascii="Calibri" w:hAnsi="Calibri" w:eastAsia="Calibri"/>
                <w:b w:val="0"/>
                <w:color w:val="26322E"/>
                <w:sz w:val="18"/>
              </w:rPr>
              <w:t>₹1,200 crore</w:t>
            </w:r>
          </w:p>
        </w:tc>
      </w:tr>
      <w:tr>
        <w:trPr>
          <w:cantSplit w:val="true"/>
        </w:trPr>
        <w:tc>
          <w:tcPr>
            <w:tcW w:type="dxa" w:w="1200"/>
            <w:vAlign w:val="center"/>
          </w:tcPr>
          <w:p>
            <w:pPr>
              <w:spacing w:after="0" w:line="269" w:lineRule="auto"/>
              <w:jc w:val="left"/>
            </w:pPr>
            <w:r>
              <w:rPr>
                <w:rFonts w:ascii="Calibri" w:hAnsi="Calibri" w:eastAsia="Calibri"/>
                <w:b/>
                <w:color w:val="26322E"/>
                <w:sz w:val="18"/>
              </w:rPr>
              <w:t>4-year SOM</w:t>
            </w:r>
          </w:p>
        </w:tc>
        <w:tc>
          <w:tcPr>
            <w:tcW w:type="dxa" w:w="3720"/>
            <w:vAlign w:val="center"/>
          </w:tcPr>
          <w:p>
            <w:pPr>
              <w:spacing w:after="0" w:line="269" w:lineRule="auto"/>
              <w:jc w:val="left"/>
            </w:pPr>
            <w:r>
              <w:rPr>
                <w:rFonts w:ascii="Calibri" w:hAnsi="Calibri" w:eastAsia="Calibri"/>
                <w:b w:val="0"/>
                <w:color w:val="26322E"/>
                <w:sz w:val="18"/>
              </w:rPr>
              <w:t>450 contracted institutions</w:t>
            </w:r>
          </w:p>
        </w:tc>
        <w:tc>
          <w:tcPr>
            <w:tcW w:type="dxa" w:w="1800"/>
            <w:vAlign w:val="center"/>
          </w:tcPr>
          <w:p>
            <w:pPr>
              <w:spacing w:after="0" w:line="269" w:lineRule="auto"/>
              <w:jc w:val="left"/>
            </w:pPr>
            <w:r>
              <w:rPr>
                <w:rFonts w:ascii="Calibri" w:hAnsi="Calibri" w:eastAsia="Calibri"/>
                <w:b w:val="0"/>
                <w:color w:val="26322E"/>
                <w:sz w:val="18"/>
              </w:rPr>
              <w:t>₹8 lakh</w:t>
            </w:r>
          </w:p>
        </w:tc>
        <w:tc>
          <w:tcPr>
            <w:tcW w:type="dxa" w:w="2640"/>
            <w:vAlign w:val="center"/>
          </w:tcPr>
          <w:p>
            <w:pPr>
              <w:spacing w:after="0" w:line="269" w:lineRule="auto"/>
              <w:jc w:val="left"/>
            </w:pPr>
            <w:r>
              <w:rPr>
                <w:rFonts w:ascii="Calibri" w:hAnsi="Calibri" w:eastAsia="Calibri"/>
                <w:b w:val="0"/>
                <w:color w:val="26322E"/>
                <w:sz w:val="18"/>
              </w:rPr>
              <w:t>₹36 crore ACV</w:t>
            </w:r>
          </w:p>
        </w:tc>
      </w:tr>
    </w:tbl>
    <w:p>
      <w:pPr>
        <w:spacing w:after="40"/>
      </w:pPr>
    </w:p>
    <w:p>
      <w:pPr>
        <w:spacing w:before="80" w:after="80" w:line="240" w:lineRule="auto"/>
      </w:pPr>
      <w:r>
        <w:rPr>
          <w:rFonts w:ascii="Calibri" w:hAnsi="Calibri" w:eastAsia="Calibri"/>
          <w:i/>
          <w:color w:val="78857F"/>
          <w:sz w:val="16"/>
        </w:rPr>
        <w:t>Bottom-up management sizing, not a third-party market forecast. TAM/SAM use an illustrative blended annual contract value; SOM is an execution target. Recognized FY30 revenue is lower than exit ACV because customers ramp through the year.</w:t>
      </w:r>
    </w:p>
    <w:p>
      <w:pPr>
        <w:pStyle w:val="Heading2"/>
      </w:pPr>
      <w:r>
        <w:t>Beachhead customer profile</w:t>
      </w:r>
    </w:p>
    <w:p>
      <w:pPr>
        <w:numPr>
          <w:ilvl w:val="0"/>
          <w:numId w:val="10"/>
        </w:numPr>
        <w:spacing w:after="80" w:line="290" w:lineRule="auto"/>
      </w:pPr>
      <w:r>
        <w:rPr>
          <w:rFonts w:ascii="Calibri" w:hAnsi="Calibri" w:eastAsia="Calibri"/>
          <w:color w:val="26322E"/>
        </w:rPr>
        <w:t>Private and autonomous universities or colleges with 1,000–10,000 students.</w:t>
      </w:r>
    </w:p>
    <w:p>
      <w:pPr>
        <w:numPr>
          <w:ilvl w:val="0"/>
          <w:numId w:val="10"/>
        </w:numPr>
        <w:spacing w:after="80" w:line="290" w:lineRule="auto"/>
      </w:pPr>
      <w:r>
        <w:rPr>
          <w:rFonts w:ascii="Calibri" w:hAnsi="Calibri" w:eastAsia="Calibri"/>
          <w:color w:val="26322E"/>
        </w:rPr>
        <w:t>Engineering, management, science, and professional programs with frequent descriptive assessments.</w:t>
      </w:r>
    </w:p>
    <w:p>
      <w:pPr>
        <w:numPr>
          <w:ilvl w:val="0"/>
          <w:numId w:val="10"/>
        </w:numPr>
        <w:spacing w:after="80" w:line="290" w:lineRule="auto"/>
      </w:pPr>
      <w:r>
        <w:rPr>
          <w:rFonts w:ascii="Calibri" w:hAnsi="Calibri" w:eastAsia="Calibri"/>
          <w:color w:val="26322E"/>
        </w:rPr>
        <w:t>A Controller of Examinations, Dean, HOD, or quality/accreditation owner with a visible result-turnaround problem.</w:t>
      </w:r>
    </w:p>
    <w:p>
      <w:pPr>
        <w:numPr>
          <w:ilvl w:val="0"/>
          <w:numId w:val="10"/>
        </w:numPr>
        <w:spacing w:after="80" w:line="290" w:lineRule="auto"/>
      </w:pPr>
      <w:r>
        <w:rPr>
          <w:rFonts w:ascii="Calibri" w:hAnsi="Calibri" w:eastAsia="Calibri"/>
          <w:color w:val="26322E"/>
        </w:rPr>
        <w:t>Existing scanning capability or willingness to adopt a standardized scan workflow.</w:t>
      </w:r>
    </w:p>
    <w:p>
      <w:pPr>
        <w:numPr>
          <w:ilvl w:val="0"/>
          <w:numId w:val="10"/>
        </w:numPr>
        <w:spacing w:after="80" w:line="290" w:lineRule="auto"/>
      </w:pPr>
      <w:r>
        <w:rPr>
          <w:rFonts w:ascii="Calibri" w:hAnsi="Calibri" w:eastAsia="Calibri"/>
          <w:color w:val="26322E"/>
        </w:rPr>
        <w:t>A department prepared to run a faculty-reviewed pilot on 100–500 scripts.</w:t>
      </w:r>
    </w:p>
    <w:p>
      <w:pPr>
        <w:pStyle w:val="Heading2"/>
      </w:pPr>
      <w:r>
        <w:t>Timing signal</w:t>
      </w:r>
    </w:p>
    <w:p>
      <w:pPr>
        <w:spacing w:before="0" w:after="160" w:line="302" w:lineRule="auto"/>
        <w:jc w:val="left"/>
      </w:pPr>
      <w:r>
        <w:rPr>
          <w:rFonts w:ascii="Calibri" w:hAnsi="Calibri" w:eastAsia="Calibri"/>
          <w:i w:val="0"/>
          <w:color w:val="26322E"/>
        </w:rPr>
        <w:t>The 2025 FICCI-EY-Parthenon survey of 30 Indian HEIs found that 57% had an institutional AI policy and another 40% were developing one; 38% cited automated grading among academic applications. The same research calls for phased adoption and highlights fairness, transparency, accountability, and data protection. That combination favors a pilot-first vendor with strong governance rather than a generic AI tool. [6]</w:t>
      </w:r>
    </w:p>
    <w:p>
      <w:pPr>
        <w:keepNext/>
        <w:spacing w:before="0" w:after="120"/>
      </w:pPr>
      <w:r>
        <w:rPr>
          <w:rFonts w:ascii="Calibri" w:hAnsi="Calibri" w:eastAsia="Calibri"/>
          <w:b/>
          <w:color w:val="BF9B30"/>
          <w:sz w:val="17"/>
        </w:rPr>
        <w:t>SECTION 07</w:t>
      </w:r>
    </w:p>
    <w:p>
      <w:pPr>
        <w:pStyle w:val="Heading1"/>
      </w:pPr>
      <w:r>
        <w:t>Go-to-Market Strategy</w:t>
      </w:r>
    </w:p>
    <w:p>
      <w:pPr>
        <w:spacing w:after="200"/>
      </w:pPr>
      <w:r>
        <w:rPr>
          <w:rFonts w:ascii="Calibri" w:hAnsi="Calibri" w:eastAsia="Calibri"/>
          <w:i/>
          <w:color w:val="5F6E67"/>
          <w:sz w:val="23"/>
        </w:rPr>
        <w:t>A reference-led institutional motion with productized pilots</w:t>
      </w:r>
    </w:p>
    <w:tbl>
      <w:tblPr>
        <w:tblStyle w:val="TableGrid"/>
        <w:tblW w:type="dxa" w:w="9360"/>
        <w:tblLook w:firstColumn="1" w:firstRow="1" w:lastColumn="0" w:lastRow="0" w:noHBand="0" w:noVBand="1" w:val="04A0"/>
        <w:jc w:val="left"/>
        <w:tblInd w:w="120" w:type="dxa"/>
        <w:tblLayout w:type="fixed"/>
      </w:tblPr>
      <w:tblGrid>
        <w:gridCol w:w="1200"/>
        <w:gridCol w:w="2800"/>
        <w:gridCol w:w="1900"/>
        <w:gridCol w:w="3460"/>
      </w:tblGrid>
      <w:tr>
        <w:trPr>
          <w:tblHeader w:val="true"/>
          <w:cantSplit w:val="true"/>
        </w:trPr>
        <w:tc>
          <w:tcPr>
            <w:tcW w:type="dxa" w:w="12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Stage</w:t>
            </w:r>
          </w:p>
        </w:tc>
        <w:tc>
          <w:tcPr>
            <w:tcW w:type="dxa" w:w="2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Offer</w:t>
            </w:r>
          </w:p>
        </w:tc>
        <w:tc>
          <w:tcPr>
            <w:tcW w:type="dxa" w:w="19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Decision owner</w:t>
            </w:r>
          </w:p>
        </w:tc>
        <w:tc>
          <w:tcPr>
            <w:tcW w:type="dxa" w:w="34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Target evidence</w:t>
            </w:r>
          </w:p>
        </w:tc>
      </w:tr>
      <w:tr>
        <w:trPr>
          <w:cantSplit w:val="true"/>
        </w:trPr>
        <w:tc>
          <w:tcPr>
            <w:tcW w:type="dxa" w:w="1200"/>
            <w:vAlign w:val="center"/>
          </w:tcPr>
          <w:p>
            <w:pPr>
              <w:spacing w:after="0" w:line="269" w:lineRule="auto"/>
              <w:jc w:val="left"/>
            </w:pPr>
            <w:r>
              <w:rPr>
                <w:rFonts w:ascii="Calibri" w:hAnsi="Calibri" w:eastAsia="Calibri"/>
                <w:b/>
                <w:color w:val="26322E"/>
                <w:sz w:val="17"/>
              </w:rPr>
              <w:t>1. Diagnose</w:t>
            </w:r>
          </w:p>
        </w:tc>
        <w:tc>
          <w:tcPr>
            <w:tcW w:type="dxa" w:w="2800"/>
            <w:vAlign w:val="center"/>
          </w:tcPr>
          <w:p>
            <w:pPr>
              <w:spacing w:after="0" w:line="269" w:lineRule="auto"/>
              <w:jc w:val="left"/>
            </w:pPr>
            <w:r>
              <w:rPr>
                <w:rFonts w:ascii="Calibri" w:hAnsi="Calibri" w:eastAsia="Calibri"/>
                <w:b w:val="0"/>
                <w:color w:val="26322E"/>
                <w:sz w:val="17"/>
              </w:rPr>
              <w:t>Exam workflow assessment + live demo</w:t>
            </w:r>
          </w:p>
        </w:tc>
        <w:tc>
          <w:tcPr>
            <w:tcW w:type="dxa" w:w="1900"/>
            <w:vAlign w:val="center"/>
          </w:tcPr>
          <w:p>
            <w:pPr>
              <w:spacing w:after="0" w:line="269" w:lineRule="auto"/>
              <w:jc w:val="left"/>
            </w:pPr>
            <w:r>
              <w:rPr>
                <w:rFonts w:ascii="Calibri" w:hAnsi="Calibri" w:eastAsia="Calibri"/>
                <w:b w:val="0"/>
                <w:color w:val="26322E"/>
                <w:sz w:val="17"/>
              </w:rPr>
              <w:t>HOD / Dean / COE</w:t>
            </w:r>
          </w:p>
        </w:tc>
        <w:tc>
          <w:tcPr>
            <w:tcW w:type="dxa" w:w="3460"/>
            <w:vAlign w:val="center"/>
          </w:tcPr>
          <w:p>
            <w:pPr>
              <w:spacing w:after="0" w:line="269" w:lineRule="auto"/>
              <w:jc w:val="left"/>
            </w:pPr>
            <w:r>
              <w:rPr>
                <w:rFonts w:ascii="Calibri" w:hAnsi="Calibri" w:eastAsia="Calibri"/>
                <w:b w:val="0"/>
                <w:color w:val="26322E"/>
                <w:sz w:val="17"/>
              </w:rPr>
              <w:t>Qualified pain, volume, budget, timeline</w:t>
            </w:r>
          </w:p>
        </w:tc>
      </w:tr>
      <w:tr>
        <w:trPr>
          <w:cantSplit w:val="true"/>
        </w:trPr>
        <w:tc>
          <w:tcPr>
            <w:tcW w:type="dxa" w:w="1200"/>
            <w:shd w:fill="F3F5F4" w:val="clear"/>
            <w:vAlign w:val="center"/>
          </w:tcPr>
          <w:p>
            <w:pPr>
              <w:spacing w:after="0" w:line="269" w:lineRule="auto"/>
              <w:jc w:val="left"/>
            </w:pPr>
            <w:r>
              <w:rPr>
                <w:rFonts w:ascii="Calibri" w:hAnsi="Calibri" w:eastAsia="Calibri"/>
                <w:b/>
                <w:color w:val="26322E"/>
                <w:sz w:val="17"/>
              </w:rPr>
              <w:t>2. Pilot</w:t>
            </w:r>
          </w:p>
        </w:tc>
        <w:tc>
          <w:tcPr>
            <w:tcW w:type="dxa" w:w="2800"/>
            <w:shd w:fill="F3F5F4" w:val="clear"/>
            <w:vAlign w:val="center"/>
          </w:tcPr>
          <w:p>
            <w:pPr>
              <w:spacing w:after="0" w:line="269" w:lineRule="auto"/>
              <w:jc w:val="left"/>
            </w:pPr>
            <w:r>
              <w:rPr>
                <w:rFonts w:ascii="Calibri" w:hAnsi="Calibri" w:eastAsia="Calibri"/>
                <w:b w:val="0"/>
                <w:color w:val="26322E"/>
                <w:sz w:val="17"/>
              </w:rPr>
              <w:t>1 department; 1 paper; 100–500 scripts</w:t>
            </w:r>
          </w:p>
        </w:tc>
        <w:tc>
          <w:tcPr>
            <w:tcW w:type="dxa" w:w="1900"/>
            <w:shd w:fill="F3F5F4" w:val="clear"/>
            <w:vAlign w:val="center"/>
          </w:tcPr>
          <w:p>
            <w:pPr>
              <w:spacing w:after="0" w:line="269" w:lineRule="auto"/>
              <w:jc w:val="left"/>
            </w:pPr>
            <w:r>
              <w:rPr>
                <w:rFonts w:ascii="Calibri" w:hAnsi="Calibri" w:eastAsia="Calibri"/>
                <w:b w:val="0"/>
                <w:color w:val="26322E"/>
                <w:sz w:val="17"/>
              </w:rPr>
              <w:t>Faculty champion + evaluator</w:t>
            </w:r>
          </w:p>
        </w:tc>
        <w:tc>
          <w:tcPr>
            <w:tcW w:type="dxa" w:w="3460"/>
            <w:shd w:fill="F3F5F4" w:val="clear"/>
            <w:vAlign w:val="center"/>
          </w:tcPr>
          <w:p>
            <w:pPr>
              <w:spacing w:after="0" w:line="269" w:lineRule="auto"/>
              <w:jc w:val="left"/>
            </w:pPr>
            <w:r>
              <w:rPr>
                <w:rFonts w:ascii="Calibri" w:hAnsi="Calibri" w:eastAsia="Calibri"/>
                <w:b w:val="0"/>
                <w:color w:val="26322E"/>
                <w:sz w:val="17"/>
              </w:rPr>
              <w:t>Accuracy, review time, turnaround, ROI</w:t>
            </w:r>
          </w:p>
        </w:tc>
      </w:tr>
      <w:tr>
        <w:trPr>
          <w:cantSplit w:val="true"/>
        </w:trPr>
        <w:tc>
          <w:tcPr>
            <w:tcW w:type="dxa" w:w="1200"/>
            <w:vAlign w:val="center"/>
          </w:tcPr>
          <w:p>
            <w:pPr>
              <w:spacing w:after="0" w:line="269" w:lineRule="auto"/>
              <w:jc w:val="left"/>
            </w:pPr>
            <w:r>
              <w:rPr>
                <w:rFonts w:ascii="Calibri" w:hAnsi="Calibri" w:eastAsia="Calibri"/>
                <w:b/>
                <w:color w:val="26322E"/>
                <w:sz w:val="17"/>
              </w:rPr>
              <w:t>3. Convert</w:t>
            </w:r>
          </w:p>
        </w:tc>
        <w:tc>
          <w:tcPr>
            <w:tcW w:type="dxa" w:w="2800"/>
            <w:vAlign w:val="center"/>
          </w:tcPr>
          <w:p>
            <w:pPr>
              <w:spacing w:after="0" w:line="269" w:lineRule="auto"/>
              <w:jc w:val="left"/>
            </w:pPr>
            <w:r>
              <w:rPr>
                <w:rFonts w:ascii="Calibri" w:hAnsi="Calibri" w:eastAsia="Calibri"/>
                <w:b w:val="0"/>
                <w:color w:val="26322E"/>
                <w:sz w:val="17"/>
              </w:rPr>
              <w:t>Annual department commitment</w:t>
            </w:r>
          </w:p>
        </w:tc>
        <w:tc>
          <w:tcPr>
            <w:tcW w:type="dxa" w:w="1900"/>
            <w:vAlign w:val="center"/>
          </w:tcPr>
          <w:p>
            <w:pPr>
              <w:spacing w:after="0" w:line="269" w:lineRule="auto"/>
              <w:jc w:val="left"/>
            </w:pPr>
            <w:r>
              <w:rPr>
                <w:rFonts w:ascii="Calibri" w:hAnsi="Calibri" w:eastAsia="Calibri"/>
                <w:b w:val="0"/>
                <w:color w:val="26322E"/>
                <w:sz w:val="17"/>
              </w:rPr>
              <w:t>Dean / procurement</w:t>
            </w:r>
          </w:p>
        </w:tc>
        <w:tc>
          <w:tcPr>
            <w:tcW w:type="dxa" w:w="3460"/>
            <w:vAlign w:val="center"/>
          </w:tcPr>
          <w:p>
            <w:pPr>
              <w:spacing w:after="0" w:line="269" w:lineRule="auto"/>
              <w:jc w:val="left"/>
            </w:pPr>
            <w:r>
              <w:rPr>
                <w:rFonts w:ascii="Calibri" w:hAnsi="Calibri" w:eastAsia="Calibri"/>
                <w:b w:val="0"/>
                <w:color w:val="26322E"/>
                <w:sz w:val="17"/>
              </w:rPr>
              <w:t>Paid contract and recurring calendar</w:t>
            </w:r>
          </w:p>
        </w:tc>
      </w:tr>
      <w:tr>
        <w:trPr>
          <w:cantSplit w:val="true"/>
        </w:trPr>
        <w:tc>
          <w:tcPr>
            <w:tcW w:type="dxa" w:w="1200"/>
            <w:shd w:fill="F3F5F4" w:val="clear"/>
            <w:vAlign w:val="center"/>
          </w:tcPr>
          <w:p>
            <w:pPr>
              <w:spacing w:after="0" w:line="269" w:lineRule="auto"/>
              <w:jc w:val="left"/>
            </w:pPr>
            <w:r>
              <w:rPr>
                <w:rFonts w:ascii="Calibri" w:hAnsi="Calibri" w:eastAsia="Calibri"/>
                <w:b/>
                <w:color w:val="26322E"/>
                <w:sz w:val="17"/>
              </w:rPr>
              <w:t>4. Expand</w:t>
            </w:r>
          </w:p>
        </w:tc>
        <w:tc>
          <w:tcPr>
            <w:tcW w:type="dxa" w:w="2800"/>
            <w:shd w:fill="F3F5F4" w:val="clear"/>
            <w:vAlign w:val="center"/>
          </w:tcPr>
          <w:p>
            <w:pPr>
              <w:spacing w:after="0" w:line="269" w:lineRule="auto"/>
              <w:jc w:val="left"/>
            </w:pPr>
            <w:r>
              <w:rPr>
                <w:rFonts w:ascii="Calibri" w:hAnsi="Calibri" w:eastAsia="Calibri"/>
                <w:b w:val="0"/>
                <w:color w:val="26322E"/>
                <w:sz w:val="17"/>
              </w:rPr>
              <w:t>More departments + modules + integrations</w:t>
            </w:r>
          </w:p>
        </w:tc>
        <w:tc>
          <w:tcPr>
            <w:tcW w:type="dxa" w:w="1900"/>
            <w:shd w:fill="F3F5F4" w:val="clear"/>
            <w:vAlign w:val="center"/>
          </w:tcPr>
          <w:p>
            <w:pPr>
              <w:spacing w:after="0" w:line="269" w:lineRule="auto"/>
              <w:jc w:val="left"/>
            </w:pPr>
            <w:r>
              <w:rPr>
                <w:rFonts w:ascii="Calibri" w:hAnsi="Calibri" w:eastAsia="Calibri"/>
                <w:b w:val="0"/>
                <w:color w:val="26322E"/>
                <w:sz w:val="17"/>
              </w:rPr>
              <w:t>COE / CIO / academic leadership</w:t>
            </w:r>
          </w:p>
        </w:tc>
        <w:tc>
          <w:tcPr>
            <w:tcW w:type="dxa" w:w="3460"/>
            <w:shd w:fill="F3F5F4" w:val="clear"/>
            <w:vAlign w:val="center"/>
          </w:tcPr>
          <w:p>
            <w:pPr>
              <w:spacing w:after="0" w:line="269" w:lineRule="auto"/>
              <w:jc w:val="left"/>
            </w:pPr>
            <w:r>
              <w:rPr>
                <w:rFonts w:ascii="Calibri" w:hAnsi="Calibri" w:eastAsia="Calibri"/>
                <w:b w:val="0"/>
                <w:color w:val="26322E"/>
                <w:sz w:val="17"/>
              </w:rPr>
              <w:t>Higher ACV and multi-threaded use</w:t>
            </w:r>
          </w:p>
        </w:tc>
      </w:tr>
      <w:tr>
        <w:trPr>
          <w:cantSplit w:val="true"/>
        </w:trPr>
        <w:tc>
          <w:tcPr>
            <w:tcW w:type="dxa" w:w="1200"/>
            <w:vAlign w:val="center"/>
          </w:tcPr>
          <w:p>
            <w:pPr>
              <w:spacing w:after="0" w:line="269" w:lineRule="auto"/>
              <w:jc w:val="left"/>
            </w:pPr>
            <w:r>
              <w:rPr>
                <w:rFonts w:ascii="Calibri" w:hAnsi="Calibri" w:eastAsia="Calibri"/>
                <w:b/>
                <w:color w:val="26322E"/>
                <w:sz w:val="17"/>
              </w:rPr>
              <w:t>5. Reference</w:t>
            </w:r>
          </w:p>
        </w:tc>
        <w:tc>
          <w:tcPr>
            <w:tcW w:type="dxa" w:w="2800"/>
            <w:vAlign w:val="center"/>
          </w:tcPr>
          <w:p>
            <w:pPr>
              <w:spacing w:after="0" w:line="269" w:lineRule="auto"/>
              <w:jc w:val="left"/>
            </w:pPr>
            <w:r>
              <w:rPr>
                <w:rFonts w:ascii="Calibri" w:hAnsi="Calibri" w:eastAsia="Calibri"/>
                <w:b w:val="0"/>
                <w:color w:val="26322E"/>
                <w:sz w:val="17"/>
              </w:rPr>
              <w:t>Case study + peer introduction</w:t>
            </w:r>
          </w:p>
        </w:tc>
        <w:tc>
          <w:tcPr>
            <w:tcW w:type="dxa" w:w="1900"/>
            <w:vAlign w:val="center"/>
          </w:tcPr>
          <w:p>
            <w:pPr>
              <w:spacing w:after="0" w:line="269" w:lineRule="auto"/>
              <w:jc w:val="left"/>
            </w:pPr>
            <w:r>
              <w:rPr>
                <w:rFonts w:ascii="Calibri" w:hAnsi="Calibri" w:eastAsia="Calibri"/>
                <w:b w:val="0"/>
                <w:color w:val="26322E"/>
                <w:sz w:val="17"/>
              </w:rPr>
              <w:t>Institution sponsor</w:t>
            </w:r>
          </w:p>
        </w:tc>
        <w:tc>
          <w:tcPr>
            <w:tcW w:type="dxa" w:w="3460"/>
            <w:vAlign w:val="center"/>
          </w:tcPr>
          <w:p>
            <w:pPr>
              <w:spacing w:after="0" w:line="269" w:lineRule="auto"/>
              <w:jc w:val="left"/>
            </w:pPr>
            <w:r>
              <w:rPr>
                <w:rFonts w:ascii="Calibri" w:hAnsi="Calibri" w:eastAsia="Calibri"/>
                <w:b w:val="0"/>
                <w:color w:val="26322E"/>
                <w:sz w:val="17"/>
              </w:rPr>
              <w:t>Lower CAC and regional trust</w:t>
            </w:r>
          </w:p>
        </w:tc>
      </w:tr>
    </w:tbl>
    <w:p>
      <w:pPr>
        <w:spacing w:after="40"/>
      </w:pPr>
    </w:p>
    <w:p>
      <w:pPr>
        <w:pStyle w:val="Heading2"/>
      </w:pPr>
      <w:r>
        <w:t>Channel priorities</w:t>
      </w:r>
    </w:p>
    <w:p>
      <w:pPr>
        <w:numPr>
          <w:ilvl w:val="0"/>
          <w:numId w:val="10"/>
        </w:numPr>
        <w:spacing w:after="80" w:line="290" w:lineRule="auto"/>
      </w:pPr>
      <w:r>
        <w:rPr>
          <w:rFonts w:ascii="Calibri" w:hAnsi="Calibri" w:eastAsia="Calibri"/>
          <w:color w:val="26322E"/>
        </w:rPr>
        <w:t>Founder-led direct sales for the first 25–30 institutions to refine the playbook.</w:t>
      </w:r>
    </w:p>
    <w:p>
      <w:pPr>
        <w:numPr>
          <w:ilvl w:val="0"/>
          <w:numId w:val="10"/>
        </w:numPr>
        <w:spacing w:after="80" w:line="290" w:lineRule="auto"/>
      </w:pPr>
      <w:r>
        <w:rPr>
          <w:rFonts w:ascii="Calibri" w:hAnsi="Calibri" w:eastAsia="Calibri"/>
          <w:color w:val="26322E"/>
        </w:rPr>
        <w:t>Regional academic networks, incubators, and educator champions for references.</w:t>
      </w:r>
    </w:p>
    <w:p>
      <w:pPr>
        <w:numPr>
          <w:ilvl w:val="0"/>
          <w:numId w:val="10"/>
        </w:numPr>
        <w:spacing w:after="80" w:line="290" w:lineRule="auto"/>
      </w:pPr>
      <w:r>
        <w:rPr>
          <w:rFonts w:ascii="Calibri" w:hAnsi="Calibri" w:eastAsia="Calibri"/>
          <w:color w:val="26322E"/>
        </w:rPr>
        <w:t>Scanner/document-digitization partners that already serve exam cells.</w:t>
      </w:r>
    </w:p>
    <w:p>
      <w:pPr>
        <w:numPr>
          <w:ilvl w:val="0"/>
          <w:numId w:val="10"/>
        </w:numPr>
        <w:spacing w:after="80" w:line="290" w:lineRule="auto"/>
      </w:pPr>
      <w:r>
        <w:rPr>
          <w:rFonts w:ascii="Calibri" w:hAnsi="Calibri" w:eastAsia="Calibri"/>
          <w:color w:val="26322E"/>
        </w:rPr>
        <w:t>ERP/LMS and accreditation consultants as implementation and referral partners.</w:t>
      </w:r>
    </w:p>
    <w:p>
      <w:pPr>
        <w:numPr>
          <w:ilvl w:val="0"/>
          <w:numId w:val="10"/>
        </w:numPr>
        <w:spacing w:after="80" w:line="290" w:lineRule="auto"/>
      </w:pPr>
      <w:r>
        <w:rPr>
          <w:rFonts w:ascii="Calibri" w:hAnsi="Calibri" w:eastAsia="Calibri"/>
          <w:color w:val="26322E"/>
        </w:rPr>
        <w:t>Selective coaching-institute and school pilots only where the same workflow and unit economics apply.</w:t>
      </w:r>
    </w:p>
    <w:p>
      <w:pPr>
        <w:pStyle w:val="Heading2"/>
      </w:pPr>
      <w:r>
        <w:t>Operating funnel targets</w:t>
      </w:r>
    </w:p>
    <w:tbl>
      <w:tblPr>
        <w:tblStyle w:val="TableGrid"/>
        <w:tblW w:type="dxa" w:w="9360"/>
        <w:tblLook w:firstColumn="1" w:firstRow="1" w:lastColumn="0" w:lastRow="0" w:noHBand="0" w:noVBand="1" w:val="04A0"/>
        <w:jc w:val="left"/>
        <w:tblInd w:w="120" w:type="dxa"/>
        <w:tblLayout w:type="fixed"/>
      </w:tblPr>
      <w:tblGrid>
        <w:gridCol w:w="2500"/>
        <w:gridCol w:w="1800"/>
        <w:gridCol w:w="5060"/>
      </w:tblGrid>
      <w:tr>
        <w:trPr>
          <w:tblHeader w:val="true"/>
          <w:cantSplit w:val="true"/>
        </w:trPr>
        <w:tc>
          <w:tcPr>
            <w:tcW w:type="dxa" w:w="25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KPI</w:t>
            </w:r>
          </w:p>
        </w:tc>
        <w:tc>
          <w:tcPr>
            <w:tcW w:type="dxa" w:w="1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Initial target</w:t>
            </w:r>
          </w:p>
        </w:tc>
        <w:tc>
          <w:tcPr>
            <w:tcW w:type="dxa" w:w="50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Why it matters</w:t>
            </w:r>
          </w:p>
        </w:tc>
      </w:tr>
      <w:tr>
        <w:trPr>
          <w:cantSplit w:val="true"/>
        </w:trPr>
        <w:tc>
          <w:tcPr>
            <w:tcW w:type="dxa" w:w="2500"/>
            <w:vAlign w:val="center"/>
          </w:tcPr>
          <w:p>
            <w:pPr>
              <w:spacing w:after="0" w:line="269" w:lineRule="auto"/>
              <w:jc w:val="left"/>
            </w:pPr>
            <w:r>
              <w:rPr>
                <w:rFonts w:ascii="Calibri" w:hAnsi="Calibri" w:eastAsia="Calibri"/>
                <w:b/>
                <w:color w:val="26322E"/>
                <w:sz w:val="17"/>
              </w:rPr>
              <w:t>Qualified demo → pilot</w:t>
            </w:r>
          </w:p>
        </w:tc>
        <w:tc>
          <w:tcPr>
            <w:tcW w:type="dxa" w:w="1800"/>
            <w:vAlign w:val="center"/>
          </w:tcPr>
          <w:p>
            <w:pPr>
              <w:spacing w:after="0" w:line="269" w:lineRule="auto"/>
              <w:jc w:val="left"/>
            </w:pPr>
            <w:r>
              <w:rPr>
                <w:rFonts w:ascii="Calibri" w:hAnsi="Calibri" w:eastAsia="Calibri"/>
                <w:b w:val="0"/>
                <w:color w:val="26322E"/>
                <w:sz w:val="17"/>
              </w:rPr>
              <w:t>&gt;35%</w:t>
            </w:r>
          </w:p>
        </w:tc>
        <w:tc>
          <w:tcPr>
            <w:tcW w:type="dxa" w:w="5060"/>
            <w:vAlign w:val="center"/>
          </w:tcPr>
          <w:p>
            <w:pPr>
              <w:spacing w:after="0" w:line="269" w:lineRule="auto"/>
              <w:jc w:val="left"/>
            </w:pPr>
            <w:r>
              <w:rPr>
                <w:rFonts w:ascii="Calibri" w:hAnsi="Calibri" w:eastAsia="Calibri"/>
                <w:b w:val="0"/>
                <w:color w:val="26322E"/>
                <w:sz w:val="17"/>
              </w:rPr>
              <w:t>Indicates the pain and product promise are real</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Pilot → paid annual</w:t>
            </w:r>
          </w:p>
        </w:tc>
        <w:tc>
          <w:tcPr>
            <w:tcW w:type="dxa" w:w="1800"/>
            <w:shd w:fill="F3F5F4" w:val="clear"/>
            <w:vAlign w:val="center"/>
          </w:tcPr>
          <w:p>
            <w:pPr>
              <w:spacing w:after="0" w:line="269" w:lineRule="auto"/>
              <w:jc w:val="left"/>
            </w:pPr>
            <w:r>
              <w:rPr>
                <w:rFonts w:ascii="Calibri" w:hAnsi="Calibri" w:eastAsia="Calibri"/>
                <w:b w:val="0"/>
                <w:color w:val="26322E"/>
                <w:sz w:val="17"/>
              </w:rPr>
              <w:t>&gt;40%</w:t>
            </w:r>
          </w:p>
        </w:tc>
        <w:tc>
          <w:tcPr>
            <w:tcW w:type="dxa" w:w="5060"/>
            <w:shd w:fill="F3F5F4" w:val="clear"/>
            <w:vAlign w:val="center"/>
          </w:tcPr>
          <w:p>
            <w:pPr>
              <w:spacing w:after="0" w:line="269" w:lineRule="auto"/>
              <w:jc w:val="left"/>
            </w:pPr>
            <w:r>
              <w:rPr>
                <w:rFonts w:ascii="Calibri" w:hAnsi="Calibri" w:eastAsia="Calibri"/>
                <w:b w:val="0"/>
                <w:color w:val="26322E"/>
                <w:sz w:val="17"/>
              </w:rPr>
              <w:t>Tests willingness to pay and procurement readiness</w:t>
            </w:r>
          </w:p>
        </w:tc>
      </w:tr>
      <w:tr>
        <w:trPr>
          <w:cantSplit w:val="true"/>
        </w:trPr>
        <w:tc>
          <w:tcPr>
            <w:tcW w:type="dxa" w:w="2500"/>
            <w:vAlign w:val="center"/>
          </w:tcPr>
          <w:p>
            <w:pPr>
              <w:spacing w:after="0" w:line="269" w:lineRule="auto"/>
              <w:jc w:val="left"/>
            </w:pPr>
            <w:r>
              <w:rPr>
                <w:rFonts w:ascii="Calibri" w:hAnsi="Calibri" w:eastAsia="Calibri"/>
                <w:b/>
                <w:color w:val="26322E"/>
                <w:sz w:val="17"/>
              </w:rPr>
              <w:t>Time to first evaluated batch</w:t>
            </w:r>
          </w:p>
        </w:tc>
        <w:tc>
          <w:tcPr>
            <w:tcW w:type="dxa" w:w="1800"/>
            <w:vAlign w:val="center"/>
          </w:tcPr>
          <w:p>
            <w:pPr>
              <w:spacing w:after="0" w:line="269" w:lineRule="auto"/>
              <w:jc w:val="left"/>
            </w:pPr>
            <w:r>
              <w:rPr>
                <w:rFonts w:ascii="Calibri" w:hAnsi="Calibri" w:eastAsia="Calibri"/>
                <w:b w:val="0"/>
                <w:color w:val="26322E"/>
                <w:sz w:val="17"/>
              </w:rPr>
              <w:t>&lt;14 days</w:t>
            </w:r>
          </w:p>
        </w:tc>
        <w:tc>
          <w:tcPr>
            <w:tcW w:type="dxa" w:w="5060"/>
            <w:vAlign w:val="center"/>
          </w:tcPr>
          <w:p>
            <w:pPr>
              <w:spacing w:after="0" w:line="269" w:lineRule="auto"/>
              <w:jc w:val="left"/>
            </w:pPr>
            <w:r>
              <w:rPr>
                <w:rFonts w:ascii="Calibri" w:hAnsi="Calibri" w:eastAsia="Calibri"/>
                <w:b w:val="0"/>
                <w:color w:val="26322E"/>
                <w:sz w:val="17"/>
              </w:rPr>
              <w:t>Reduces implementation friction</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Gross logo retention</w:t>
            </w:r>
          </w:p>
        </w:tc>
        <w:tc>
          <w:tcPr>
            <w:tcW w:type="dxa" w:w="1800"/>
            <w:shd w:fill="F3F5F4" w:val="clear"/>
            <w:vAlign w:val="center"/>
          </w:tcPr>
          <w:p>
            <w:pPr>
              <w:spacing w:after="0" w:line="269" w:lineRule="auto"/>
              <w:jc w:val="left"/>
            </w:pPr>
            <w:r>
              <w:rPr>
                <w:rFonts w:ascii="Calibri" w:hAnsi="Calibri" w:eastAsia="Calibri"/>
                <w:b w:val="0"/>
                <w:color w:val="26322E"/>
                <w:sz w:val="17"/>
              </w:rPr>
              <w:t>&gt;90%</w:t>
            </w:r>
          </w:p>
        </w:tc>
        <w:tc>
          <w:tcPr>
            <w:tcW w:type="dxa" w:w="5060"/>
            <w:shd w:fill="F3F5F4" w:val="clear"/>
            <w:vAlign w:val="center"/>
          </w:tcPr>
          <w:p>
            <w:pPr>
              <w:spacing w:after="0" w:line="269" w:lineRule="auto"/>
              <w:jc w:val="left"/>
            </w:pPr>
            <w:r>
              <w:rPr>
                <w:rFonts w:ascii="Calibri" w:hAnsi="Calibri" w:eastAsia="Calibri"/>
                <w:b w:val="0"/>
                <w:color w:val="26322E"/>
                <w:sz w:val="17"/>
              </w:rPr>
              <w:t>Validates recurring exam-cycle value</w:t>
            </w:r>
          </w:p>
        </w:tc>
      </w:tr>
      <w:tr>
        <w:trPr>
          <w:cantSplit w:val="true"/>
        </w:trPr>
        <w:tc>
          <w:tcPr>
            <w:tcW w:type="dxa" w:w="2500"/>
            <w:vAlign w:val="center"/>
          </w:tcPr>
          <w:p>
            <w:pPr>
              <w:spacing w:after="0" w:line="269" w:lineRule="auto"/>
              <w:jc w:val="left"/>
            </w:pPr>
            <w:r>
              <w:rPr>
                <w:rFonts w:ascii="Calibri" w:hAnsi="Calibri" w:eastAsia="Calibri"/>
                <w:b/>
                <w:color w:val="26322E"/>
                <w:sz w:val="17"/>
              </w:rPr>
              <w:t>Net revenue retention</w:t>
            </w:r>
          </w:p>
        </w:tc>
        <w:tc>
          <w:tcPr>
            <w:tcW w:type="dxa" w:w="1800"/>
            <w:vAlign w:val="center"/>
          </w:tcPr>
          <w:p>
            <w:pPr>
              <w:spacing w:after="0" w:line="269" w:lineRule="auto"/>
              <w:jc w:val="left"/>
            </w:pPr>
            <w:r>
              <w:rPr>
                <w:rFonts w:ascii="Calibri" w:hAnsi="Calibri" w:eastAsia="Calibri"/>
                <w:b w:val="0"/>
                <w:color w:val="26322E"/>
                <w:sz w:val="17"/>
              </w:rPr>
              <w:t>&gt;115%</w:t>
            </w:r>
          </w:p>
        </w:tc>
        <w:tc>
          <w:tcPr>
            <w:tcW w:type="dxa" w:w="5060"/>
            <w:vAlign w:val="center"/>
          </w:tcPr>
          <w:p>
            <w:pPr>
              <w:spacing w:after="0" w:line="269" w:lineRule="auto"/>
              <w:jc w:val="left"/>
            </w:pPr>
            <w:r>
              <w:rPr>
                <w:rFonts w:ascii="Calibri" w:hAnsi="Calibri" w:eastAsia="Calibri"/>
                <w:b w:val="0"/>
                <w:color w:val="26322E"/>
                <w:sz w:val="17"/>
              </w:rPr>
              <w:t>Shows module and department expansion</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CAC payback</w:t>
            </w:r>
          </w:p>
        </w:tc>
        <w:tc>
          <w:tcPr>
            <w:tcW w:type="dxa" w:w="1800"/>
            <w:shd w:fill="F3F5F4" w:val="clear"/>
            <w:vAlign w:val="center"/>
          </w:tcPr>
          <w:p>
            <w:pPr>
              <w:spacing w:after="0" w:line="269" w:lineRule="auto"/>
              <w:jc w:val="left"/>
            </w:pPr>
            <w:r>
              <w:rPr>
                <w:rFonts w:ascii="Calibri" w:hAnsi="Calibri" w:eastAsia="Calibri"/>
                <w:b w:val="0"/>
                <w:color w:val="26322E"/>
                <w:sz w:val="17"/>
              </w:rPr>
              <w:t>&lt;12 months</w:t>
            </w:r>
          </w:p>
        </w:tc>
        <w:tc>
          <w:tcPr>
            <w:tcW w:type="dxa" w:w="5060"/>
            <w:shd w:fill="F3F5F4" w:val="clear"/>
            <w:vAlign w:val="center"/>
          </w:tcPr>
          <w:p>
            <w:pPr>
              <w:spacing w:after="0" w:line="269" w:lineRule="auto"/>
              <w:jc w:val="left"/>
            </w:pPr>
            <w:r>
              <w:rPr>
                <w:rFonts w:ascii="Calibri" w:hAnsi="Calibri" w:eastAsia="Calibri"/>
                <w:b w:val="0"/>
                <w:color w:val="26322E"/>
                <w:sz w:val="17"/>
              </w:rPr>
              <w:t>Keeps institutional sales capital-efficient</w:t>
            </w:r>
          </w:p>
        </w:tc>
      </w:tr>
      <w:tr>
        <w:trPr>
          <w:cantSplit w:val="true"/>
        </w:trPr>
        <w:tc>
          <w:tcPr>
            <w:tcW w:type="dxa" w:w="2500"/>
            <w:vAlign w:val="center"/>
          </w:tcPr>
          <w:p>
            <w:pPr>
              <w:spacing w:after="0" w:line="269" w:lineRule="auto"/>
              <w:jc w:val="left"/>
            </w:pPr>
            <w:r>
              <w:rPr>
                <w:rFonts w:ascii="Calibri" w:hAnsi="Calibri" w:eastAsia="Calibri"/>
                <w:b/>
                <w:color w:val="26322E"/>
                <w:sz w:val="17"/>
              </w:rPr>
              <w:t>Receivable days</w:t>
            </w:r>
          </w:p>
        </w:tc>
        <w:tc>
          <w:tcPr>
            <w:tcW w:type="dxa" w:w="1800"/>
            <w:vAlign w:val="center"/>
          </w:tcPr>
          <w:p>
            <w:pPr>
              <w:spacing w:after="0" w:line="269" w:lineRule="auto"/>
              <w:jc w:val="left"/>
            </w:pPr>
            <w:r>
              <w:rPr>
                <w:rFonts w:ascii="Calibri" w:hAnsi="Calibri" w:eastAsia="Calibri"/>
                <w:b w:val="0"/>
                <w:color w:val="26322E"/>
                <w:sz w:val="17"/>
              </w:rPr>
              <w:t>&lt;75 days</w:t>
            </w:r>
          </w:p>
        </w:tc>
        <w:tc>
          <w:tcPr>
            <w:tcW w:type="dxa" w:w="5060"/>
            <w:vAlign w:val="center"/>
          </w:tcPr>
          <w:p>
            <w:pPr>
              <w:spacing w:after="0" w:line="269" w:lineRule="auto"/>
              <w:jc w:val="left"/>
            </w:pPr>
            <w:r>
              <w:rPr>
                <w:rFonts w:ascii="Calibri" w:hAnsi="Calibri" w:eastAsia="Calibri"/>
                <w:b w:val="0"/>
                <w:color w:val="26322E"/>
                <w:sz w:val="17"/>
              </w:rPr>
              <w:t>Prevents procurement cycles from consuming runway</w:t>
            </w:r>
          </w:p>
        </w:tc>
      </w:tr>
    </w:tbl>
    <w:p>
      <w:pPr>
        <w:spacing w:after="40"/>
      </w:pPr>
    </w:p>
    <w:p>
      <w:pPr>
        <w:spacing w:before="80" w:after="80" w:line="240" w:lineRule="auto"/>
      </w:pPr>
      <w:r>
        <w:rPr>
          <w:rFonts w:ascii="Calibri" w:hAnsi="Calibri" w:eastAsia="Calibri"/>
          <w:i/>
          <w:color w:val="78857F"/>
          <w:sz w:val="16"/>
        </w:rPr>
        <w:t>Targets are management assumptions for operating discipline; they are not historical performance.</w:t>
      </w:r>
    </w:p>
    <w:p>
      <w:pPr>
        <w:keepNext/>
        <w:spacing w:before="0" w:after="120"/>
      </w:pPr>
      <w:r>
        <w:rPr>
          <w:rFonts w:ascii="Calibri" w:hAnsi="Calibri" w:eastAsia="Calibri"/>
          <w:b/>
          <w:color w:val="BF9B30"/>
          <w:sz w:val="17"/>
        </w:rPr>
        <w:t>SECTION 08</w:t>
      </w:r>
    </w:p>
    <w:p>
      <w:pPr>
        <w:pStyle w:val="Heading1"/>
      </w:pPr>
      <w:r>
        <w:t>Competitive Landscape &amp; Defensibility</w:t>
      </w:r>
    </w:p>
    <w:p>
      <w:pPr>
        <w:spacing w:after="200"/>
      </w:pPr>
      <w:r>
        <w:rPr>
          <w:rFonts w:ascii="Calibri" w:hAnsi="Calibri" w:eastAsia="Calibri"/>
          <w:i/>
          <w:color w:val="5F6E67"/>
          <w:sz w:val="23"/>
        </w:rPr>
        <w:t>The moat must be workflow trust and distribution—not access to an AI model</w:t>
      </w:r>
    </w:p>
    <w:tbl>
      <w:tblPr>
        <w:tblStyle w:val="TableGrid"/>
        <w:tblW w:type="dxa" w:w="9360"/>
        <w:tblLook w:firstColumn="1" w:firstRow="1" w:lastColumn="0" w:lastRow="0" w:noHBand="0" w:noVBand="1" w:val="04A0"/>
        <w:jc w:val="left"/>
        <w:tblInd w:w="120" w:type="dxa"/>
        <w:tblLayout w:type="fixed"/>
      </w:tblPr>
      <w:tblGrid>
        <w:gridCol w:w="1800"/>
        <w:gridCol w:w="3900"/>
        <w:gridCol w:w="3660"/>
      </w:tblGrid>
      <w:tr>
        <w:trPr>
          <w:tblHeader w:val="true"/>
          <w:cantSplit w:val="true"/>
        </w:trPr>
        <w:tc>
          <w:tcPr>
            <w:tcW w:type="dxa" w:w="18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Alternative</w:t>
            </w:r>
          </w:p>
        </w:tc>
        <w:tc>
          <w:tcPr>
            <w:tcW w:type="dxa" w:w="39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What it does well</w:t>
            </w:r>
          </w:p>
        </w:tc>
        <w:tc>
          <w:tcPr>
            <w:tcW w:type="dxa" w:w="36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Gap / strategic response</w:t>
            </w:r>
          </w:p>
        </w:tc>
      </w:tr>
      <w:tr>
        <w:trPr>
          <w:cantSplit w:val="true"/>
        </w:trPr>
        <w:tc>
          <w:tcPr>
            <w:tcW w:type="dxa" w:w="1800"/>
            <w:vAlign w:val="center"/>
          </w:tcPr>
          <w:p>
            <w:pPr>
              <w:spacing w:after="0" w:line="269" w:lineRule="auto"/>
              <w:jc w:val="left"/>
            </w:pPr>
            <w:r>
              <w:rPr>
                <w:rFonts w:ascii="Calibri" w:hAnsi="Calibri" w:eastAsia="Calibri"/>
                <w:b/>
                <w:color w:val="26322E"/>
                <w:sz w:val="16"/>
              </w:rPr>
              <w:t>Gradescope / Turnitin</w:t>
            </w:r>
          </w:p>
        </w:tc>
        <w:tc>
          <w:tcPr>
            <w:tcW w:type="dxa" w:w="3900"/>
            <w:vAlign w:val="center"/>
          </w:tcPr>
          <w:p>
            <w:pPr>
              <w:spacing w:after="0" w:line="269" w:lineRule="auto"/>
              <w:jc w:val="left"/>
            </w:pPr>
            <w:r>
              <w:rPr>
                <w:rFonts w:ascii="Calibri" w:hAnsi="Calibri" w:eastAsia="Calibri"/>
                <w:b w:val="0"/>
                <w:color w:val="26322E"/>
                <w:sz w:val="16"/>
              </w:rPr>
              <w:t>Digitizes paper assessments, supports handwritten work, dynamic rubrics, AI-assisted answer grouping, analytics, LMS workflows</w:t>
            </w:r>
          </w:p>
        </w:tc>
        <w:tc>
          <w:tcPr>
            <w:tcW w:type="dxa" w:w="3660"/>
            <w:vAlign w:val="center"/>
          </w:tcPr>
          <w:p>
            <w:pPr>
              <w:spacing w:after="0" w:line="269" w:lineRule="auto"/>
              <w:jc w:val="left"/>
            </w:pPr>
            <w:r>
              <w:rPr>
                <w:rFonts w:ascii="Calibri" w:hAnsi="Calibri" w:eastAsia="Calibri"/>
                <w:b w:val="0"/>
                <w:color w:val="26322E"/>
                <w:sz w:val="16"/>
              </w:rPr>
              <w:t>Differentiate on India-specific descriptive automation, pre-exam generation/moderation, local formats, and institutional economics. [7]</w:t>
            </w:r>
          </w:p>
        </w:tc>
      </w:tr>
      <w:tr>
        <w:trPr>
          <w:cantSplit w:val="true"/>
        </w:trPr>
        <w:tc>
          <w:tcPr>
            <w:tcW w:type="dxa" w:w="1800"/>
            <w:shd w:fill="F3F5F4" w:val="clear"/>
            <w:vAlign w:val="center"/>
          </w:tcPr>
          <w:p>
            <w:pPr>
              <w:spacing w:after="0" w:line="269" w:lineRule="auto"/>
              <w:jc w:val="left"/>
            </w:pPr>
            <w:r>
              <w:rPr>
                <w:rFonts w:ascii="Calibri" w:hAnsi="Calibri" w:eastAsia="Calibri"/>
                <w:b/>
                <w:color w:val="26322E"/>
                <w:sz w:val="16"/>
              </w:rPr>
              <w:t>Eklavvya</w:t>
            </w:r>
          </w:p>
        </w:tc>
        <w:tc>
          <w:tcPr>
            <w:tcW w:type="dxa" w:w="3900"/>
            <w:shd w:fill="F3F5F4" w:val="clear"/>
            <w:vAlign w:val="center"/>
          </w:tcPr>
          <w:p>
            <w:pPr>
              <w:spacing w:after="0" w:line="269" w:lineRule="auto"/>
              <w:jc w:val="left"/>
            </w:pPr>
            <w:r>
              <w:rPr>
                <w:rFonts w:ascii="Calibri" w:hAnsi="Calibri" w:eastAsia="Calibri"/>
                <w:b w:val="0"/>
                <w:color w:val="26322E"/>
                <w:sz w:val="16"/>
              </w:rPr>
              <w:t>Broad exam platform with question generation, handwritten AI evaluation, multilingual workflows, identity masking, and audit/re-evaluation capabilities</w:t>
            </w:r>
          </w:p>
        </w:tc>
        <w:tc>
          <w:tcPr>
            <w:tcW w:type="dxa" w:w="3660"/>
            <w:shd w:fill="F3F5F4" w:val="clear"/>
            <w:vAlign w:val="center"/>
          </w:tcPr>
          <w:p>
            <w:pPr>
              <w:spacing w:after="0" w:line="269" w:lineRule="auto"/>
              <w:jc w:val="left"/>
            </w:pPr>
            <w:r>
              <w:rPr>
                <w:rFonts w:ascii="Calibri" w:hAnsi="Calibri" w:eastAsia="Calibri"/>
                <w:b w:val="0"/>
                <w:color w:val="26322E"/>
                <w:sz w:val="16"/>
              </w:rPr>
              <w:t>Closest direct competitor. Win on product coherence, measurable evaluation quality, faster pilots, transparent pricing wedge, and focused assessment lifecycle. [8]</w:t>
            </w:r>
          </w:p>
        </w:tc>
      </w:tr>
      <w:tr>
        <w:trPr>
          <w:cantSplit w:val="true"/>
        </w:trPr>
        <w:tc>
          <w:tcPr>
            <w:tcW w:type="dxa" w:w="1800"/>
            <w:vAlign w:val="center"/>
          </w:tcPr>
          <w:p>
            <w:pPr>
              <w:spacing w:after="0" w:line="269" w:lineRule="auto"/>
              <w:jc w:val="left"/>
            </w:pPr>
            <w:r>
              <w:rPr>
                <w:rFonts w:ascii="Calibri" w:hAnsi="Calibri" w:eastAsia="Calibri"/>
                <w:b/>
                <w:color w:val="26322E"/>
                <w:sz w:val="16"/>
              </w:rPr>
              <w:t>On-screen marking vendors</w:t>
            </w:r>
          </w:p>
        </w:tc>
        <w:tc>
          <w:tcPr>
            <w:tcW w:type="dxa" w:w="3900"/>
            <w:vAlign w:val="center"/>
          </w:tcPr>
          <w:p>
            <w:pPr>
              <w:spacing w:after="0" w:line="269" w:lineRule="auto"/>
              <w:jc w:val="left"/>
            </w:pPr>
            <w:r>
              <w:rPr>
                <w:rFonts w:ascii="Calibri" w:hAnsi="Calibri" w:eastAsia="Calibri"/>
                <w:b w:val="0"/>
                <w:color w:val="26322E"/>
                <w:sz w:val="16"/>
              </w:rPr>
              <w:t>Mature scan, allocation, blind marking, and audit workflows</w:t>
            </w:r>
          </w:p>
        </w:tc>
        <w:tc>
          <w:tcPr>
            <w:tcW w:type="dxa" w:w="3660"/>
            <w:vAlign w:val="center"/>
          </w:tcPr>
          <w:p>
            <w:pPr>
              <w:spacing w:after="0" w:line="269" w:lineRule="auto"/>
              <w:jc w:val="left"/>
            </w:pPr>
            <w:r>
              <w:rPr>
                <w:rFonts w:ascii="Calibri" w:hAnsi="Calibri" w:eastAsia="Calibri"/>
                <w:b w:val="0"/>
                <w:color w:val="26322E"/>
                <w:sz w:val="16"/>
              </w:rPr>
              <w:t>Integrate where useful; lead with AI-assisted scoring and feedback economics</w:t>
            </w:r>
          </w:p>
        </w:tc>
      </w:tr>
      <w:tr>
        <w:trPr>
          <w:cantSplit w:val="true"/>
        </w:trPr>
        <w:tc>
          <w:tcPr>
            <w:tcW w:type="dxa" w:w="1800"/>
            <w:shd w:fill="F3F5F4" w:val="clear"/>
            <w:vAlign w:val="center"/>
          </w:tcPr>
          <w:p>
            <w:pPr>
              <w:spacing w:after="0" w:line="269" w:lineRule="auto"/>
              <w:jc w:val="left"/>
            </w:pPr>
            <w:r>
              <w:rPr>
                <w:rFonts w:ascii="Calibri" w:hAnsi="Calibri" w:eastAsia="Calibri"/>
                <w:b/>
                <w:color w:val="26322E"/>
                <w:sz w:val="16"/>
              </w:rPr>
              <w:t>Generic AI / OCR</w:t>
            </w:r>
          </w:p>
        </w:tc>
        <w:tc>
          <w:tcPr>
            <w:tcW w:type="dxa" w:w="3900"/>
            <w:shd w:fill="F3F5F4" w:val="clear"/>
            <w:vAlign w:val="center"/>
          </w:tcPr>
          <w:p>
            <w:pPr>
              <w:spacing w:after="0" w:line="269" w:lineRule="auto"/>
              <w:jc w:val="left"/>
            </w:pPr>
            <w:r>
              <w:rPr>
                <w:rFonts w:ascii="Calibri" w:hAnsi="Calibri" w:eastAsia="Calibri"/>
                <w:b w:val="0"/>
                <w:color w:val="26322E"/>
                <w:sz w:val="16"/>
              </w:rPr>
              <w:t>Low-cost drafting, OCR, and experimentation</w:t>
            </w:r>
          </w:p>
        </w:tc>
        <w:tc>
          <w:tcPr>
            <w:tcW w:type="dxa" w:w="3660"/>
            <w:shd w:fill="F3F5F4" w:val="clear"/>
            <w:vAlign w:val="center"/>
          </w:tcPr>
          <w:p>
            <w:pPr>
              <w:spacing w:after="0" w:line="269" w:lineRule="auto"/>
              <w:jc w:val="left"/>
            </w:pPr>
            <w:r>
              <w:rPr>
                <w:rFonts w:ascii="Calibri" w:hAnsi="Calibri" w:eastAsia="Calibri"/>
                <w:b w:val="0"/>
                <w:color w:val="26322E"/>
                <w:sz w:val="16"/>
              </w:rPr>
              <w:t>Emphasize original-script traceability, permissions, review, rubrics, data controls, and repeatable institutional operations</w:t>
            </w:r>
          </w:p>
        </w:tc>
      </w:tr>
      <w:tr>
        <w:trPr>
          <w:cantSplit w:val="true"/>
        </w:trPr>
        <w:tc>
          <w:tcPr>
            <w:tcW w:type="dxa" w:w="1800"/>
            <w:vAlign w:val="center"/>
          </w:tcPr>
          <w:p>
            <w:pPr>
              <w:spacing w:after="0" w:line="269" w:lineRule="auto"/>
              <w:jc w:val="left"/>
            </w:pPr>
            <w:r>
              <w:rPr>
                <w:rFonts w:ascii="Calibri" w:hAnsi="Calibri" w:eastAsia="Calibri"/>
                <w:b/>
                <w:color w:val="26322E"/>
                <w:sz w:val="16"/>
              </w:rPr>
              <w:t>Manual process</w:t>
            </w:r>
          </w:p>
        </w:tc>
        <w:tc>
          <w:tcPr>
            <w:tcW w:type="dxa" w:w="3900"/>
            <w:vAlign w:val="center"/>
          </w:tcPr>
          <w:p>
            <w:pPr>
              <w:spacing w:after="0" w:line="269" w:lineRule="auto"/>
              <w:jc w:val="left"/>
            </w:pPr>
            <w:r>
              <w:rPr>
                <w:rFonts w:ascii="Calibri" w:hAnsi="Calibri" w:eastAsia="Calibri"/>
                <w:b w:val="0"/>
                <w:color w:val="26322E"/>
                <w:sz w:val="16"/>
              </w:rPr>
              <w:t>Trusted judgment and flexible exception handling</w:t>
            </w:r>
          </w:p>
        </w:tc>
        <w:tc>
          <w:tcPr>
            <w:tcW w:type="dxa" w:w="3660"/>
            <w:vAlign w:val="center"/>
          </w:tcPr>
          <w:p>
            <w:pPr>
              <w:spacing w:after="0" w:line="269" w:lineRule="auto"/>
              <w:jc w:val="left"/>
            </w:pPr>
            <w:r>
              <w:rPr>
                <w:rFonts w:ascii="Calibri" w:hAnsi="Calibri" w:eastAsia="Calibri"/>
                <w:b w:val="0"/>
                <w:color w:val="26322E"/>
                <w:sz w:val="16"/>
              </w:rPr>
              <w:t>Retain faculty authority while automating repetitive work</w:t>
            </w:r>
          </w:p>
        </w:tc>
      </w:tr>
    </w:tbl>
    <w:p>
      <w:pPr>
        <w:spacing w:after="40"/>
      </w:pPr>
    </w:p>
    <w:p>
      <w:pPr>
        <w:pStyle w:val="Heading2"/>
      </w:pPr>
      <w:r>
        <w:t>Defensibility roadmap</w:t>
      </w:r>
    </w:p>
    <w:p>
      <w:pPr>
        <w:numPr>
          <w:ilvl w:val="0"/>
          <w:numId w:val="10"/>
        </w:numPr>
        <w:spacing w:after="80" w:line="290" w:lineRule="auto"/>
      </w:pPr>
      <w:r>
        <w:rPr>
          <w:rFonts w:ascii="Calibri" w:hAnsi="Calibri" w:eastAsia="Calibri"/>
          <w:color w:val="26322E"/>
        </w:rPr>
        <w:t>Workflow depth: one canonical assessment record from syllabus through approved student result.</w:t>
      </w:r>
    </w:p>
    <w:p>
      <w:pPr>
        <w:numPr>
          <w:ilvl w:val="0"/>
          <w:numId w:val="10"/>
        </w:numPr>
        <w:spacing w:after="80" w:line="290" w:lineRule="auto"/>
      </w:pPr>
      <w:r>
        <w:rPr>
          <w:rFonts w:ascii="Calibri" w:hAnsi="Calibri" w:eastAsia="Calibri"/>
          <w:color w:val="26322E"/>
        </w:rPr>
        <w:t>Institutional configuration: paper formats, outcomes, rubrics, policies, access controls, and escalation rules.</w:t>
      </w:r>
    </w:p>
    <w:p>
      <w:pPr>
        <w:numPr>
          <w:ilvl w:val="0"/>
          <w:numId w:val="10"/>
        </w:numPr>
        <w:spacing w:after="80" w:line="290" w:lineRule="auto"/>
      </w:pPr>
      <w:r>
        <w:rPr>
          <w:rFonts w:ascii="Calibri" w:hAnsi="Calibri" w:eastAsia="Calibri"/>
          <w:color w:val="26322E"/>
        </w:rPr>
        <w:t>Quality system: benchmark sets, confidence thresholds, faculty overrides, drift monitoring, and appeal outcomes.</w:t>
      </w:r>
    </w:p>
    <w:p>
      <w:pPr>
        <w:numPr>
          <w:ilvl w:val="0"/>
          <w:numId w:val="10"/>
        </w:numPr>
        <w:spacing w:after="80" w:line="290" w:lineRule="auto"/>
      </w:pPr>
      <w:r>
        <w:rPr>
          <w:rFonts w:ascii="Calibri" w:hAnsi="Calibri" w:eastAsia="Calibri"/>
          <w:color w:val="26322E"/>
        </w:rPr>
        <w:t>Integration surface: scanners, rosters, ERP/LMS gradebooks, identity, and institutional reporting.</w:t>
      </w:r>
    </w:p>
    <w:p>
      <w:pPr>
        <w:numPr>
          <w:ilvl w:val="0"/>
          <w:numId w:val="10"/>
        </w:numPr>
        <w:spacing w:after="80" w:line="290" w:lineRule="auto"/>
      </w:pPr>
      <w:r>
        <w:rPr>
          <w:rFonts w:ascii="Calibri" w:hAnsi="Calibri" w:eastAsia="Calibri"/>
          <w:color w:val="26322E"/>
        </w:rPr>
        <w:t>Distribution: reference institutions, evaluator champions, partners, and implementation know-how by segment.</w:t>
      </w:r>
    </w:p>
    <w:p>
      <w:pPr>
        <w:numPr>
          <w:ilvl w:val="0"/>
          <w:numId w:val="10"/>
        </w:numPr>
        <w:spacing w:after="80" w:line="290" w:lineRule="auto"/>
      </w:pPr>
      <w:r>
        <w:rPr>
          <w:rFonts w:ascii="Calibri" w:hAnsi="Calibri" w:eastAsia="Calibri"/>
          <w:color w:val="26322E"/>
        </w:rPr>
        <w:t>Privacy-preserving learning: improve prompts, workflows, and evaluation logic only under clear contractual data rights; do not assume student data can be reused for model training.</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INVESTOR REALITY CHECK</w:t>
            </w:r>
          </w:p>
          <w:p>
            <w:pPr>
              <w:spacing w:after="80"/>
            </w:pPr>
            <w:r>
              <w:rPr>
                <w:rFonts w:ascii="Calibri" w:hAnsi="Calibri" w:eastAsia="Calibri"/>
                <w:b/>
                <w:color w:val="1A2421"/>
                <w:sz w:val="27"/>
              </w:rPr>
              <w:t>Accuracy claims are necessary; reliable operations create the moat.</w:t>
            </w:r>
          </w:p>
          <w:p>
            <w:pPr>
              <w:spacing w:after="0" w:line="283" w:lineRule="auto"/>
            </w:pPr>
            <w:r>
              <w:rPr>
                <w:rFonts w:ascii="Calibri" w:hAnsi="Calibri" w:eastAsia="Calibri"/>
                <w:color w:val="26322E"/>
                <w:sz w:val="20"/>
              </w:rPr>
              <w:t>Vision and language models will continue improving and commoditizing. Durable value comes from evaluation governance, approved workflows, data rights, integrations, evidence, and trusted distribution inside institutions.</w:t>
            </w:r>
          </w:p>
        </w:tc>
      </w:tr>
    </w:tbl>
    <w:p>
      <w:pPr>
        <w:spacing w:after="20"/>
      </w:pPr>
    </w:p>
    <w:p>
      <w:pPr>
        <w:keepNext/>
        <w:spacing w:before="0" w:after="120"/>
      </w:pPr>
      <w:r>
        <w:rPr>
          <w:rFonts w:ascii="Calibri" w:hAnsi="Calibri" w:eastAsia="Calibri"/>
          <w:b/>
          <w:color w:val="BF9B30"/>
          <w:sz w:val="17"/>
        </w:rPr>
        <w:t>SECTION 09</w:t>
      </w:r>
    </w:p>
    <w:p>
      <w:pPr>
        <w:pStyle w:val="Heading1"/>
      </w:pPr>
      <w:r>
        <w:t>Technology, Quality &amp; Governance</w:t>
      </w:r>
    </w:p>
    <w:p>
      <w:pPr>
        <w:spacing w:after="200"/>
      </w:pPr>
      <w:r>
        <w:rPr>
          <w:rFonts w:ascii="Calibri" w:hAnsi="Calibri" w:eastAsia="Calibri"/>
          <w:i/>
          <w:color w:val="5F6E67"/>
          <w:sz w:val="23"/>
        </w:rPr>
        <w:t>Build for a challenged grade, not only a successful demo</w:t>
      </w:r>
    </w:p>
    <w:p>
      <w:pPr>
        <w:pStyle w:val="Heading2"/>
      </w:pPr>
      <w:r>
        <w:t>Target evaluation control loop</w:t>
      </w:r>
    </w:p>
    <w:p>
      <w:pPr>
        <w:numPr>
          <w:ilvl w:val="0"/>
          <w:numId w:val="13"/>
        </w:numPr>
        <w:spacing w:after="80" w:line="290" w:lineRule="auto"/>
      </w:pPr>
      <w:r>
        <w:rPr>
          <w:rFonts w:ascii="Calibri" w:hAnsi="Calibri" w:eastAsia="Calibri"/>
          <w:color w:val="26322E"/>
        </w:rPr>
        <w:t>Ingest: validate scan quality, identity mapping, page count, and file integrity.</w:t>
      </w:r>
    </w:p>
    <w:p>
      <w:pPr>
        <w:numPr>
          <w:ilvl w:val="0"/>
          <w:numId w:val="13"/>
        </w:numPr>
        <w:spacing w:after="80" w:line="290" w:lineRule="auto"/>
      </w:pPr>
      <w:r>
        <w:rPr>
          <w:rFonts w:ascii="Calibri" w:hAnsi="Calibri" w:eastAsia="Calibri"/>
          <w:color w:val="26322E"/>
        </w:rPr>
        <w:t>Recognize: extract handwriting and preserve the original-image reference.</w:t>
      </w:r>
    </w:p>
    <w:p>
      <w:pPr>
        <w:numPr>
          <w:ilvl w:val="0"/>
          <w:numId w:val="13"/>
        </w:numPr>
        <w:spacing w:after="80" w:line="290" w:lineRule="auto"/>
      </w:pPr>
      <w:r>
        <w:rPr>
          <w:rFonts w:ascii="Calibri" w:hAnsi="Calibri" w:eastAsia="Calibri"/>
          <w:color w:val="26322E"/>
        </w:rPr>
        <w:t>Map: link every response to the correct question, including internal choices and continuation pages.</w:t>
      </w:r>
    </w:p>
    <w:p>
      <w:pPr>
        <w:numPr>
          <w:ilvl w:val="0"/>
          <w:numId w:val="13"/>
        </w:numPr>
        <w:spacing w:after="80" w:line="290" w:lineRule="auto"/>
      </w:pPr>
      <w:r>
        <w:rPr>
          <w:rFonts w:ascii="Calibri" w:hAnsi="Calibri" w:eastAsia="Calibri"/>
          <w:color w:val="26322E"/>
        </w:rPr>
        <w:t>Evaluate: score each rubric criterion, produce rationale, and record model/version/configuration.</w:t>
      </w:r>
    </w:p>
    <w:p>
      <w:pPr>
        <w:numPr>
          <w:ilvl w:val="0"/>
          <w:numId w:val="13"/>
        </w:numPr>
        <w:spacing w:after="80" w:line="290" w:lineRule="auto"/>
      </w:pPr>
      <w:r>
        <w:rPr>
          <w:rFonts w:ascii="Calibri" w:hAnsi="Calibri" w:eastAsia="Calibri"/>
          <w:color w:val="26322E"/>
        </w:rPr>
        <w:t>Escalate: route low-confidence, anomalous, or high-stakes responses to faculty.</w:t>
      </w:r>
    </w:p>
    <w:p>
      <w:pPr>
        <w:numPr>
          <w:ilvl w:val="0"/>
          <w:numId w:val="13"/>
        </w:numPr>
        <w:spacing w:after="80" w:line="290" w:lineRule="auto"/>
      </w:pPr>
      <w:r>
        <w:rPr>
          <w:rFonts w:ascii="Calibri" w:hAnsi="Calibri" w:eastAsia="Calibri"/>
          <w:color w:val="26322E"/>
        </w:rPr>
        <w:t>Approve: allow faculty override with reason codes; preserve the full audit trail.</w:t>
      </w:r>
    </w:p>
    <w:p>
      <w:pPr>
        <w:numPr>
          <w:ilvl w:val="0"/>
          <w:numId w:val="13"/>
        </w:numPr>
        <w:spacing w:after="80" w:line="290" w:lineRule="auto"/>
      </w:pPr>
      <w:r>
        <w:rPr>
          <w:rFonts w:ascii="Calibri" w:hAnsi="Calibri" w:eastAsia="Calibri"/>
          <w:color w:val="26322E"/>
        </w:rPr>
        <w:t>Publish: generate institutional reports and apply retention/deletion rules.</w:t>
      </w:r>
    </w:p>
    <w:p>
      <w:pPr>
        <w:pStyle w:val="Heading2"/>
      </w:pPr>
      <w:r>
        <w:t>Minimum enterprise control set</w:t>
      </w:r>
    </w:p>
    <w:tbl>
      <w:tblPr>
        <w:tblStyle w:val="TableGrid"/>
        <w:tblW w:type="dxa" w:w="9360"/>
        <w:tblLook w:firstColumn="1" w:firstRow="1" w:lastColumn="0" w:lastRow="0" w:noHBand="0" w:noVBand="1" w:val="04A0"/>
        <w:jc w:val="left"/>
        <w:tblInd w:w="120" w:type="dxa"/>
        <w:tblLayout w:type="fixed"/>
      </w:tblPr>
      <w:tblGrid>
        <w:gridCol w:w="2000"/>
        <w:gridCol w:w="7360"/>
      </w:tblGrid>
      <w:tr>
        <w:trPr>
          <w:tblHeader w:val="true"/>
          <w:cantSplit w:val="true"/>
        </w:trPr>
        <w:tc>
          <w:tcPr>
            <w:tcW w:type="dxa" w:w="20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Control area</w:t>
            </w:r>
          </w:p>
        </w:tc>
        <w:tc>
          <w:tcPr>
            <w:tcW w:type="dxa" w:w="73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Required capability</w:t>
            </w:r>
          </w:p>
        </w:tc>
      </w:tr>
      <w:tr>
        <w:trPr>
          <w:cantSplit w:val="true"/>
        </w:trPr>
        <w:tc>
          <w:tcPr>
            <w:tcW w:type="dxa" w:w="2000"/>
            <w:vAlign w:val="center"/>
          </w:tcPr>
          <w:p>
            <w:pPr>
              <w:spacing w:after="0" w:line="269" w:lineRule="auto"/>
              <w:jc w:val="left"/>
            </w:pPr>
            <w:r>
              <w:rPr>
                <w:rFonts w:ascii="Calibri" w:hAnsi="Calibri" w:eastAsia="Calibri"/>
                <w:b/>
                <w:color w:val="26322E"/>
                <w:sz w:val="17"/>
              </w:rPr>
              <w:t>Accuracy</w:t>
            </w:r>
          </w:p>
        </w:tc>
        <w:tc>
          <w:tcPr>
            <w:tcW w:type="dxa" w:w="7360"/>
            <w:vAlign w:val="center"/>
          </w:tcPr>
          <w:p>
            <w:pPr>
              <w:spacing w:after="0" w:line="269" w:lineRule="auto"/>
              <w:jc w:val="left"/>
            </w:pPr>
            <w:r>
              <w:rPr>
                <w:rFonts w:ascii="Calibri" w:hAnsi="Calibri" w:eastAsia="Calibri"/>
                <w:b w:val="0"/>
                <w:color w:val="26322E"/>
                <w:sz w:val="17"/>
              </w:rPr>
              <w:t>Subject- and question-type benchmark; inter-rater protocol; override-rate tracking; confidence thresholds</w:t>
            </w:r>
          </w:p>
        </w:tc>
      </w:tr>
      <w:tr>
        <w:trPr>
          <w:cantSplit w:val="true"/>
        </w:trPr>
        <w:tc>
          <w:tcPr>
            <w:tcW w:type="dxa" w:w="2000"/>
            <w:shd w:fill="F3F5F4" w:val="clear"/>
            <w:vAlign w:val="center"/>
          </w:tcPr>
          <w:p>
            <w:pPr>
              <w:spacing w:after="0" w:line="269" w:lineRule="auto"/>
              <w:jc w:val="left"/>
            </w:pPr>
            <w:r>
              <w:rPr>
                <w:rFonts w:ascii="Calibri" w:hAnsi="Calibri" w:eastAsia="Calibri"/>
                <w:b/>
                <w:color w:val="26322E"/>
                <w:sz w:val="17"/>
              </w:rPr>
              <w:t>Fairness</w:t>
            </w:r>
          </w:p>
        </w:tc>
        <w:tc>
          <w:tcPr>
            <w:tcW w:type="dxa" w:w="7360"/>
            <w:shd w:fill="F3F5F4" w:val="clear"/>
            <w:vAlign w:val="center"/>
          </w:tcPr>
          <w:p>
            <w:pPr>
              <w:spacing w:after="0" w:line="269" w:lineRule="auto"/>
              <w:jc w:val="left"/>
            </w:pPr>
            <w:r>
              <w:rPr>
                <w:rFonts w:ascii="Calibri" w:hAnsi="Calibri" w:eastAsia="Calibri"/>
                <w:b w:val="0"/>
                <w:color w:val="26322E"/>
                <w:sz w:val="17"/>
              </w:rPr>
              <w:t>Blind review where appropriate; cohort error analysis; handwriting-quality and language-segment checks</w:t>
            </w:r>
          </w:p>
        </w:tc>
      </w:tr>
      <w:tr>
        <w:trPr>
          <w:cantSplit w:val="true"/>
        </w:trPr>
        <w:tc>
          <w:tcPr>
            <w:tcW w:type="dxa" w:w="2000"/>
            <w:vAlign w:val="center"/>
          </w:tcPr>
          <w:p>
            <w:pPr>
              <w:spacing w:after="0" w:line="269" w:lineRule="auto"/>
              <w:jc w:val="left"/>
            </w:pPr>
            <w:r>
              <w:rPr>
                <w:rFonts w:ascii="Calibri" w:hAnsi="Calibri" w:eastAsia="Calibri"/>
                <w:b/>
                <w:color w:val="26322E"/>
                <w:sz w:val="17"/>
              </w:rPr>
              <w:t>Auditability</w:t>
            </w:r>
          </w:p>
        </w:tc>
        <w:tc>
          <w:tcPr>
            <w:tcW w:type="dxa" w:w="7360"/>
            <w:vAlign w:val="center"/>
          </w:tcPr>
          <w:p>
            <w:pPr>
              <w:spacing w:after="0" w:line="269" w:lineRule="auto"/>
              <w:jc w:val="left"/>
            </w:pPr>
            <w:r>
              <w:rPr>
                <w:rFonts w:ascii="Calibri" w:hAnsi="Calibri" w:eastAsia="Calibri"/>
                <w:b w:val="0"/>
                <w:color w:val="26322E"/>
                <w:sz w:val="17"/>
              </w:rPr>
              <w:t>Immutable event trail for upload, extraction, score, override, approver, and publication</w:t>
            </w:r>
          </w:p>
        </w:tc>
      </w:tr>
      <w:tr>
        <w:trPr>
          <w:cantSplit w:val="true"/>
        </w:trPr>
        <w:tc>
          <w:tcPr>
            <w:tcW w:type="dxa" w:w="2000"/>
            <w:shd w:fill="F3F5F4" w:val="clear"/>
            <w:vAlign w:val="center"/>
          </w:tcPr>
          <w:p>
            <w:pPr>
              <w:spacing w:after="0" w:line="269" w:lineRule="auto"/>
              <w:jc w:val="left"/>
            </w:pPr>
            <w:r>
              <w:rPr>
                <w:rFonts w:ascii="Calibri" w:hAnsi="Calibri" w:eastAsia="Calibri"/>
                <w:b/>
                <w:color w:val="26322E"/>
                <w:sz w:val="17"/>
              </w:rPr>
              <w:t>Privacy</w:t>
            </w:r>
          </w:p>
        </w:tc>
        <w:tc>
          <w:tcPr>
            <w:tcW w:type="dxa" w:w="7360"/>
            <w:shd w:fill="F3F5F4" w:val="clear"/>
            <w:vAlign w:val="center"/>
          </w:tcPr>
          <w:p>
            <w:pPr>
              <w:spacing w:after="0" w:line="269" w:lineRule="auto"/>
              <w:jc w:val="left"/>
            </w:pPr>
            <w:r>
              <w:rPr>
                <w:rFonts w:ascii="Calibri" w:hAnsi="Calibri" w:eastAsia="Calibri"/>
                <w:b w:val="0"/>
                <w:color w:val="26322E"/>
                <w:sz w:val="17"/>
              </w:rPr>
              <w:t>Data inventory, lawful basis/notice support, purpose limitation, retention schedule, deletion/export workflow, vendor DPAs</w:t>
            </w:r>
          </w:p>
        </w:tc>
      </w:tr>
      <w:tr>
        <w:trPr>
          <w:cantSplit w:val="true"/>
        </w:trPr>
        <w:tc>
          <w:tcPr>
            <w:tcW w:type="dxa" w:w="2000"/>
            <w:vAlign w:val="center"/>
          </w:tcPr>
          <w:p>
            <w:pPr>
              <w:spacing w:after="0" w:line="269" w:lineRule="auto"/>
              <w:jc w:val="left"/>
            </w:pPr>
            <w:r>
              <w:rPr>
                <w:rFonts w:ascii="Calibri" w:hAnsi="Calibri" w:eastAsia="Calibri"/>
                <w:b/>
                <w:color w:val="26322E"/>
                <w:sz w:val="17"/>
              </w:rPr>
              <w:t>Security</w:t>
            </w:r>
          </w:p>
        </w:tc>
        <w:tc>
          <w:tcPr>
            <w:tcW w:type="dxa" w:w="7360"/>
            <w:vAlign w:val="center"/>
          </w:tcPr>
          <w:p>
            <w:pPr>
              <w:spacing w:after="0" w:line="269" w:lineRule="auto"/>
              <w:jc w:val="left"/>
            </w:pPr>
            <w:r>
              <w:rPr>
                <w:rFonts w:ascii="Calibri" w:hAnsi="Calibri" w:eastAsia="Calibri"/>
                <w:b w:val="0"/>
                <w:color w:val="26322E"/>
                <w:sz w:val="17"/>
              </w:rPr>
              <w:t>Encryption, RBAC, least privilege, isolated tenants, secrets management, backups, incident response, vulnerability testing</w:t>
            </w:r>
          </w:p>
        </w:tc>
      </w:tr>
      <w:tr>
        <w:trPr>
          <w:cantSplit w:val="true"/>
        </w:trPr>
        <w:tc>
          <w:tcPr>
            <w:tcW w:type="dxa" w:w="2000"/>
            <w:shd w:fill="F3F5F4" w:val="clear"/>
            <w:vAlign w:val="center"/>
          </w:tcPr>
          <w:p>
            <w:pPr>
              <w:spacing w:after="0" w:line="269" w:lineRule="auto"/>
              <w:jc w:val="left"/>
            </w:pPr>
            <w:r>
              <w:rPr>
                <w:rFonts w:ascii="Calibri" w:hAnsi="Calibri" w:eastAsia="Calibri"/>
                <w:b/>
                <w:color w:val="26322E"/>
                <w:sz w:val="17"/>
              </w:rPr>
              <w:t>Reliability</w:t>
            </w:r>
          </w:p>
        </w:tc>
        <w:tc>
          <w:tcPr>
            <w:tcW w:type="dxa" w:w="7360"/>
            <w:shd w:fill="F3F5F4" w:val="clear"/>
            <w:vAlign w:val="center"/>
          </w:tcPr>
          <w:p>
            <w:pPr>
              <w:spacing w:after="0" w:line="269" w:lineRule="auto"/>
              <w:jc w:val="left"/>
            </w:pPr>
            <w:r>
              <w:rPr>
                <w:rFonts w:ascii="Calibri" w:hAnsi="Calibri" w:eastAsia="Calibri"/>
                <w:b w:val="0"/>
                <w:color w:val="26322E"/>
                <w:sz w:val="17"/>
              </w:rPr>
              <w:t>Retry logic, queue visibility, idempotency, model fallback policy, service-level monitoring, disaster recovery</w:t>
            </w:r>
          </w:p>
        </w:tc>
      </w:tr>
      <w:tr>
        <w:trPr>
          <w:cantSplit w:val="true"/>
        </w:trPr>
        <w:tc>
          <w:tcPr>
            <w:tcW w:type="dxa" w:w="2000"/>
            <w:vAlign w:val="center"/>
          </w:tcPr>
          <w:p>
            <w:pPr>
              <w:spacing w:after="0" w:line="269" w:lineRule="auto"/>
              <w:jc w:val="left"/>
            </w:pPr>
            <w:r>
              <w:rPr>
                <w:rFonts w:ascii="Calibri" w:hAnsi="Calibri" w:eastAsia="Calibri"/>
                <w:b/>
                <w:color w:val="26322E"/>
                <w:sz w:val="17"/>
              </w:rPr>
              <w:t>Academic control</w:t>
            </w:r>
          </w:p>
        </w:tc>
        <w:tc>
          <w:tcPr>
            <w:tcW w:type="dxa" w:w="7360"/>
            <w:vAlign w:val="center"/>
          </w:tcPr>
          <w:p>
            <w:pPr>
              <w:spacing w:after="0" w:line="269" w:lineRule="auto"/>
              <w:jc w:val="left"/>
            </w:pPr>
            <w:r>
              <w:rPr>
                <w:rFonts w:ascii="Calibri" w:hAnsi="Calibri" w:eastAsia="Calibri"/>
                <w:b w:val="0"/>
                <w:color w:val="26322E"/>
                <w:sz w:val="17"/>
              </w:rPr>
              <w:t>Faculty-approved rubrics, explicit appeal/re-evaluation process, no autonomous publication by default</w:t>
            </w:r>
          </w:p>
        </w:tc>
      </w:tr>
    </w:tbl>
    <w:p>
      <w:pPr>
        <w:spacing w:after="40"/>
      </w:pPr>
    </w:p>
    <w:p>
      <w:pPr>
        <w:spacing w:before="0" w:after="160" w:line="302" w:lineRule="auto"/>
        <w:jc w:val="left"/>
      </w:pPr>
      <w:r>
        <w:rPr>
          <w:rFonts w:ascii="Calibri" w:hAnsi="Calibri" w:eastAsia="Calibri"/>
          <w:i w:val="0"/>
          <w:color w:val="26322E"/>
        </w:rPr>
        <w:t>India's Digital Personal Data Protection Rules, 2025 were notified in November 2025 with a staged enforcement timeline for the Act and Rules. Because answer sheets and student identifiers are personal data, privacy readiness should be part of the product roadmap and contract architecture, with qualified Indian legal counsel confirming obligations and timelines. [9]</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EAF1EC" w:val="clear"/>
            <w:tcBorders>
              <w:top w:val="single" w:sz="4" w:color="EAF1EC"/>
              <w:start w:val="single" w:sz="18" w:color="145A38"/>
              <w:bottom w:val="single" w:sz="4" w:color="EAF1EC"/>
              <w:end w:val="single" w:sz="4" w:color="EAF1EC"/>
            </w:tcBorders>
          </w:tcPr>
          <w:p>
            <w:pPr>
              <w:spacing w:after="60"/>
            </w:pPr>
            <w:r>
              <w:rPr>
                <w:rFonts w:ascii="Calibri" w:hAnsi="Calibri" w:eastAsia="Calibri"/>
                <w:b/>
                <w:color w:val="145A38"/>
                <w:sz w:val="16"/>
              </w:rPr>
              <w:t>NON-NEGOTIABLE POLICY</w:t>
            </w:r>
          </w:p>
          <w:p>
            <w:pPr>
              <w:spacing w:after="80"/>
            </w:pPr>
            <w:r>
              <w:rPr>
                <w:rFonts w:ascii="Calibri" w:hAnsi="Calibri" w:eastAsia="Calibri"/>
                <w:b/>
                <w:color w:val="1A2421"/>
                <w:sz w:val="27"/>
              </w:rPr>
              <w:t>Faculty approval remains the final grading authority.</w:t>
            </w:r>
          </w:p>
          <w:p>
            <w:pPr>
              <w:spacing w:after="0" w:line="283" w:lineRule="auto"/>
            </w:pPr>
            <w:r>
              <w:rPr>
                <w:rFonts w:ascii="Calibri" w:hAnsi="Calibri" w:eastAsia="Calibri"/>
                <w:color w:val="26322E"/>
                <w:sz w:val="20"/>
              </w:rPr>
              <w:t>At this stage, DASES should default to assistive evaluation with visible rationale, editable scores, confidence-based escalation, and a documented re-evaluation route. This reduces both adoption risk and academic harm.</w:t>
            </w:r>
          </w:p>
        </w:tc>
      </w:tr>
    </w:tbl>
    <w:p>
      <w:pPr>
        <w:spacing w:after="20"/>
      </w:pPr>
    </w:p>
    <w:p>
      <w:pPr>
        <w:keepNext/>
        <w:spacing w:before="0" w:after="120"/>
      </w:pPr>
      <w:r>
        <w:rPr>
          <w:rFonts w:ascii="Calibri" w:hAnsi="Calibri" w:eastAsia="Calibri"/>
          <w:b/>
          <w:color w:val="BF9B30"/>
          <w:sz w:val="17"/>
        </w:rPr>
        <w:t>SECTION 10</w:t>
      </w:r>
    </w:p>
    <w:p>
      <w:pPr>
        <w:pStyle w:val="Heading1"/>
      </w:pPr>
      <w:r>
        <w:t>18–36 Month Execution Roadmap</w:t>
      </w:r>
    </w:p>
    <w:p>
      <w:pPr>
        <w:spacing w:after="200"/>
      </w:pPr>
      <w:r>
        <w:rPr>
          <w:rFonts w:ascii="Calibri" w:hAnsi="Calibri" w:eastAsia="Calibri"/>
          <w:i/>
          <w:color w:val="5F6E67"/>
          <w:sz w:val="23"/>
        </w:rPr>
        <w:t>Fund milestones that change the next financing outcome</w:t>
      </w:r>
    </w:p>
    <w:tbl>
      <w:tblPr>
        <w:tblStyle w:val="TableGrid"/>
        <w:tblW w:type="dxa" w:w="9360"/>
        <w:tblLook w:firstColumn="1" w:firstRow="1" w:lastColumn="0" w:lastRow="0" w:noHBand="0" w:noVBand="1" w:val="04A0"/>
        <w:jc w:val="left"/>
        <w:tblInd w:w="120" w:type="dxa"/>
        <w:tblLayout w:type="fixed"/>
      </w:tblPr>
      <w:tblGrid>
        <w:gridCol w:w="1300"/>
        <w:gridCol w:w="3020"/>
        <w:gridCol w:w="3000"/>
        <w:gridCol w:w="2040"/>
      </w:tblGrid>
      <w:tr>
        <w:trPr>
          <w:tblHeader w:val="true"/>
          <w:cantSplit w:val="true"/>
        </w:trPr>
        <w:tc>
          <w:tcPr>
            <w:tcW w:type="dxa" w:w="13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Period</w:t>
            </w:r>
          </w:p>
        </w:tc>
        <w:tc>
          <w:tcPr>
            <w:tcW w:type="dxa" w:w="30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Product &amp; trust</w:t>
            </w:r>
          </w:p>
        </w:tc>
        <w:tc>
          <w:tcPr>
            <w:tcW w:type="dxa" w:w="30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Commercial</w:t>
            </w:r>
          </w:p>
        </w:tc>
        <w:tc>
          <w:tcPr>
            <w:tcW w:type="dxa" w:w="204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Organization</w:t>
            </w:r>
          </w:p>
        </w:tc>
      </w:tr>
      <w:tr>
        <w:trPr>
          <w:cantSplit w:val="true"/>
        </w:trPr>
        <w:tc>
          <w:tcPr>
            <w:tcW w:type="dxa" w:w="1300"/>
            <w:vAlign w:val="center"/>
          </w:tcPr>
          <w:p>
            <w:pPr>
              <w:spacing w:after="0" w:line="269" w:lineRule="auto"/>
              <w:jc w:val="left"/>
            </w:pPr>
            <w:r>
              <w:rPr>
                <w:rFonts w:ascii="Calibri" w:hAnsi="Calibri" w:eastAsia="Calibri"/>
                <w:b/>
                <w:color w:val="26322E"/>
                <w:sz w:val="16"/>
              </w:rPr>
              <w:t>0–6 months</w:t>
            </w:r>
          </w:p>
        </w:tc>
        <w:tc>
          <w:tcPr>
            <w:tcW w:type="dxa" w:w="3020"/>
            <w:vAlign w:val="center"/>
          </w:tcPr>
          <w:p>
            <w:pPr>
              <w:spacing w:after="0" w:line="269" w:lineRule="auto"/>
              <w:jc w:val="left"/>
            </w:pPr>
            <w:r>
              <w:rPr>
                <w:rFonts w:ascii="Calibri" w:hAnsi="Calibri" w:eastAsia="Calibri"/>
                <w:b w:val="0"/>
                <w:color w:val="26322E"/>
                <w:sz w:val="16"/>
              </w:rPr>
              <w:t>Ship Sept 2026 sample answers/rubrics; benchmark protocol; confidence routing; cost telemetry; core DPDP controls</w:t>
            </w:r>
          </w:p>
        </w:tc>
        <w:tc>
          <w:tcPr>
            <w:tcW w:type="dxa" w:w="3000"/>
            <w:vAlign w:val="center"/>
          </w:tcPr>
          <w:p>
            <w:pPr>
              <w:spacing w:after="0" w:line="269" w:lineRule="auto"/>
              <w:jc w:val="left"/>
            </w:pPr>
            <w:r>
              <w:rPr>
                <w:rFonts w:ascii="Calibri" w:hAnsi="Calibri" w:eastAsia="Calibri"/>
                <w:b w:val="0"/>
                <w:color w:val="26322E"/>
                <w:sz w:val="16"/>
              </w:rPr>
              <w:t>10–15 paying institutions; 3 referenceable pilots; productized pilot kit</w:t>
            </w:r>
          </w:p>
        </w:tc>
        <w:tc>
          <w:tcPr>
            <w:tcW w:type="dxa" w:w="2040"/>
            <w:vAlign w:val="center"/>
          </w:tcPr>
          <w:p>
            <w:pPr>
              <w:spacing w:after="0" w:line="269" w:lineRule="auto"/>
              <w:jc w:val="left"/>
            </w:pPr>
            <w:r>
              <w:rPr>
                <w:rFonts w:ascii="Calibri" w:hAnsi="Calibri" w:eastAsia="Calibri"/>
                <w:b w:val="0"/>
                <w:color w:val="26322E"/>
                <w:sz w:val="16"/>
              </w:rPr>
              <w:t>Strengthen AI/ML, academic QA, and customer success</w:t>
            </w:r>
          </w:p>
        </w:tc>
      </w:tr>
      <w:tr>
        <w:trPr>
          <w:cantSplit w:val="true"/>
        </w:trPr>
        <w:tc>
          <w:tcPr>
            <w:tcW w:type="dxa" w:w="1300"/>
            <w:shd w:fill="F3F5F4" w:val="clear"/>
            <w:vAlign w:val="center"/>
          </w:tcPr>
          <w:p>
            <w:pPr>
              <w:spacing w:after="0" w:line="269" w:lineRule="auto"/>
              <w:jc w:val="left"/>
            </w:pPr>
            <w:r>
              <w:rPr>
                <w:rFonts w:ascii="Calibri" w:hAnsi="Calibri" w:eastAsia="Calibri"/>
                <w:b/>
                <w:color w:val="26322E"/>
                <w:sz w:val="16"/>
              </w:rPr>
              <w:t>6–12 months</w:t>
            </w:r>
          </w:p>
        </w:tc>
        <w:tc>
          <w:tcPr>
            <w:tcW w:type="dxa" w:w="3020"/>
            <w:shd w:fill="F3F5F4" w:val="clear"/>
            <w:vAlign w:val="center"/>
          </w:tcPr>
          <w:p>
            <w:pPr>
              <w:spacing w:after="0" w:line="269" w:lineRule="auto"/>
              <w:jc w:val="left"/>
            </w:pPr>
            <w:r>
              <w:rPr>
                <w:rFonts w:ascii="Calibri" w:hAnsi="Calibri" w:eastAsia="Calibri"/>
                <w:b w:val="0"/>
                <w:color w:val="26322E"/>
                <w:sz w:val="16"/>
              </w:rPr>
              <w:t>Multi-department administration; audit/re-evaluation; ERP/LMS/roster connectors; usage billing</w:t>
            </w:r>
          </w:p>
        </w:tc>
        <w:tc>
          <w:tcPr>
            <w:tcW w:type="dxa" w:w="3000"/>
            <w:shd w:fill="F3F5F4" w:val="clear"/>
            <w:vAlign w:val="center"/>
          </w:tcPr>
          <w:p>
            <w:pPr>
              <w:spacing w:after="0" w:line="269" w:lineRule="auto"/>
              <w:jc w:val="left"/>
            </w:pPr>
            <w:r>
              <w:rPr>
                <w:rFonts w:ascii="Calibri" w:hAnsi="Calibri" w:eastAsia="Calibri"/>
                <w:b w:val="0"/>
                <w:color w:val="26322E"/>
                <w:sz w:val="16"/>
              </w:rPr>
              <w:t>25–30 paying institutions; repeatable regional funnel; first expansion contracts</w:t>
            </w:r>
          </w:p>
        </w:tc>
        <w:tc>
          <w:tcPr>
            <w:tcW w:type="dxa" w:w="2040"/>
            <w:shd w:fill="F3F5F4" w:val="clear"/>
            <w:vAlign w:val="center"/>
          </w:tcPr>
          <w:p>
            <w:pPr>
              <w:spacing w:after="0" w:line="269" w:lineRule="auto"/>
              <w:jc w:val="left"/>
            </w:pPr>
            <w:r>
              <w:rPr>
                <w:rFonts w:ascii="Calibri" w:hAnsi="Calibri" w:eastAsia="Calibri"/>
                <w:b w:val="0"/>
                <w:color w:val="26322E"/>
                <w:sz w:val="16"/>
              </w:rPr>
              <w:t>Hire enterprise sales and implementation leads</w:t>
            </w:r>
          </w:p>
        </w:tc>
      </w:tr>
      <w:tr>
        <w:trPr>
          <w:cantSplit w:val="true"/>
        </w:trPr>
        <w:tc>
          <w:tcPr>
            <w:tcW w:type="dxa" w:w="1300"/>
            <w:vAlign w:val="center"/>
          </w:tcPr>
          <w:p>
            <w:pPr>
              <w:spacing w:after="0" w:line="269" w:lineRule="auto"/>
              <w:jc w:val="left"/>
            </w:pPr>
            <w:r>
              <w:rPr>
                <w:rFonts w:ascii="Calibri" w:hAnsi="Calibri" w:eastAsia="Calibri"/>
                <w:b/>
                <w:color w:val="26322E"/>
                <w:sz w:val="16"/>
              </w:rPr>
              <w:t>12–18 months</w:t>
            </w:r>
          </w:p>
        </w:tc>
        <w:tc>
          <w:tcPr>
            <w:tcW w:type="dxa" w:w="3020"/>
            <w:vAlign w:val="center"/>
          </w:tcPr>
          <w:p>
            <w:pPr>
              <w:spacing w:after="0" w:line="269" w:lineRule="auto"/>
              <w:jc w:val="left"/>
            </w:pPr>
            <w:r>
              <w:rPr>
                <w:rFonts w:ascii="Calibri" w:hAnsi="Calibri" w:eastAsia="Calibri"/>
                <w:b w:val="0"/>
                <w:color w:val="26322E"/>
                <w:sz w:val="16"/>
              </w:rPr>
              <w:t>Independent validation; security audit/certification readiness; analytics v1</w:t>
            </w:r>
          </w:p>
        </w:tc>
        <w:tc>
          <w:tcPr>
            <w:tcW w:type="dxa" w:w="3000"/>
            <w:vAlign w:val="center"/>
          </w:tcPr>
          <w:p>
            <w:pPr>
              <w:spacing w:after="0" w:line="269" w:lineRule="auto"/>
              <w:jc w:val="left"/>
            </w:pPr>
            <w:r>
              <w:rPr>
                <w:rFonts w:ascii="Calibri" w:hAnsi="Calibri" w:eastAsia="Calibri"/>
                <w:b w:val="0"/>
                <w:color w:val="26322E"/>
                <w:sz w:val="16"/>
              </w:rPr>
              <w:t>50 paying institutions; ₹2 crore ARR run-rate; &gt;90% gross retention</w:t>
            </w:r>
          </w:p>
        </w:tc>
        <w:tc>
          <w:tcPr>
            <w:tcW w:type="dxa" w:w="2040"/>
            <w:vAlign w:val="center"/>
          </w:tcPr>
          <w:p>
            <w:pPr>
              <w:spacing w:after="0" w:line="269" w:lineRule="auto"/>
              <w:jc w:val="left"/>
            </w:pPr>
            <w:r>
              <w:rPr>
                <w:rFonts w:ascii="Calibri" w:hAnsi="Calibri" w:eastAsia="Calibri"/>
                <w:b w:val="0"/>
                <w:color w:val="26322E"/>
                <w:sz w:val="16"/>
              </w:rPr>
              <w:t>Board reporting, finance controls, and second-line leadership</w:t>
            </w:r>
          </w:p>
        </w:tc>
      </w:tr>
      <w:tr>
        <w:trPr>
          <w:cantSplit w:val="true"/>
        </w:trPr>
        <w:tc>
          <w:tcPr>
            <w:tcW w:type="dxa" w:w="1300"/>
            <w:shd w:fill="F3F5F4" w:val="clear"/>
            <w:vAlign w:val="center"/>
          </w:tcPr>
          <w:p>
            <w:pPr>
              <w:spacing w:after="0" w:line="269" w:lineRule="auto"/>
              <w:jc w:val="left"/>
            </w:pPr>
            <w:r>
              <w:rPr>
                <w:rFonts w:ascii="Calibri" w:hAnsi="Calibri" w:eastAsia="Calibri"/>
                <w:b/>
                <w:color w:val="26322E"/>
                <w:sz w:val="16"/>
              </w:rPr>
              <w:t>18–36 months</w:t>
            </w:r>
          </w:p>
        </w:tc>
        <w:tc>
          <w:tcPr>
            <w:tcW w:type="dxa" w:w="3020"/>
            <w:shd w:fill="F3F5F4" w:val="clear"/>
            <w:vAlign w:val="center"/>
          </w:tcPr>
          <w:p>
            <w:pPr>
              <w:spacing w:after="0" w:line="269" w:lineRule="auto"/>
              <w:jc w:val="left"/>
            </w:pPr>
            <w:r>
              <w:rPr>
                <w:rFonts w:ascii="Calibri" w:hAnsi="Calibri" w:eastAsia="Calibri"/>
                <w:b w:val="0"/>
                <w:color w:val="26322E"/>
                <w:sz w:val="16"/>
              </w:rPr>
              <w:t>Language/subject expansion based on demand; accreditation analytics; partner APIs</w:t>
            </w:r>
          </w:p>
        </w:tc>
        <w:tc>
          <w:tcPr>
            <w:tcW w:type="dxa" w:w="3000"/>
            <w:shd w:fill="F3F5F4" w:val="clear"/>
            <w:vAlign w:val="center"/>
          </w:tcPr>
          <w:p>
            <w:pPr>
              <w:spacing w:after="0" w:line="269" w:lineRule="auto"/>
              <w:jc w:val="left"/>
            </w:pPr>
            <w:r>
              <w:rPr>
                <w:rFonts w:ascii="Calibri" w:hAnsi="Calibri" w:eastAsia="Calibri"/>
                <w:b w:val="0"/>
                <w:color w:val="26322E"/>
                <w:sz w:val="16"/>
              </w:rPr>
              <w:t>200 institutions by FY29; selective school/coaching channels; 2–3 regional clusters</w:t>
            </w:r>
          </w:p>
        </w:tc>
        <w:tc>
          <w:tcPr>
            <w:tcW w:type="dxa" w:w="2040"/>
            <w:shd w:fill="F3F5F4" w:val="clear"/>
            <w:vAlign w:val="center"/>
          </w:tcPr>
          <w:p>
            <w:pPr>
              <w:spacing w:after="0" w:line="269" w:lineRule="auto"/>
              <w:jc w:val="left"/>
            </w:pPr>
            <w:r>
              <w:rPr>
                <w:rFonts w:ascii="Calibri" w:hAnsi="Calibri" w:eastAsia="Calibri"/>
                <w:b w:val="0"/>
                <w:color w:val="26322E"/>
                <w:sz w:val="16"/>
              </w:rPr>
              <w:t>Scale GTM, support, security, and model operations</w:t>
            </w:r>
          </w:p>
        </w:tc>
      </w:tr>
    </w:tbl>
    <w:p>
      <w:pPr>
        <w:spacing w:after="40"/>
      </w:pPr>
    </w:p>
    <w:p>
      <w:pPr>
        <w:pStyle w:val="Heading2"/>
      </w:pPr>
      <w:r>
        <w:t>Hiring plan by capability</w:t>
      </w:r>
    </w:p>
    <w:tbl>
      <w:tblPr>
        <w:tblStyle w:val="TableGrid"/>
        <w:tblW w:type="dxa" w:w="9360"/>
        <w:tblLook w:firstColumn="1" w:firstRow="1" w:lastColumn="0" w:lastRow="0" w:noHBand="0" w:noVBand="1" w:val="04A0"/>
        <w:jc w:val="left"/>
        <w:tblInd w:w="120" w:type="dxa"/>
        <w:tblLayout w:type="fixed"/>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Capability</w:t>
            </w:r>
          </w:p>
        </w:tc>
        <w:tc>
          <w:tcPr>
            <w:tcW w:type="dxa" w:w="30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Near-term priority</w:t>
            </w:r>
          </w:p>
        </w:tc>
        <w:tc>
          <w:tcPr>
            <w:tcW w:type="dxa" w:w="41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Why now</w:t>
            </w:r>
          </w:p>
        </w:tc>
      </w:tr>
      <w:tr>
        <w:trPr>
          <w:cantSplit w:val="true"/>
        </w:trPr>
        <w:tc>
          <w:tcPr>
            <w:tcW w:type="dxa" w:w="2200"/>
            <w:vAlign w:val="center"/>
          </w:tcPr>
          <w:p>
            <w:pPr>
              <w:spacing w:after="0" w:line="269" w:lineRule="auto"/>
              <w:jc w:val="left"/>
            </w:pPr>
            <w:r>
              <w:rPr>
                <w:rFonts w:ascii="Calibri" w:hAnsi="Calibri" w:eastAsia="Calibri"/>
                <w:b/>
                <w:color w:val="26322E"/>
                <w:sz w:val="17"/>
              </w:rPr>
              <w:t>AI/ML &amp; evaluation quality</w:t>
            </w:r>
          </w:p>
        </w:tc>
        <w:tc>
          <w:tcPr>
            <w:tcW w:type="dxa" w:w="3000"/>
            <w:vAlign w:val="center"/>
          </w:tcPr>
          <w:p>
            <w:pPr>
              <w:spacing w:after="0" w:line="269" w:lineRule="auto"/>
              <w:jc w:val="left"/>
            </w:pPr>
            <w:r>
              <w:rPr>
                <w:rFonts w:ascii="Calibri" w:hAnsi="Calibri" w:eastAsia="Calibri"/>
                <w:b w:val="0"/>
                <w:color w:val="26322E"/>
                <w:sz w:val="17"/>
              </w:rPr>
              <w:t>Senior owner + evaluation engineer</w:t>
            </w:r>
          </w:p>
        </w:tc>
        <w:tc>
          <w:tcPr>
            <w:tcW w:type="dxa" w:w="4160"/>
            <w:vAlign w:val="center"/>
          </w:tcPr>
          <w:p>
            <w:pPr>
              <w:spacing w:after="0" w:line="269" w:lineRule="auto"/>
              <w:jc w:val="left"/>
            </w:pPr>
            <w:r>
              <w:rPr>
                <w:rFonts w:ascii="Calibri" w:hAnsi="Calibri" w:eastAsia="Calibri"/>
                <w:b w:val="0"/>
                <w:color w:val="26322E"/>
                <w:sz w:val="17"/>
              </w:rPr>
              <w:t>Benchmarking, confidence, cost, model reliability</w:t>
            </w:r>
          </w:p>
        </w:tc>
      </w:tr>
      <w:tr>
        <w:trPr>
          <w:cantSplit w:val="true"/>
        </w:trPr>
        <w:tc>
          <w:tcPr>
            <w:tcW w:type="dxa" w:w="2200"/>
            <w:shd w:fill="F3F5F4" w:val="clear"/>
            <w:vAlign w:val="center"/>
          </w:tcPr>
          <w:p>
            <w:pPr>
              <w:spacing w:after="0" w:line="269" w:lineRule="auto"/>
              <w:jc w:val="left"/>
            </w:pPr>
            <w:r>
              <w:rPr>
                <w:rFonts w:ascii="Calibri" w:hAnsi="Calibri" w:eastAsia="Calibri"/>
                <w:b/>
                <w:color w:val="26322E"/>
                <w:sz w:val="17"/>
              </w:rPr>
              <w:t>Academic quality</w:t>
            </w:r>
          </w:p>
        </w:tc>
        <w:tc>
          <w:tcPr>
            <w:tcW w:type="dxa" w:w="3000"/>
            <w:shd w:fill="F3F5F4" w:val="clear"/>
            <w:vAlign w:val="center"/>
          </w:tcPr>
          <w:p>
            <w:pPr>
              <w:spacing w:after="0" w:line="269" w:lineRule="auto"/>
              <w:jc w:val="left"/>
            </w:pPr>
            <w:r>
              <w:rPr>
                <w:rFonts w:ascii="Calibri" w:hAnsi="Calibri" w:eastAsia="Calibri"/>
                <w:b w:val="0"/>
                <w:color w:val="26322E"/>
                <w:sz w:val="17"/>
              </w:rPr>
              <w:t>Advisor panel + full-time program lead</w:t>
            </w:r>
          </w:p>
        </w:tc>
        <w:tc>
          <w:tcPr>
            <w:tcW w:type="dxa" w:w="4160"/>
            <w:shd w:fill="F3F5F4" w:val="clear"/>
            <w:vAlign w:val="center"/>
          </w:tcPr>
          <w:p>
            <w:pPr>
              <w:spacing w:after="0" w:line="269" w:lineRule="auto"/>
              <w:jc w:val="left"/>
            </w:pPr>
            <w:r>
              <w:rPr>
                <w:rFonts w:ascii="Calibri" w:hAnsi="Calibri" w:eastAsia="Calibri"/>
                <w:b w:val="0"/>
                <w:color w:val="26322E"/>
                <w:sz w:val="17"/>
              </w:rPr>
              <w:t>Rubric design, subject coverage, faculty trust</w:t>
            </w:r>
          </w:p>
        </w:tc>
      </w:tr>
      <w:tr>
        <w:trPr>
          <w:cantSplit w:val="true"/>
        </w:trPr>
        <w:tc>
          <w:tcPr>
            <w:tcW w:type="dxa" w:w="2200"/>
            <w:vAlign w:val="center"/>
          </w:tcPr>
          <w:p>
            <w:pPr>
              <w:spacing w:after="0" w:line="269" w:lineRule="auto"/>
              <w:jc w:val="left"/>
            </w:pPr>
            <w:r>
              <w:rPr>
                <w:rFonts w:ascii="Calibri" w:hAnsi="Calibri" w:eastAsia="Calibri"/>
                <w:b/>
                <w:color w:val="26322E"/>
                <w:sz w:val="17"/>
              </w:rPr>
              <w:t>Product/engineering</w:t>
            </w:r>
          </w:p>
        </w:tc>
        <w:tc>
          <w:tcPr>
            <w:tcW w:type="dxa" w:w="3000"/>
            <w:vAlign w:val="center"/>
          </w:tcPr>
          <w:p>
            <w:pPr>
              <w:spacing w:after="0" w:line="269" w:lineRule="auto"/>
              <w:jc w:val="left"/>
            </w:pPr>
            <w:r>
              <w:rPr>
                <w:rFonts w:ascii="Calibri" w:hAnsi="Calibri" w:eastAsia="Calibri"/>
                <w:b w:val="0"/>
                <w:color w:val="26322E"/>
                <w:sz w:val="17"/>
              </w:rPr>
              <w:t>2–3 full-stack/platform hires</w:t>
            </w:r>
          </w:p>
        </w:tc>
        <w:tc>
          <w:tcPr>
            <w:tcW w:type="dxa" w:w="4160"/>
            <w:vAlign w:val="center"/>
          </w:tcPr>
          <w:p>
            <w:pPr>
              <w:spacing w:after="0" w:line="269" w:lineRule="auto"/>
              <w:jc w:val="left"/>
            </w:pPr>
            <w:r>
              <w:rPr>
                <w:rFonts w:ascii="Calibri" w:hAnsi="Calibri" w:eastAsia="Calibri"/>
                <w:b w:val="0"/>
                <w:color w:val="26322E"/>
                <w:sz w:val="17"/>
              </w:rPr>
              <w:t>Admin, integrations, billing, reliability</w:t>
            </w:r>
          </w:p>
        </w:tc>
      </w:tr>
      <w:tr>
        <w:trPr>
          <w:cantSplit w:val="true"/>
        </w:trPr>
        <w:tc>
          <w:tcPr>
            <w:tcW w:type="dxa" w:w="2200"/>
            <w:shd w:fill="F3F5F4" w:val="clear"/>
            <w:vAlign w:val="center"/>
          </w:tcPr>
          <w:p>
            <w:pPr>
              <w:spacing w:after="0" w:line="269" w:lineRule="auto"/>
              <w:jc w:val="left"/>
            </w:pPr>
            <w:r>
              <w:rPr>
                <w:rFonts w:ascii="Calibri" w:hAnsi="Calibri" w:eastAsia="Calibri"/>
                <w:b/>
                <w:color w:val="26322E"/>
                <w:sz w:val="17"/>
              </w:rPr>
              <w:t>Enterprise sales</w:t>
            </w:r>
          </w:p>
        </w:tc>
        <w:tc>
          <w:tcPr>
            <w:tcW w:type="dxa" w:w="3000"/>
            <w:shd w:fill="F3F5F4" w:val="clear"/>
            <w:vAlign w:val="center"/>
          </w:tcPr>
          <w:p>
            <w:pPr>
              <w:spacing w:after="0" w:line="269" w:lineRule="auto"/>
              <w:jc w:val="left"/>
            </w:pPr>
            <w:r>
              <w:rPr>
                <w:rFonts w:ascii="Calibri" w:hAnsi="Calibri" w:eastAsia="Calibri"/>
                <w:b w:val="0"/>
                <w:color w:val="26322E"/>
                <w:sz w:val="17"/>
              </w:rPr>
              <w:t>2 focused sellers after playbook validation</w:t>
            </w:r>
          </w:p>
        </w:tc>
        <w:tc>
          <w:tcPr>
            <w:tcW w:type="dxa" w:w="4160"/>
            <w:shd w:fill="F3F5F4" w:val="clear"/>
            <w:vAlign w:val="center"/>
          </w:tcPr>
          <w:p>
            <w:pPr>
              <w:spacing w:after="0" w:line="269" w:lineRule="auto"/>
              <w:jc w:val="left"/>
            </w:pPr>
            <w:r>
              <w:rPr>
                <w:rFonts w:ascii="Calibri" w:hAnsi="Calibri" w:eastAsia="Calibri"/>
                <w:b w:val="0"/>
                <w:color w:val="26322E"/>
                <w:sz w:val="17"/>
              </w:rPr>
              <w:t>Convert pilots without scaling founder dependency too early</w:t>
            </w:r>
          </w:p>
        </w:tc>
      </w:tr>
      <w:tr>
        <w:trPr>
          <w:cantSplit w:val="true"/>
        </w:trPr>
        <w:tc>
          <w:tcPr>
            <w:tcW w:type="dxa" w:w="2200"/>
            <w:vAlign w:val="center"/>
          </w:tcPr>
          <w:p>
            <w:pPr>
              <w:spacing w:after="0" w:line="269" w:lineRule="auto"/>
              <w:jc w:val="left"/>
            </w:pPr>
            <w:r>
              <w:rPr>
                <w:rFonts w:ascii="Calibri" w:hAnsi="Calibri" w:eastAsia="Calibri"/>
                <w:b/>
                <w:color w:val="26322E"/>
                <w:sz w:val="17"/>
              </w:rPr>
              <w:t>Customer success</w:t>
            </w:r>
          </w:p>
        </w:tc>
        <w:tc>
          <w:tcPr>
            <w:tcW w:type="dxa" w:w="3000"/>
            <w:vAlign w:val="center"/>
          </w:tcPr>
          <w:p>
            <w:pPr>
              <w:spacing w:after="0" w:line="269" w:lineRule="auto"/>
              <w:jc w:val="left"/>
            </w:pPr>
            <w:r>
              <w:rPr>
                <w:rFonts w:ascii="Calibri" w:hAnsi="Calibri" w:eastAsia="Calibri"/>
                <w:b w:val="0"/>
                <w:color w:val="26322E"/>
                <w:sz w:val="17"/>
              </w:rPr>
              <w:t>Implementation lead + support</w:t>
            </w:r>
          </w:p>
        </w:tc>
        <w:tc>
          <w:tcPr>
            <w:tcW w:type="dxa" w:w="4160"/>
            <w:vAlign w:val="center"/>
          </w:tcPr>
          <w:p>
            <w:pPr>
              <w:spacing w:after="0" w:line="269" w:lineRule="auto"/>
              <w:jc w:val="left"/>
            </w:pPr>
            <w:r>
              <w:rPr>
                <w:rFonts w:ascii="Calibri" w:hAnsi="Calibri" w:eastAsia="Calibri"/>
                <w:b w:val="0"/>
                <w:color w:val="26322E"/>
                <w:sz w:val="17"/>
              </w:rPr>
              <w:t>Faster first value, stronger retention and references</w:t>
            </w:r>
          </w:p>
        </w:tc>
      </w:tr>
      <w:tr>
        <w:trPr>
          <w:cantSplit w:val="true"/>
        </w:trPr>
        <w:tc>
          <w:tcPr>
            <w:tcW w:type="dxa" w:w="2200"/>
            <w:shd w:fill="F3F5F4" w:val="clear"/>
            <w:vAlign w:val="center"/>
          </w:tcPr>
          <w:p>
            <w:pPr>
              <w:spacing w:after="0" w:line="269" w:lineRule="auto"/>
              <w:jc w:val="left"/>
            </w:pPr>
            <w:r>
              <w:rPr>
                <w:rFonts w:ascii="Calibri" w:hAnsi="Calibri" w:eastAsia="Calibri"/>
                <w:b/>
                <w:color w:val="26322E"/>
                <w:sz w:val="17"/>
              </w:rPr>
              <w:t>Security/privacy</w:t>
            </w:r>
          </w:p>
        </w:tc>
        <w:tc>
          <w:tcPr>
            <w:tcW w:type="dxa" w:w="3000"/>
            <w:shd w:fill="F3F5F4" w:val="clear"/>
            <w:vAlign w:val="center"/>
          </w:tcPr>
          <w:p>
            <w:pPr>
              <w:spacing w:after="0" w:line="269" w:lineRule="auto"/>
              <w:jc w:val="left"/>
            </w:pPr>
            <w:r>
              <w:rPr>
                <w:rFonts w:ascii="Calibri" w:hAnsi="Calibri" w:eastAsia="Calibri"/>
                <w:b w:val="0"/>
                <w:color w:val="26322E"/>
                <w:sz w:val="17"/>
              </w:rPr>
              <w:t>Fractional specialist → dedicated owner</w:t>
            </w:r>
          </w:p>
        </w:tc>
        <w:tc>
          <w:tcPr>
            <w:tcW w:type="dxa" w:w="4160"/>
            <w:shd w:fill="F3F5F4" w:val="clear"/>
            <w:vAlign w:val="center"/>
          </w:tcPr>
          <w:p>
            <w:pPr>
              <w:spacing w:after="0" w:line="269" w:lineRule="auto"/>
              <w:jc w:val="left"/>
            </w:pPr>
            <w:r>
              <w:rPr>
                <w:rFonts w:ascii="Calibri" w:hAnsi="Calibri" w:eastAsia="Calibri"/>
                <w:b w:val="0"/>
                <w:color w:val="26322E"/>
                <w:sz w:val="17"/>
              </w:rPr>
              <w:t>Enterprise diligence and DPDP readiness</w:t>
            </w:r>
          </w:p>
        </w:tc>
      </w:tr>
    </w:tbl>
    <w:p>
      <w:pPr>
        <w:spacing w:after="40"/>
      </w:pPr>
    </w:p>
    <w:p>
      <w:pPr>
        <w:spacing w:before="0" w:after="160" w:line="302" w:lineRule="auto"/>
        <w:jc w:val="left"/>
      </w:pPr>
      <w:r>
        <w:rPr>
          <w:rFonts w:ascii="Calibri" w:hAnsi="Calibri" w:eastAsia="Calibri"/>
          <w:i w:val="0"/>
          <w:color w:val="26322E"/>
        </w:rPr>
        <w:t>Team disclosure for investor circulation. Add the founders' names, roles, ownership, full-time status, prior technical/education experience, and one proof point per person to the accompanying pitch deck and data room. The public site currently describes the team only as engineers and educators based in India; investors will require named biographies. [2]</w:t>
      </w:r>
    </w:p>
    <w:p>
      <w:pPr>
        <w:keepNext/>
        <w:spacing w:before="0" w:after="120"/>
      </w:pPr>
      <w:r>
        <w:rPr>
          <w:rFonts w:ascii="Calibri" w:hAnsi="Calibri" w:eastAsia="Calibri"/>
          <w:b/>
          <w:color w:val="BF9B30"/>
          <w:sz w:val="17"/>
        </w:rPr>
        <w:t>SECTION 11</w:t>
      </w:r>
    </w:p>
    <w:p>
      <w:pPr>
        <w:pStyle w:val="Heading1"/>
      </w:pPr>
      <w:r>
        <w:t>Illustrative Financial Plan</w:t>
      </w:r>
    </w:p>
    <w:p>
      <w:pPr>
        <w:spacing w:after="200"/>
      </w:pPr>
      <w:r>
        <w:rPr>
          <w:rFonts w:ascii="Calibri" w:hAnsi="Calibri" w:eastAsia="Calibri"/>
          <w:i/>
          <w:color w:val="5F6E67"/>
          <w:sz w:val="23"/>
        </w:rPr>
        <w:t>A milestone model to test the business—not a substitute for actual historicals</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MODEL STATUS</w:t>
            </w:r>
          </w:p>
          <w:p>
            <w:pPr>
              <w:spacing w:after="80"/>
            </w:pPr>
            <w:r>
              <w:rPr>
                <w:rFonts w:ascii="Calibri" w:hAnsi="Calibri" w:eastAsia="Calibri"/>
                <w:b/>
                <w:color w:val="1A2421"/>
                <w:sz w:val="27"/>
              </w:rPr>
              <w:t>Base-case management assumptions; replace with actuals before circulation.</w:t>
            </w:r>
          </w:p>
          <w:p>
            <w:pPr>
              <w:spacing w:after="0" w:line="283" w:lineRule="auto"/>
            </w:pPr>
            <w:r>
              <w:rPr>
                <w:rFonts w:ascii="Calibri" w:hAnsi="Calibri" w:eastAsia="Calibri"/>
                <w:color w:val="26322E"/>
                <w:sz w:val="20"/>
              </w:rPr>
              <w:t>The model below is intentionally bottom-up and conservative on early revenue recognition. It assumes annual commitments grow as accounts add evaluation volume, departments, analytics, and integrations. It excludes GST and does not include financing proceeds as revenue.</w:t>
            </w:r>
          </w:p>
        </w:tc>
      </w:tr>
    </w:tbl>
    <w:p>
      <w:pPr>
        <w:spacing w:after="20"/>
      </w:pPr>
    </w:p>
    <w:p>
      <w:pPr>
        <w:spacing w:after="80"/>
        <w:jc w:val="center"/>
      </w:pPr>
      <w:r>
        <w:drawing>
          <wp:inline xmlns:a="http://schemas.openxmlformats.org/drawingml/2006/main" xmlns:pic="http://schemas.openxmlformats.org/drawingml/2006/picture">
            <wp:extent cx="5715000" cy="2456447"/>
            <wp:docPr id="3" name="Picture 3" descr="Illustrative base-case chart showing revenue rising from 0.25 crore in FY27 to 26 crore in FY30 and EBITDA becoming positive in FY30" title="Illustrative financial base case"/>
            <wp:cNvGraphicFramePr>
              <a:graphicFrameLocks noChangeAspect="1"/>
            </wp:cNvGraphicFramePr>
            <a:graphic>
              <a:graphicData uri="http://schemas.openxmlformats.org/drawingml/2006/picture">
                <pic:pic>
                  <pic:nvPicPr>
                    <pic:cNvPr id="0" name="financial_base_case.png"/>
                    <pic:cNvPicPr/>
                  </pic:nvPicPr>
                  <pic:blipFill>
                    <a:blip r:embed="rId15"/>
                    <a:stretch>
                      <a:fillRect/>
                    </a:stretch>
                  </pic:blipFill>
                  <pic:spPr>
                    <a:xfrm>
                      <a:off x="0" y="0"/>
                      <a:ext cx="5715000" cy="2456447"/>
                    </a:xfrm>
                    <a:prstGeom prst="rect"/>
                  </pic:spPr>
                </pic:pic>
              </a:graphicData>
            </a:graphic>
          </wp:inline>
        </w:drawing>
      </w:r>
    </w:p>
    <w:tbl>
      <w:tblPr>
        <w:tblStyle w:val="TableGrid"/>
        <w:tblW w:type="dxa" w:w="9360"/>
        <w:tblLook w:firstColumn="1" w:firstRow="1" w:lastColumn="0" w:lastRow="0" w:noHBand="0" w:noVBand="1" w:val="04A0"/>
        <w:jc w:val="left"/>
        <w:tblInd w:w="120" w:type="dxa"/>
        <w:tblLayout w:type="fixed"/>
      </w:tblPr>
      <w:tblGrid>
        <w:gridCol w:w="2880"/>
        <w:gridCol w:w="1620"/>
        <w:gridCol w:w="1620"/>
        <w:gridCol w:w="1620"/>
        <w:gridCol w:w="1620"/>
      </w:tblGrid>
      <w:tr>
        <w:trPr>
          <w:tblHeader w:val="true"/>
          <w:cantSplit w:val="true"/>
        </w:trPr>
        <w:tc>
          <w:tcPr>
            <w:tcW w:type="dxa" w:w="288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Metric</w:t>
            </w:r>
          </w:p>
        </w:tc>
        <w:tc>
          <w:tcPr>
            <w:tcW w:type="dxa" w:w="16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FY27</w:t>
            </w:r>
          </w:p>
        </w:tc>
        <w:tc>
          <w:tcPr>
            <w:tcW w:type="dxa" w:w="16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FY28</w:t>
            </w:r>
          </w:p>
        </w:tc>
        <w:tc>
          <w:tcPr>
            <w:tcW w:type="dxa" w:w="16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FY29</w:t>
            </w:r>
          </w:p>
        </w:tc>
        <w:tc>
          <w:tcPr>
            <w:tcW w:type="dxa" w:w="162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FY30</w:t>
            </w:r>
          </w:p>
        </w:tc>
      </w:tr>
      <w:tr>
        <w:trPr>
          <w:cantSplit w:val="true"/>
        </w:trPr>
        <w:tc>
          <w:tcPr>
            <w:tcW w:type="dxa" w:w="2880"/>
            <w:vAlign w:val="center"/>
          </w:tcPr>
          <w:p>
            <w:pPr>
              <w:spacing w:after="0" w:line="269" w:lineRule="auto"/>
              <w:jc w:val="left"/>
            </w:pPr>
            <w:r>
              <w:rPr>
                <w:rFonts w:ascii="Calibri" w:hAnsi="Calibri" w:eastAsia="Calibri"/>
                <w:b/>
                <w:color w:val="26322E"/>
                <w:sz w:val="17"/>
              </w:rPr>
              <w:t>Exit paying institutions</w:t>
            </w:r>
          </w:p>
        </w:tc>
        <w:tc>
          <w:tcPr>
            <w:tcW w:type="dxa" w:w="1620"/>
            <w:vAlign w:val="center"/>
          </w:tcPr>
          <w:p>
            <w:pPr>
              <w:spacing w:after="0" w:line="269" w:lineRule="auto"/>
              <w:jc w:val="center"/>
            </w:pPr>
            <w:r>
              <w:rPr>
                <w:rFonts w:ascii="Calibri" w:hAnsi="Calibri" w:eastAsia="Calibri"/>
                <w:b w:val="0"/>
                <w:color w:val="26322E"/>
                <w:sz w:val="17"/>
              </w:rPr>
              <w:t>20</w:t>
            </w:r>
          </w:p>
        </w:tc>
        <w:tc>
          <w:tcPr>
            <w:tcW w:type="dxa" w:w="1620"/>
            <w:vAlign w:val="center"/>
          </w:tcPr>
          <w:p>
            <w:pPr>
              <w:spacing w:after="0" w:line="269" w:lineRule="auto"/>
              <w:jc w:val="center"/>
            </w:pPr>
            <w:r>
              <w:rPr>
                <w:rFonts w:ascii="Calibri" w:hAnsi="Calibri" w:eastAsia="Calibri"/>
                <w:b w:val="0"/>
                <w:color w:val="26322E"/>
                <w:sz w:val="17"/>
              </w:rPr>
              <w:t>75</w:t>
            </w:r>
          </w:p>
        </w:tc>
        <w:tc>
          <w:tcPr>
            <w:tcW w:type="dxa" w:w="1620"/>
            <w:vAlign w:val="center"/>
          </w:tcPr>
          <w:p>
            <w:pPr>
              <w:spacing w:after="0" w:line="269" w:lineRule="auto"/>
              <w:jc w:val="center"/>
            </w:pPr>
            <w:r>
              <w:rPr>
                <w:rFonts w:ascii="Calibri" w:hAnsi="Calibri" w:eastAsia="Calibri"/>
                <w:b w:val="0"/>
                <w:color w:val="26322E"/>
                <w:sz w:val="17"/>
              </w:rPr>
              <w:t>200</w:t>
            </w:r>
          </w:p>
        </w:tc>
        <w:tc>
          <w:tcPr>
            <w:tcW w:type="dxa" w:w="1620"/>
            <w:vAlign w:val="center"/>
          </w:tcPr>
          <w:p>
            <w:pPr>
              <w:spacing w:after="0" w:line="269" w:lineRule="auto"/>
              <w:jc w:val="center"/>
            </w:pPr>
            <w:r>
              <w:rPr>
                <w:rFonts w:ascii="Calibri" w:hAnsi="Calibri" w:eastAsia="Calibri"/>
                <w:b w:val="0"/>
                <w:color w:val="26322E"/>
                <w:sz w:val="17"/>
              </w:rPr>
              <w:t>450</w:t>
            </w:r>
          </w:p>
        </w:tc>
      </w:tr>
      <w:tr>
        <w:trPr>
          <w:cantSplit w:val="true"/>
        </w:trPr>
        <w:tc>
          <w:tcPr>
            <w:tcW w:type="dxa" w:w="2880"/>
            <w:shd w:fill="F3F5F4" w:val="clear"/>
            <w:vAlign w:val="center"/>
          </w:tcPr>
          <w:p>
            <w:pPr>
              <w:spacing w:after="0" w:line="269" w:lineRule="auto"/>
              <w:jc w:val="left"/>
            </w:pPr>
            <w:r>
              <w:rPr>
                <w:rFonts w:ascii="Calibri" w:hAnsi="Calibri" w:eastAsia="Calibri"/>
                <w:b/>
                <w:color w:val="26322E"/>
                <w:sz w:val="17"/>
              </w:rPr>
              <w:t>Average active institutions</w:t>
            </w:r>
          </w:p>
        </w:tc>
        <w:tc>
          <w:tcPr>
            <w:tcW w:type="dxa" w:w="1620"/>
            <w:shd w:fill="F3F5F4" w:val="clear"/>
            <w:vAlign w:val="center"/>
          </w:tcPr>
          <w:p>
            <w:pPr>
              <w:spacing w:after="0" w:line="269" w:lineRule="auto"/>
              <w:jc w:val="center"/>
            </w:pPr>
            <w:r>
              <w:rPr>
                <w:rFonts w:ascii="Calibri" w:hAnsi="Calibri" w:eastAsia="Calibri"/>
                <w:b w:val="0"/>
                <w:color w:val="26322E"/>
                <w:sz w:val="17"/>
              </w:rPr>
              <w:t>10</w:t>
            </w:r>
          </w:p>
        </w:tc>
        <w:tc>
          <w:tcPr>
            <w:tcW w:type="dxa" w:w="1620"/>
            <w:shd w:fill="F3F5F4" w:val="clear"/>
            <w:vAlign w:val="center"/>
          </w:tcPr>
          <w:p>
            <w:pPr>
              <w:spacing w:after="0" w:line="269" w:lineRule="auto"/>
              <w:jc w:val="center"/>
            </w:pPr>
            <w:r>
              <w:rPr>
                <w:rFonts w:ascii="Calibri" w:hAnsi="Calibri" w:eastAsia="Calibri"/>
                <w:b w:val="0"/>
                <w:color w:val="26322E"/>
                <w:sz w:val="17"/>
              </w:rPr>
              <w:t>45</w:t>
            </w:r>
          </w:p>
        </w:tc>
        <w:tc>
          <w:tcPr>
            <w:tcW w:type="dxa" w:w="1620"/>
            <w:shd w:fill="F3F5F4" w:val="clear"/>
            <w:vAlign w:val="center"/>
          </w:tcPr>
          <w:p>
            <w:pPr>
              <w:spacing w:after="0" w:line="269" w:lineRule="auto"/>
              <w:jc w:val="center"/>
            </w:pPr>
            <w:r>
              <w:rPr>
                <w:rFonts w:ascii="Calibri" w:hAnsi="Calibri" w:eastAsia="Calibri"/>
                <w:b w:val="0"/>
                <w:color w:val="26322E"/>
                <w:sz w:val="17"/>
              </w:rPr>
              <w:t>135</w:t>
            </w:r>
          </w:p>
        </w:tc>
        <w:tc>
          <w:tcPr>
            <w:tcW w:type="dxa" w:w="1620"/>
            <w:shd w:fill="F3F5F4" w:val="clear"/>
            <w:vAlign w:val="center"/>
          </w:tcPr>
          <w:p>
            <w:pPr>
              <w:spacing w:after="0" w:line="269" w:lineRule="auto"/>
              <w:jc w:val="center"/>
            </w:pPr>
            <w:r>
              <w:rPr>
                <w:rFonts w:ascii="Calibri" w:hAnsi="Calibri" w:eastAsia="Calibri"/>
                <w:b w:val="0"/>
                <w:color w:val="26322E"/>
                <w:sz w:val="17"/>
              </w:rPr>
              <w:t>325</w:t>
            </w:r>
          </w:p>
        </w:tc>
      </w:tr>
      <w:tr>
        <w:trPr>
          <w:cantSplit w:val="true"/>
        </w:trPr>
        <w:tc>
          <w:tcPr>
            <w:tcW w:type="dxa" w:w="2880"/>
            <w:vAlign w:val="center"/>
          </w:tcPr>
          <w:p>
            <w:pPr>
              <w:spacing w:after="0" w:line="269" w:lineRule="auto"/>
              <w:jc w:val="left"/>
            </w:pPr>
            <w:r>
              <w:rPr>
                <w:rFonts w:ascii="Calibri" w:hAnsi="Calibri" w:eastAsia="Calibri"/>
                <w:b/>
                <w:color w:val="26322E"/>
                <w:sz w:val="17"/>
              </w:rPr>
              <w:t>Blended revenue / active institution</w:t>
            </w:r>
          </w:p>
        </w:tc>
        <w:tc>
          <w:tcPr>
            <w:tcW w:type="dxa" w:w="1620"/>
            <w:vAlign w:val="center"/>
          </w:tcPr>
          <w:p>
            <w:pPr>
              <w:spacing w:after="0" w:line="269" w:lineRule="auto"/>
              <w:jc w:val="center"/>
            </w:pPr>
            <w:r>
              <w:rPr>
                <w:rFonts w:ascii="Calibri" w:hAnsi="Calibri" w:eastAsia="Calibri"/>
                <w:b w:val="0"/>
                <w:color w:val="26322E"/>
                <w:sz w:val="17"/>
              </w:rPr>
              <w:t>₹2.5L</w:t>
            </w:r>
          </w:p>
        </w:tc>
        <w:tc>
          <w:tcPr>
            <w:tcW w:type="dxa" w:w="1620"/>
            <w:vAlign w:val="center"/>
          </w:tcPr>
          <w:p>
            <w:pPr>
              <w:spacing w:after="0" w:line="269" w:lineRule="auto"/>
              <w:jc w:val="center"/>
            </w:pPr>
            <w:r>
              <w:rPr>
                <w:rFonts w:ascii="Calibri" w:hAnsi="Calibri" w:eastAsia="Calibri"/>
                <w:b w:val="0"/>
                <w:color w:val="26322E"/>
                <w:sz w:val="17"/>
              </w:rPr>
              <w:t>₹4.0L</w:t>
            </w:r>
          </w:p>
        </w:tc>
        <w:tc>
          <w:tcPr>
            <w:tcW w:type="dxa" w:w="1620"/>
            <w:vAlign w:val="center"/>
          </w:tcPr>
          <w:p>
            <w:pPr>
              <w:spacing w:after="0" w:line="269" w:lineRule="auto"/>
              <w:jc w:val="center"/>
            </w:pPr>
            <w:r>
              <w:rPr>
                <w:rFonts w:ascii="Calibri" w:hAnsi="Calibri" w:eastAsia="Calibri"/>
                <w:b w:val="0"/>
                <w:color w:val="26322E"/>
                <w:sz w:val="17"/>
              </w:rPr>
              <w:t>₹6.0L</w:t>
            </w:r>
          </w:p>
        </w:tc>
        <w:tc>
          <w:tcPr>
            <w:tcW w:type="dxa" w:w="1620"/>
            <w:vAlign w:val="center"/>
          </w:tcPr>
          <w:p>
            <w:pPr>
              <w:spacing w:after="0" w:line="269" w:lineRule="auto"/>
              <w:jc w:val="center"/>
            </w:pPr>
            <w:r>
              <w:rPr>
                <w:rFonts w:ascii="Calibri" w:hAnsi="Calibri" w:eastAsia="Calibri"/>
                <w:b w:val="0"/>
                <w:color w:val="26322E"/>
                <w:sz w:val="17"/>
              </w:rPr>
              <w:t>₹8.0L</w:t>
            </w:r>
          </w:p>
        </w:tc>
      </w:tr>
      <w:tr>
        <w:trPr>
          <w:cantSplit w:val="true"/>
        </w:trPr>
        <w:tc>
          <w:tcPr>
            <w:tcW w:type="dxa" w:w="2880"/>
            <w:shd w:fill="F3F5F4" w:val="clear"/>
            <w:vAlign w:val="center"/>
          </w:tcPr>
          <w:p>
            <w:pPr>
              <w:spacing w:after="0" w:line="269" w:lineRule="auto"/>
              <w:jc w:val="left"/>
            </w:pPr>
            <w:r>
              <w:rPr>
                <w:rFonts w:ascii="Calibri" w:hAnsi="Calibri" w:eastAsia="Calibri"/>
                <w:b/>
                <w:color w:val="26322E"/>
                <w:sz w:val="17"/>
              </w:rPr>
              <w:t>Revenue</w:t>
            </w:r>
          </w:p>
        </w:tc>
        <w:tc>
          <w:tcPr>
            <w:tcW w:type="dxa" w:w="1620"/>
            <w:shd w:fill="F3F5F4" w:val="clear"/>
            <w:vAlign w:val="center"/>
          </w:tcPr>
          <w:p>
            <w:pPr>
              <w:spacing w:after="0" w:line="269" w:lineRule="auto"/>
              <w:jc w:val="center"/>
            </w:pPr>
            <w:r>
              <w:rPr>
                <w:rFonts w:ascii="Calibri" w:hAnsi="Calibri" w:eastAsia="Calibri"/>
                <w:b w:val="0"/>
                <w:color w:val="26322E"/>
                <w:sz w:val="17"/>
              </w:rPr>
              <w:t>₹0.25Cr</w:t>
            </w:r>
          </w:p>
        </w:tc>
        <w:tc>
          <w:tcPr>
            <w:tcW w:type="dxa" w:w="1620"/>
            <w:shd w:fill="F3F5F4" w:val="clear"/>
            <w:vAlign w:val="center"/>
          </w:tcPr>
          <w:p>
            <w:pPr>
              <w:spacing w:after="0" w:line="269" w:lineRule="auto"/>
              <w:jc w:val="center"/>
            </w:pPr>
            <w:r>
              <w:rPr>
                <w:rFonts w:ascii="Calibri" w:hAnsi="Calibri" w:eastAsia="Calibri"/>
                <w:b w:val="0"/>
                <w:color w:val="26322E"/>
                <w:sz w:val="17"/>
              </w:rPr>
              <w:t>₹1.80Cr</w:t>
            </w:r>
          </w:p>
        </w:tc>
        <w:tc>
          <w:tcPr>
            <w:tcW w:type="dxa" w:w="1620"/>
            <w:shd w:fill="F3F5F4" w:val="clear"/>
            <w:vAlign w:val="center"/>
          </w:tcPr>
          <w:p>
            <w:pPr>
              <w:spacing w:after="0" w:line="269" w:lineRule="auto"/>
              <w:jc w:val="center"/>
            </w:pPr>
            <w:r>
              <w:rPr>
                <w:rFonts w:ascii="Calibri" w:hAnsi="Calibri" w:eastAsia="Calibri"/>
                <w:b w:val="0"/>
                <w:color w:val="26322E"/>
                <w:sz w:val="17"/>
              </w:rPr>
              <w:t>₹8.10Cr</w:t>
            </w:r>
          </w:p>
        </w:tc>
        <w:tc>
          <w:tcPr>
            <w:tcW w:type="dxa" w:w="1620"/>
            <w:shd w:fill="F3F5F4" w:val="clear"/>
            <w:vAlign w:val="center"/>
          </w:tcPr>
          <w:p>
            <w:pPr>
              <w:spacing w:after="0" w:line="269" w:lineRule="auto"/>
              <w:jc w:val="center"/>
            </w:pPr>
            <w:r>
              <w:rPr>
                <w:rFonts w:ascii="Calibri" w:hAnsi="Calibri" w:eastAsia="Calibri"/>
                <w:b w:val="0"/>
                <w:color w:val="26322E"/>
                <w:sz w:val="17"/>
              </w:rPr>
              <w:t>₹26.00Cr</w:t>
            </w:r>
          </w:p>
        </w:tc>
      </w:tr>
      <w:tr>
        <w:trPr>
          <w:cantSplit w:val="true"/>
        </w:trPr>
        <w:tc>
          <w:tcPr>
            <w:tcW w:type="dxa" w:w="2880"/>
            <w:vAlign w:val="center"/>
          </w:tcPr>
          <w:p>
            <w:pPr>
              <w:spacing w:after="0" w:line="269" w:lineRule="auto"/>
              <w:jc w:val="left"/>
            </w:pPr>
            <w:r>
              <w:rPr>
                <w:rFonts w:ascii="Calibri" w:hAnsi="Calibri" w:eastAsia="Calibri"/>
                <w:b/>
                <w:color w:val="26322E"/>
                <w:sz w:val="17"/>
              </w:rPr>
              <w:t>Gross margin</w:t>
            </w:r>
          </w:p>
        </w:tc>
        <w:tc>
          <w:tcPr>
            <w:tcW w:type="dxa" w:w="1620"/>
            <w:vAlign w:val="center"/>
          </w:tcPr>
          <w:p>
            <w:pPr>
              <w:spacing w:after="0" w:line="269" w:lineRule="auto"/>
              <w:jc w:val="center"/>
            </w:pPr>
            <w:r>
              <w:rPr>
                <w:rFonts w:ascii="Calibri" w:hAnsi="Calibri" w:eastAsia="Calibri"/>
                <w:b w:val="0"/>
                <w:color w:val="26322E"/>
                <w:sz w:val="17"/>
              </w:rPr>
              <w:t>58%</w:t>
            </w:r>
          </w:p>
        </w:tc>
        <w:tc>
          <w:tcPr>
            <w:tcW w:type="dxa" w:w="1620"/>
            <w:vAlign w:val="center"/>
          </w:tcPr>
          <w:p>
            <w:pPr>
              <w:spacing w:after="0" w:line="269" w:lineRule="auto"/>
              <w:jc w:val="center"/>
            </w:pPr>
            <w:r>
              <w:rPr>
                <w:rFonts w:ascii="Calibri" w:hAnsi="Calibri" w:eastAsia="Calibri"/>
                <w:b w:val="0"/>
                <w:color w:val="26322E"/>
                <w:sz w:val="17"/>
              </w:rPr>
              <w:t>68%</w:t>
            </w:r>
          </w:p>
        </w:tc>
        <w:tc>
          <w:tcPr>
            <w:tcW w:type="dxa" w:w="1620"/>
            <w:vAlign w:val="center"/>
          </w:tcPr>
          <w:p>
            <w:pPr>
              <w:spacing w:after="0" w:line="269" w:lineRule="auto"/>
              <w:jc w:val="center"/>
            </w:pPr>
            <w:r>
              <w:rPr>
                <w:rFonts w:ascii="Calibri" w:hAnsi="Calibri" w:eastAsia="Calibri"/>
                <w:b w:val="0"/>
                <w:color w:val="26322E"/>
                <w:sz w:val="17"/>
              </w:rPr>
              <w:t>76%</w:t>
            </w:r>
          </w:p>
        </w:tc>
        <w:tc>
          <w:tcPr>
            <w:tcW w:type="dxa" w:w="1620"/>
            <w:vAlign w:val="center"/>
          </w:tcPr>
          <w:p>
            <w:pPr>
              <w:spacing w:after="0" w:line="269" w:lineRule="auto"/>
              <w:jc w:val="center"/>
            </w:pPr>
            <w:r>
              <w:rPr>
                <w:rFonts w:ascii="Calibri" w:hAnsi="Calibri" w:eastAsia="Calibri"/>
                <w:b w:val="0"/>
                <w:color w:val="26322E"/>
                <w:sz w:val="17"/>
              </w:rPr>
              <w:t>80%</w:t>
            </w:r>
          </w:p>
        </w:tc>
      </w:tr>
      <w:tr>
        <w:trPr>
          <w:cantSplit w:val="true"/>
        </w:trPr>
        <w:tc>
          <w:tcPr>
            <w:tcW w:type="dxa" w:w="2880"/>
            <w:shd w:fill="F3F5F4" w:val="clear"/>
            <w:vAlign w:val="center"/>
          </w:tcPr>
          <w:p>
            <w:pPr>
              <w:spacing w:after="0" w:line="269" w:lineRule="auto"/>
              <w:jc w:val="left"/>
            </w:pPr>
            <w:r>
              <w:rPr>
                <w:rFonts w:ascii="Calibri" w:hAnsi="Calibri" w:eastAsia="Calibri"/>
                <w:b/>
                <w:color w:val="26322E"/>
                <w:sz w:val="17"/>
              </w:rPr>
              <w:t>Gross profit</w:t>
            </w:r>
          </w:p>
        </w:tc>
        <w:tc>
          <w:tcPr>
            <w:tcW w:type="dxa" w:w="1620"/>
            <w:shd w:fill="F3F5F4" w:val="clear"/>
            <w:vAlign w:val="center"/>
          </w:tcPr>
          <w:p>
            <w:pPr>
              <w:spacing w:after="0" w:line="269" w:lineRule="auto"/>
              <w:jc w:val="center"/>
            </w:pPr>
            <w:r>
              <w:rPr>
                <w:rFonts w:ascii="Calibri" w:hAnsi="Calibri" w:eastAsia="Calibri"/>
                <w:b w:val="0"/>
                <w:color w:val="26322E"/>
                <w:sz w:val="17"/>
              </w:rPr>
              <w:t>₹0.15Cr</w:t>
            </w:r>
          </w:p>
        </w:tc>
        <w:tc>
          <w:tcPr>
            <w:tcW w:type="dxa" w:w="1620"/>
            <w:shd w:fill="F3F5F4" w:val="clear"/>
            <w:vAlign w:val="center"/>
          </w:tcPr>
          <w:p>
            <w:pPr>
              <w:spacing w:after="0" w:line="269" w:lineRule="auto"/>
              <w:jc w:val="center"/>
            </w:pPr>
            <w:r>
              <w:rPr>
                <w:rFonts w:ascii="Calibri" w:hAnsi="Calibri" w:eastAsia="Calibri"/>
                <w:b w:val="0"/>
                <w:color w:val="26322E"/>
                <w:sz w:val="17"/>
              </w:rPr>
              <w:t>₹1.22Cr</w:t>
            </w:r>
          </w:p>
        </w:tc>
        <w:tc>
          <w:tcPr>
            <w:tcW w:type="dxa" w:w="1620"/>
            <w:shd w:fill="F3F5F4" w:val="clear"/>
            <w:vAlign w:val="center"/>
          </w:tcPr>
          <w:p>
            <w:pPr>
              <w:spacing w:after="0" w:line="269" w:lineRule="auto"/>
              <w:jc w:val="center"/>
            </w:pPr>
            <w:r>
              <w:rPr>
                <w:rFonts w:ascii="Calibri" w:hAnsi="Calibri" w:eastAsia="Calibri"/>
                <w:b w:val="0"/>
                <w:color w:val="26322E"/>
                <w:sz w:val="17"/>
              </w:rPr>
              <w:t>₹6.16Cr</w:t>
            </w:r>
          </w:p>
        </w:tc>
        <w:tc>
          <w:tcPr>
            <w:tcW w:type="dxa" w:w="1620"/>
            <w:shd w:fill="F3F5F4" w:val="clear"/>
            <w:vAlign w:val="center"/>
          </w:tcPr>
          <w:p>
            <w:pPr>
              <w:spacing w:after="0" w:line="269" w:lineRule="auto"/>
              <w:jc w:val="center"/>
            </w:pPr>
            <w:r>
              <w:rPr>
                <w:rFonts w:ascii="Calibri" w:hAnsi="Calibri" w:eastAsia="Calibri"/>
                <w:b w:val="0"/>
                <w:color w:val="26322E"/>
                <w:sz w:val="17"/>
              </w:rPr>
              <w:t>₹20.80Cr</w:t>
            </w:r>
          </w:p>
        </w:tc>
      </w:tr>
      <w:tr>
        <w:trPr>
          <w:cantSplit w:val="true"/>
        </w:trPr>
        <w:tc>
          <w:tcPr>
            <w:tcW w:type="dxa" w:w="2880"/>
            <w:vAlign w:val="center"/>
          </w:tcPr>
          <w:p>
            <w:pPr>
              <w:spacing w:after="0" w:line="269" w:lineRule="auto"/>
              <w:jc w:val="left"/>
            </w:pPr>
            <w:r>
              <w:rPr>
                <w:rFonts w:ascii="Calibri" w:hAnsi="Calibri" w:eastAsia="Calibri"/>
                <w:b/>
                <w:color w:val="26322E"/>
                <w:sz w:val="17"/>
              </w:rPr>
              <w:t>Operating expenses</w:t>
            </w:r>
          </w:p>
        </w:tc>
        <w:tc>
          <w:tcPr>
            <w:tcW w:type="dxa" w:w="1620"/>
            <w:vAlign w:val="center"/>
          </w:tcPr>
          <w:p>
            <w:pPr>
              <w:spacing w:after="0" w:line="269" w:lineRule="auto"/>
              <w:jc w:val="center"/>
            </w:pPr>
            <w:r>
              <w:rPr>
                <w:rFonts w:ascii="Calibri" w:hAnsi="Calibri" w:eastAsia="Calibri"/>
                <w:b w:val="0"/>
                <w:color w:val="26322E"/>
                <w:sz w:val="17"/>
              </w:rPr>
              <w:t>₹1.70Cr</w:t>
            </w:r>
          </w:p>
        </w:tc>
        <w:tc>
          <w:tcPr>
            <w:tcW w:type="dxa" w:w="1620"/>
            <w:vAlign w:val="center"/>
          </w:tcPr>
          <w:p>
            <w:pPr>
              <w:spacing w:after="0" w:line="269" w:lineRule="auto"/>
              <w:jc w:val="center"/>
            </w:pPr>
            <w:r>
              <w:rPr>
                <w:rFonts w:ascii="Calibri" w:hAnsi="Calibri" w:eastAsia="Calibri"/>
                <w:b w:val="0"/>
                <w:color w:val="26322E"/>
                <w:sz w:val="17"/>
              </w:rPr>
              <w:t>₹3.40Cr</w:t>
            </w:r>
          </w:p>
        </w:tc>
        <w:tc>
          <w:tcPr>
            <w:tcW w:type="dxa" w:w="1620"/>
            <w:vAlign w:val="center"/>
          </w:tcPr>
          <w:p>
            <w:pPr>
              <w:spacing w:after="0" w:line="269" w:lineRule="auto"/>
              <w:jc w:val="center"/>
            </w:pPr>
            <w:r>
              <w:rPr>
                <w:rFonts w:ascii="Calibri" w:hAnsi="Calibri" w:eastAsia="Calibri"/>
                <w:b w:val="0"/>
                <w:color w:val="26322E"/>
                <w:sz w:val="17"/>
              </w:rPr>
              <w:t>₹7.00Cr</w:t>
            </w:r>
          </w:p>
        </w:tc>
        <w:tc>
          <w:tcPr>
            <w:tcW w:type="dxa" w:w="1620"/>
            <w:vAlign w:val="center"/>
          </w:tcPr>
          <w:p>
            <w:pPr>
              <w:spacing w:after="0" w:line="269" w:lineRule="auto"/>
              <w:jc w:val="center"/>
            </w:pPr>
            <w:r>
              <w:rPr>
                <w:rFonts w:ascii="Calibri" w:hAnsi="Calibri" w:eastAsia="Calibri"/>
                <w:b w:val="0"/>
                <w:color w:val="26322E"/>
                <w:sz w:val="17"/>
              </w:rPr>
              <w:t>₹14.00Cr</w:t>
            </w:r>
          </w:p>
        </w:tc>
      </w:tr>
      <w:tr>
        <w:trPr>
          <w:cantSplit w:val="true"/>
        </w:trPr>
        <w:tc>
          <w:tcPr>
            <w:tcW w:type="dxa" w:w="2880"/>
            <w:shd w:fill="F3F5F4" w:val="clear"/>
            <w:vAlign w:val="center"/>
          </w:tcPr>
          <w:p>
            <w:pPr>
              <w:spacing w:after="0" w:line="269" w:lineRule="auto"/>
              <w:jc w:val="left"/>
            </w:pPr>
            <w:r>
              <w:rPr>
                <w:rFonts w:ascii="Calibri" w:hAnsi="Calibri" w:eastAsia="Calibri"/>
                <w:b/>
                <w:color w:val="26322E"/>
                <w:sz w:val="17"/>
              </w:rPr>
              <w:t>EBITDA</w:t>
            </w:r>
          </w:p>
        </w:tc>
        <w:tc>
          <w:tcPr>
            <w:tcW w:type="dxa" w:w="1620"/>
            <w:shd w:fill="F3F5F4" w:val="clear"/>
            <w:vAlign w:val="center"/>
          </w:tcPr>
          <w:p>
            <w:pPr>
              <w:spacing w:after="0" w:line="269" w:lineRule="auto"/>
              <w:jc w:val="center"/>
            </w:pPr>
            <w:r>
              <w:rPr>
                <w:rFonts w:ascii="Calibri" w:hAnsi="Calibri" w:eastAsia="Calibri"/>
                <w:b w:val="0"/>
                <w:color w:val="26322E"/>
                <w:sz w:val="17"/>
              </w:rPr>
              <w:t>(₹1.55Cr)</w:t>
            </w:r>
          </w:p>
        </w:tc>
        <w:tc>
          <w:tcPr>
            <w:tcW w:type="dxa" w:w="1620"/>
            <w:shd w:fill="F3F5F4" w:val="clear"/>
            <w:vAlign w:val="center"/>
          </w:tcPr>
          <w:p>
            <w:pPr>
              <w:spacing w:after="0" w:line="269" w:lineRule="auto"/>
              <w:jc w:val="center"/>
            </w:pPr>
            <w:r>
              <w:rPr>
                <w:rFonts w:ascii="Calibri" w:hAnsi="Calibri" w:eastAsia="Calibri"/>
                <w:b w:val="0"/>
                <w:color w:val="26322E"/>
                <w:sz w:val="17"/>
              </w:rPr>
              <w:t>(₹2.18Cr)</w:t>
            </w:r>
          </w:p>
        </w:tc>
        <w:tc>
          <w:tcPr>
            <w:tcW w:type="dxa" w:w="1620"/>
            <w:shd w:fill="F3F5F4" w:val="clear"/>
            <w:vAlign w:val="center"/>
          </w:tcPr>
          <w:p>
            <w:pPr>
              <w:spacing w:after="0" w:line="269" w:lineRule="auto"/>
              <w:jc w:val="center"/>
            </w:pPr>
            <w:r>
              <w:rPr>
                <w:rFonts w:ascii="Calibri" w:hAnsi="Calibri" w:eastAsia="Calibri"/>
                <w:b w:val="0"/>
                <w:color w:val="26322E"/>
                <w:sz w:val="17"/>
              </w:rPr>
              <w:t>(₹0.84Cr)</w:t>
            </w:r>
          </w:p>
        </w:tc>
        <w:tc>
          <w:tcPr>
            <w:tcW w:type="dxa" w:w="1620"/>
            <w:shd w:fill="F3F5F4" w:val="clear"/>
            <w:vAlign w:val="center"/>
          </w:tcPr>
          <w:p>
            <w:pPr>
              <w:spacing w:after="0" w:line="269" w:lineRule="auto"/>
              <w:jc w:val="center"/>
            </w:pPr>
            <w:r>
              <w:rPr>
                <w:rFonts w:ascii="Calibri" w:hAnsi="Calibri" w:eastAsia="Calibri"/>
                <w:b w:val="0"/>
                <w:color w:val="26322E"/>
                <w:sz w:val="17"/>
              </w:rPr>
              <w:t>₹6.80Cr</w:t>
            </w:r>
          </w:p>
        </w:tc>
      </w:tr>
    </w:tbl>
    <w:p>
      <w:pPr>
        <w:spacing w:after="40"/>
      </w:pPr>
    </w:p>
    <w:p>
      <w:pPr>
        <w:pStyle w:val="Heading2"/>
      </w:pPr>
      <w:r>
        <w:t>Model drivers to validate immediately</w:t>
      </w:r>
    </w:p>
    <w:p>
      <w:pPr>
        <w:numPr>
          <w:ilvl w:val="0"/>
          <w:numId w:val="10"/>
        </w:numPr>
        <w:spacing w:after="80" w:line="290" w:lineRule="auto"/>
      </w:pPr>
      <w:r>
        <w:rPr>
          <w:rFonts w:ascii="Calibri" w:hAnsi="Calibri" w:eastAsia="Calibri"/>
          <w:color w:val="26322E"/>
        </w:rPr>
        <w:t>DASES price realization per sheet, paper, department, and institution.</w:t>
      </w:r>
    </w:p>
    <w:p>
      <w:pPr>
        <w:numPr>
          <w:ilvl w:val="0"/>
          <w:numId w:val="10"/>
        </w:numPr>
        <w:spacing w:after="80" w:line="290" w:lineRule="auto"/>
      </w:pPr>
      <w:r>
        <w:rPr>
          <w:rFonts w:ascii="Calibri" w:hAnsi="Calibri" w:eastAsia="Calibri"/>
          <w:color w:val="26322E"/>
        </w:rPr>
        <w:t>Model/API, OCR, storage, report generation, and human QA cost per sheet.</w:t>
      </w:r>
    </w:p>
    <w:p>
      <w:pPr>
        <w:numPr>
          <w:ilvl w:val="0"/>
          <w:numId w:val="10"/>
        </w:numPr>
        <w:spacing w:after="80" w:line="290" w:lineRule="auto"/>
      </w:pPr>
      <w:r>
        <w:rPr>
          <w:rFonts w:ascii="Calibri" w:hAnsi="Calibri" w:eastAsia="Calibri"/>
          <w:color w:val="26322E"/>
        </w:rPr>
        <w:t>Pilot support hours and implementation cost by institution size.</w:t>
      </w:r>
    </w:p>
    <w:p>
      <w:pPr>
        <w:numPr>
          <w:ilvl w:val="0"/>
          <w:numId w:val="10"/>
        </w:numPr>
        <w:spacing w:after="80" w:line="290" w:lineRule="auto"/>
      </w:pPr>
      <w:r>
        <w:rPr>
          <w:rFonts w:ascii="Calibri" w:hAnsi="Calibri" w:eastAsia="Calibri"/>
          <w:color w:val="26322E"/>
        </w:rPr>
        <w:t>Procurement duration, discounting, payment schedule, and receivable days.</w:t>
      </w:r>
    </w:p>
    <w:p>
      <w:pPr>
        <w:numPr>
          <w:ilvl w:val="0"/>
          <w:numId w:val="10"/>
        </w:numPr>
        <w:spacing w:after="80" w:line="290" w:lineRule="auto"/>
      </w:pPr>
      <w:r>
        <w:rPr>
          <w:rFonts w:ascii="Calibri" w:hAnsi="Calibri" w:eastAsia="Calibri"/>
          <w:color w:val="26322E"/>
        </w:rPr>
        <w:t>Pilot conversion, renewal, module attach, and department expansion rates.</w:t>
      </w:r>
    </w:p>
    <w:p>
      <w:pPr>
        <w:numPr>
          <w:ilvl w:val="0"/>
          <w:numId w:val="10"/>
        </w:numPr>
        <w:spacing w:after="80" w:line="290" w:lineRule="auto"/>
      </w:pPr>
      <w:r>
        <w:rPr>
          <w:rFonts w:ascii="Calibri" w:hAnsi="Calibri" w:eastAsia="Calibri"/>
          <w:color w:val="26322E"/>
        </w:rPr>
        <w:t>Headcount plan, founder compensation, cloud credits, and tax/compliance costs.</w:t>
      </w:r>
    </w:p>
    <w:p>
      <w:pPr>
        <w:spacing w:before="80" w:after="80" w:line="240" w:lineRule="auto"/>
      </w:pPr>
      <w:r>
        <w:rPr>
          <w:rFonts w:ascii="Calibri" w:hAnsi="Calibri" w:eastAsia="Calibri"/>
          <w:i/>
          <w:color w:val="78857F"/>
          <w:sz w:val="16"/>
        </w:rPr>
        <w:t>FY27 means the financial year ending March 2027. Because this plan is dated July 2026, FY27 is a partial execution year. Forecasts should be re-cut using the latest monthly actuals and qualified pipeline.</w:t>
      </w:r>
    </w:p>
    <w:p>
      <w:pPr>
        <w:keepNext/>
        <w:spacing w:before="0" w:after="120"/>
      </w:pPr>
      <w:r>
        <w:rPr>
          <w:rFonts w:ascii="Calibri" w:hAnsi="Calibri" w:eastAsia="Calibri"/>
          <w:b/>
          <w:color w:val="BF9B30"/>
          <w:sz w:val="17"/>
        </w:rPr>
        <w:t>SECTION 12</w:t>
      </w:r>
    </w:p>
    <w:p>
      <w:pPr>
        <w:pStyle w:val="Heading1"/>
      </w:pPr>
      <w:r>
        <w:t>Funding Proposal &amp; Use of Funds</w:t>
      </w:r>
    </w:p>
    <w:p>
      <w:pPr>
        <w:spacing w:after="200"/>
      </w:pPr>
      <w:r>
        <w:rPr>
          <w:rFonts w:ascii="Calibri" w:hAnsi="Calibri" w:eastAsia="Calibri"/>
          <w:i/>
          <w:color w:val="5F6E67"/>
          <w:sz w:val="23"/>
        </w:rPr>
        <w:t>A seed round sized to evidence, not vanity</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EAF1EC" w:val="clear"/>
            <w:tcBorders>
              <w:top w:val="single" w:sz="4" w:color="EAF1EC"/>
              <w:start w:val="single" w:sz="18" w:color="145A38"/>
              <w:bottom w:val="single" w:sz="4" w:color="EAF1EC"/>
              <w:end w:val="single" w:sz="4" w:color="EAF1EC"/>
            </w:tcBorders>
          </w:tcPr>
          <w:p>
            <w:pPr>
              <w:spacing w:after="60"/>
            </w:pPr>
            <w:r>
              <w:rPr>
                <w:rFonts w:ascii="Calibri" w:hAnsi="Calibri" w:eastAsia="Calibri"/>
                <w:b/>
                <w:color w:val="145A38"/>
                <w:sz w:val="16"/>
              </w:rPr>
              <w:t>PROPOSED RAISE</w:t>
            </w:r>
          </w:p>
          <w:p>
            <w:pPr>
              <w:spacing w:after="80"/>
            </w:pPr>
            <w:r>
              <w:rPr>
                <w:rFonts w:ascii="Calibri" w:hAnsi="Calibri" w:eastAsia="Calibri"/>
                <w:b/>
                <w:color w:val="1A2421"/>
                <w:sz w:val="27"/>
              </w:rPr>
              <w:t>₹4.0 crore primary capital · approximately 18 months</w:t>
            </w:r>
          </w:p>
          <w:p>
            <w:pPr>
              <w:spacing w:after="0" w:line="283" w:lineRule="auto"/>
            </w:pPr>
            <w:r>
              <w:rPr>
                <w:rFonts w:ascii="Calibri" w:hAnsi="Calibri" w:eastAsia="Calibri"/>
                <w:color w:val="26322E"/>
                <w:sz w:val="20"/>
              </w:rPr>
              <w:t>The financing should be positioned as a milestone round to establish repeatable institutional sales, trusted evaluation quality, enterprise readiness, and a ₹2.0 crore ARR run-rate. Final valuation, instrument, and rights require current cap-table, revenue, pipeline, and qualified legal/tax advice.</w:t>
            </w:r>
          </w:p>
        </w:tc>
      </w:tr>
    </w:tbl>
    <w:p>
      <w:pPr>
        <w:spacing w:after="20"/>
      </w:pPr>
    </w:p>
    <w:tbl>
      <w:tblPr>
        <w:tblStyle w:val="TableGrid"/>
        <w:tblW w:type="dxa" w:w="9360"/>
        <w:tblLook w:firstColumn="1" w:firstRow="1" w:lastColumn="0" w:lastRow="0" w:noHBand="0" w:noVBand="1" w:val="04A0"/>
        <w:jc w:val="left"/>
        <w:tblInd w:w="120" w:type="dxa"/>
        <w:tblLayout w:type="fixed"/>
      </w:tblPr>
      <w:tblGrid>
        <w:gridCol w:w="2500"/>
        <w:gridCol w:w="1000"/>
        <w:gridCol w:w="1400"/>
        <w:gridCol w:w="4460"/>
      </w:tblGrid>
      <w:tr>
        <w:trPr>
          <w:tblHeader w:val="true"/>
          <w:cantSplit w:val="true"/>
        </w:trPr>
        <w:tc>
          <w:tcPr>
            <w:tcW w:type="dxa" w:w="25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Use</w:t>
            </w:r>
          </w:p>
        </w:tc>
        <w:tc>
          <w:tcPr>
            <w:tcW w:type="dxa" w:w="10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w:t>
            </w:r>
          </w:p>
        </w:tc>
        <w:tc>
          <w:tcPr>
            <w:tcW w:type="dxa" w:w="14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Amount</w:t>
            </w:r>
          </w:p>
        </w:tc>
        <w:tc>
          <w:tcPr>
            <w:tcW w:type="dxa" w:w="44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Expected output</w:t>
            </w:r>
          </w:p>
        </w:tc>
      </w:tr>
      <w:tr>
        <w:trPr>
          <w:cantSplit w:val="true"/>
        </w:trPr>
        <w:tc>
          <w:tcPr>
            <w:tcW w:type="dxa" w:w="2500"/>
            <w:vAlign w:val="center"/>
          </w:tcPr>
          <w:p>
            <w:pPr>
              <w:spacing w:after="0" w:line="269" w:lineRule="auto"/>
              <w:jc w:val="left"/>
            </w:pPr>
            <w:r>
              <w:rPr>
                <w:rFonts w:ascii="Calibri" w:hAnsi="Calibri" w:eastAsia="Calibri"/>
                <w:b/>
                <w:color w:val="26322E"/>
                <w:sz w:val="17"/>
              </w:rPr>
              <w:t>Product, AI &amp; engineering</w:t>
            </w:r>
          </w:p>
        </w:tc>
        <w:tc>
          <w:tcPr>
            <w:tcW w:type="dxa" w:w="1000"/>
            <w:vAlign w:val="center"/>
          </w:tcPr>
          <w:p>
            <w:pPr>
              <w:spacing w:after="0" w:line="269" w:lineRule="auto"/>
              <w:jc w:val="center"/>
            </w:pPr>
            <w:r>
              <w:rPr>
                <w:rFonts w:ascii="Calibri" w:hAnsi="Calibri" w:eastAsia="Calibri"/>
                <w:b w:val="0"/>
                <w:color w:val="26322E"/>
                <w:sz w:val="17"/>
              </w:rPr>
              <w:t>35%</w:t>
            </w:r>
          </w:p>
        </w:tc>
        <w:tc>
          <w:tcPr>
            <w:tcW w:type="dxa" w:w="1400"/>
            <w:vAlign w:val="center"/>
          </w:tcPr>
          <w:p>
            <w:pPr>
              <w:spacing w:after="0" w:line="269" w:lineRule="auto"/>
              <w:jc w:val="center"/>
            </w:pPr>
            <w:r>
              <w:rPr>
                <w:rFonts w:ascii="Calibri" w:hAnsi="Calibri" w:eastAsia="Calibri"/>
                <w:b w:val="0"/>
                <w:color w:val="26322E"/>
                <w:sz w:val="17"/>
              </w:rPr>
              <w:t>₹1.40Cr</w:t>
            </w:r>
          </w:p>
        </w:tc>
        <w:tc>
          <w:tcPr>
            <w:tcW w:type="dxa" w:w="4460"/>
            <w:vAlign w:val="center"/>
          </w:tcPr>
          <w:p>
            <w:pPr>
              <w:spacing w:after="0" w:line="269" w:lineRule="auto"/>
              <w:jc w:val="left"/>
            </w:pPr>
            <w:r>
              <w:rPr>
                <w:rFonts w:ascii="Calibri" w:hAnsi="Calibri" w:eastAsia="Calibri"/>
                <w:b w:val="0"/>
                <w:color w:val="26322E"/>
                <w:sz w:val="17"/>
              </w:rPr>
              <w:t>Evaluation quality, workflow depth, reliability, billing, and integrations</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Go-to-market</w:t>
            </w:r>
          </w:p>
        </w:tc>
        <w:tc>
          <w:tcPr>
            <w:tcW w:type="dxa" w:w="1000"/>
            <w:shd w:fill="F3F5F4" w:val="clear"/>
            <w:vAlign w:val="center"/>
          </w:tcPr>
          <w:p>
            <w:pPr>
              <w:spacing w:after="0" w:line="269" w:lineRule="auto"/>
              <w:jc w:val="center"/>
            </w:pPr>
            <w:r>
              <w:rPr>
                <w:rFonts w:ascii="Calibri" w:hAnsi="Calibri" w:eastAsia="Calibri"/>
                <w:b w:val="0"/>
                <w:color w:val="26322E"/>
                <w:sz w:val="17"/>
              </w:rPr>
              <w:t>25%</w:t>
            </w:r>
          </w:p>
        </w:tc>
        <w:tc>
          <w:tcPr>
            <w:tcW w:type="dxa" w:w="1400"/>
            <w:shd w:fill="F3F5F4" w:val="clear"/>
            <w:vAlign w:val="center"/>
          </w:tcPr>
          <w:p>
            <w:pPr>
              <w:spacing w:after="0" w:line="269" w:lineRule="auto"/>
              <w:jc w:val="center"/>
            </w:pPr>
            <w:r>
              <w:rPr>
                <w:rFonts w:ascii="Calibri" w:hAnsi="Calibri" w:eastAsia="Calibri"/>
                <w:b w:val="0"/>
                <w:color w:val="26322E"/>
                <w:sz w:val="17"/>
              </w:rPr>
              <w:t>₹1.00Cr</w:t>
            </w:r>
          </w:p>
        </w:tc>
        <w:tc>
          <w:tcPr>
            <w:tcW w:type="dxa" w:w="4460"/>
            <w:shd w:fill="F3F5F4" w:val="clear"/>
            <w:vAlign w:val="center"/>
          </w:tcPr>
          <w:p>
            <w:pPr>
              <w:spacing w:after="0" w:line="269" w:lineRule="auto"/>
              <w:jc w:val="left"/>
            </w:pPr>
            <w:r>
              <w:rPr>
                <w:rFonts w:ascii="Calibri" w:hAnsi="Calibri" w:eastAsia="Calibri"/>
                <w:b w:val="0"/>
                <w:color w:val="26322E"/>
                <w:sz w:val="17"/>
              </w:rPr>
              <w:t>Productized pilots, regional pipeline, sales capacity, references</w:t>
            </w:r>
          </w:p>
        </w:tc>
      </w:tr>
      <w:tr>
        <w:trPr>
          <w:cantSplit w:val="true"/>
        </w:trPr>
        <w:tc>
          <w:tcPr>
            <w:tcW w:type="dxa" w:w="2500"/>
            <w:vAlign w:val="center"/>
          </w:tcPr>
          <w:p>
            <w:pPr>
              <w:spacing w:after="0" w:line="269" w:lineRule="auto"/>
              <w:jc w:val="left"/>
            </w:pPr>
            <w:r>
              <w:rPr>
                <w:rFonts w:ascii="Calibri" w:hAnsi="Calibri" w:eastAsia="Calibri"/>
                <w:b/>
                <w:color w:val="26322E"/>
                <w:sz w:val="17"/>
              </w:rPr>
              <w:t>Security, privacy &amp; QA</w:t>
            </w:r>
          </w:p>
        </w:tc>
        <w:tc>
          <w:tcPr>
            <w:tcW w:type="dxa" w:w="1000"/>
            <w:vAlign w:val="center"/>
          </w:tcPr>
          <w:p>
            <w:pPr>
              <w:spacing w:after="0" w:line="269" w:lineRule="auto"/>
              <w:jc w:val="center"/>
            </w:pPr>
            <w:r>
              <w:rPr>
                <w:rFonts w:ascii="Calibri" w:hAnsi="Calibri" w:eastAsia="Calibri"/>
                <w:b w:val="0"/>
                <w:color w:val="26322E"/>
                <w:sz w:val="17"/>
              </w:rPr>
              <w:t>15%</w:t>
            </w:r>
          </w:p>
        </w:tc>
        <w:tc>
          <w:tcPr>
            <w:tcW w:type="dxa" w:w="1400"/>
            <w:vAlign w:val="center"/>
          </w:tcPr>
          <w:p>
            <w:pPr>
              <w:spacing w:after="0" w:line="269" w:lineRule="auto"/>
              <w:jc w:val="center"/>
            </w:pPr>
            <w:r>
              <w:rPr>
                <w:rFonts w:ascii="Calibri" w:hAnsi="Calibri" w:eastAsia="Calibri"/>
                <w:b w:val="0"/>
                <w:color w:val="26322E"/>
                <w:sz w:val="17"/>
              </w:rPr>
              <w:t>₹0.60Cr</w:t>
            </w:r>
          </w:p>
        </w:tc>
        <w:tc>
          <w:tcPr>
            <w:tcW w:type="dxa" w:w="4460"/>
            <w:vAlign w:val="center"/>
          </w:tcPr>
          <w:p>
            <w:pPr>
              <w:spacing w:after="0" w:line="269" w:lineRule="auto"/>
              <w:jc w:val="left"/>
            </w:pPr>
            <w:r>
              <w:rPr>
                <w:rFonts w:ascii="Calibri" w:hAnsi="Calibri" w:eastAsia="Calibri"/>
                <w:b w:val="0"/>
                <w:color w:val="26322E"/>
                <w:sz w:val="17"/>
              </w:rPr>
              <w:t>DPDP program, audit trail, benchmark, external testing/certification readiness</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Cloud &amp; data operations</w:t>
            </w:r>
          </w:p>
        </w:tc>
        <w:tc>
          <w:tcPr>
            <w:tcW w:type="dxa" w:w="1000"/>
            <w:shd w:fill="F3F5F4" w:val="clear"/>
            <w:vAlign w:val="center"/>
          </w:tcPr>
          <w:p>
            <w:pPr>
              <w:spacing w:after="0" w:line="269" w:lineRule="auto"/>
              <w:jc w:val="center"/>
            </w:pPr>
            <w:r>
              <w:rPr>
                <w:rFonts w:ascii="Calibri" w:hAnsi="Calibri" w:eastAsia="Calibri"/>
                <w:b w:val="0"/>
                <w:color w:val="26322E"/>
                <w:sz w:val="17"/>
              </w:rPr>
              <w:t>12.5%</w:t>
            </w:r>
          </w:p>
        </w:tc>
        <w:tc>
          <w:tcPr>
            <w:tcW w:type="dxa" w:w="1400"/>
            <w:shd w:fill="F3F5F4" w:val="clear"/>
            <w:vAlign w:val="center"/>
          </w:tcPr>
          <w:p>
            <w:pPr>
              <w:spacing w:after="0" w:line="269" w:lineRule="auto"/>
              <w:jc w:val="center"/>
            </w:pPr>
            <w:r>
              <w:rPr>
                <w:rFonts w:ascii="Calibri" w:hAnsi="Calibri" w:eastAsia="Calibri"/>
                <w:b w:val="0"/>
                <w:color w:val="26322E"/>
                <w:sz w:val="17"/>
              </w:rPr>
              <w:t>₹0.50Cr</w:t>
            </w:r>
          </w:p>
        </w:tc>
        <w:tc>
          <w:tcPr>
            <w:tcW w:type="dxa" w:w="4460"/>
            <w:shd w:fill="F3F5F4" w:val="clear"/>
            <w:vAlign w:val="center"/>
          </w:tcPr>
          <w:p>
            <w:pPr>
              <w:spacing w:after="0" w:line="269" w:lineRule="auto"/>
              <w:jc w:val="left"/>
            </w:pPr>
            <w:r>
              <w:rPr>
                <w:rFonts w:ascii="Calibri" w:hAnsi="Calibri" w:eastAsia="Calibri"/>
                <w:b w:val="0"/>
                <w:color w:val="26322E"/>
                <w:sz w:val="17"/>
              </w:rPr>
              <w:t>Processing capacity, observability, backups, cost optimization</w:t>
            </w:r>
          </w:p>
        </w:tc>
      </w:tr>
      <w:tr>
        <w:trPr>
          <w:cantSplit w:val="true"/>
        </w:trPr>
        <w:tc>
          <w:tcPr>
            <w:tcW w:type="dxa" w:w="2500"/>
            <w:vAlign w:val="center"/>
          </w:tcPr>
          <w:p>
            <w:pPr>
              <w:spacing w:after="0" w:line="269" w:lineRule="auto"/>
              <w:jc w:val="left"/>
            </w:pPr>
            <w:r>
              <w:rPr>
                <w:rFonts w:ascii="Calibri" w:hAnsi="Calibri" w:eastAsia="Calibri"/>
                <w:b/>
                <w:color w:val="26322E"/>
                <w:sz w:val="17"/>
              </w:rPr>
              <w:t>Customer success &amp; implementation</w:t>
            </w:r>
          </w:p>
        </w:tc>
        <w:tc>
          <w:tcPr>
            <w:tcW w:type="dxa" w:w="1000"/>
            <w:vAlign w:val="center"/>
          </w:tcPr>
          <w:p>
            <w:pPr>
              <w:spacing w:after="0" w:line="269" w:lineRule="auto"/>
              <w:jc w:val="center"/>
            </w:pPr>
            <w:r>
              <w:rPr>
                <w:rFonts w:ascii="Calibri" w:hAnsi="Calibri" w:eastAsia="Calibri"/>
                <w:b w:val="0"/>
                <w:color w:val="26322E"/>
                <w:sz w:val="17"/>
              </w:rPr>
              <w:t>7.5%</w:t>
            </w:r>
          </w:p>
        </w:tc>
        <w:tc>
          <w:tcPr>
            <w:tcW w:type="dxa" w:w="1400"/>
            <w:vAlign w:val="center"/>
          </w:tcPr>
          <w:p>
            <w:pPr>
              <w:spacing w:after="0" w:line="269" w:lineRule="auto"/>
              <w:jc w:val="center"/>
            </w:pPr>
            <w:r>
              <w:rPr>
                <w:rFonts w:ascii="Calibri" w:hAnsi="Calibri" w:eastAsia="Calibri"/>
                <w:b w:val="0"/>
                <w:color w:val="26322E"/>
                <w:sz w:val="17"/>
              </w:rPr>
              <w:t>₹0.30Cr</w:t>
            </w:r>
          </w:p>
        </w:tc>
        <w:tc>
          <w:tcPr>
            <w:tcW w:type="dxa" w:w="4460"/>
            <w:vAlign w:val="center"/>
          </w:tcPr>
          <w:p>
            <w:pPr>
              <w:spacing w:after="0" w:line="269" w:lineRule="auto"/>
              <w:jc w:val="left"/>
            </w:pPr>
            <w:r>
              <w:rPr>
                <w:rFonts w:ascii="Calibri" w:hAnsi="Calibri" w:eastAsia="Calibri"/>
                <w:b w:val="0"/>
                <w:color w:val="26322E"/>
                <w:sz w:val="17"/>
              </w:rPr>
              <w:t>Faster onboarding, training, support, institutional deployment</w:t>
            </w:r>
          </w:p>
        </w:tc>
      </w:tr>
      <w:tr>
        <w:trPr>
          <w:cantSplit w:val="true"/>
        </w:trPr>
        <w:tc>
          <w:tcPr>
            <w:tcW w:type="dxa" w:w="2500"/>
            <w:shd w:fill="F3F5F4" w:val="clear"/>
            <w:vAlign w:val="center"/>
          </w:tcPr>
          <w:p>
            <w:pPr>
              <w:spacing w:after="0" w:line="269" w:lineRule="auto"/>
              <w:jc w:val="left"/>
            </w:pPr>
            <w:r>
              <w:rPr>
                <w:rFonts w:ascii="Calibri" w:hAnsi="Calibri" w:eastAsia="Calibri"/>
                <w:b/>
                <w:color w:val="26322E"/>
                <w:sz w:val="17"/>
              </w:rPr>
              <w:t>Legal, finance &amp; contingency</w:t>
            </w:r>
          </w:p>
        </w:tc>
        <w:tc>
          <w:tcPr>
            <w:tcW w:type="dxa" w:w="1000"/>
            <w:shd w:fill="F3F5F4" w:val="clear"/>
            <w:vAlign w:val="center"/>
          </w:tcPr>
          <w:p>
            <w:pPr>
              <w:spacing w:after="0" w:line="269" w:lineRule="auto"/>
              <w:jc w:val="center"/>
            </w:pPr>
            <w:r>
              <w:rPr>
                <w:rFonts w:ascii="Calibri" w:hAnsi="Calibri" w:eastAsia="Calibri"/>
                <w:b w:val="0"/>
                <w:color w:val="26322E"/>
                <w:sz w:val="17"/>
              </w:rPr>
              <w:t>5%</w:t>
            </w:r>
          </w:p>
        </w:tc>
        <w:tc>
          <w:tcPr>
            <w:tcW w:type="dxa" w:w="1400"/>
            <w:shd w:fill="F3F5F4" w:val="clear"/>
            <w:vAlign w:val="center"/>
          </w:tcPr>
          <w:p>
            <w:pPr>
              <w:spacing w:after="0" w:line="269" w:lineRule="auto"/>
              <w:jc w:val="center"/>
            </w:pPr>
            <w:r>
              <w:rPr>
                <w:rFonts w:ascii="Calibri" w:hAnsi="Calibri" w:eastAsia="Calibri"/>
                <w:b w:val="0"/>
                <w:color w:val="26322E"/>
                <w:sz w:val="17"/>
              </w:rPr>
              <w:t>₹0.20Cr</w:t>
            </w:r>
          </w:p>
        </w:tc>
        <w:tc>
          <w:tcPr>
            <w:tcW w:type="dxa" w:w="4460"/>
            <w:shd w:fill="F3F5F4" w:val="clear"/>
            <w:vAlign w:val="center"/>
          </w:tcPr>
          <w:p>
            <w:pPr>
              <w:spacing w:after="0" w:line="269" w:lineRule="auto"/>
              <w:jc w:val="left"/>
            </w:pPr>
            <w:r>
              <w:rPr>
                <w:rFonts w:ascii="Calibri" w:hAnsi="Calibri" w:eastAsia="Calibri"/>
                <w:b w:val="0"/>
                <w:color w:val="26322E"/>
                <w:sz w:val="17"/>
              </w:rPr>
              <w:t>Contracts, finance controls, IP/data documentation, buffer</w:t>
            </w:r>
          </w:p>
        </w:tc>
      </w:tr>
    </w:tbl>
    <w:p>
      <w:pPr>
        <w:spacing w:after="40"/>
      </w:pPr>
    </w:p>
    <w:p>
      <w:pPr>
        <w:pStyle w:val="Heading2"/>
      </w:pPr>
      <w:r>
        <w:t>Round milestones</w:t>
      </w:r>
    </w:p>
    <w:tbl>
      <w:tblPr>
        <w:tblStyle w:val="TableGrid"/>
        <w:tblW w:type="dxa" w:w="9360"/>
        <w:tblLook w:firstColumn="1" w:firstRow="1" w:lastColumn="0" w:lastRow="0" w:noHBand="0" w:noVBand="1" w:val="04A0"/>
        <w:jc w:val="left"/>
        <w:tblInd w:w="120" w:type="dxa"/>
        <w:tblLayout w:type="fixed"/>
      </w:tblPr>
      <w:tblGrid>
        <w:gridCol w:w="1400"/>
        <w:gridCol w:w="4900"/>
        <w:gridCol w:w="3060"/>
      </w:tblGrid>
      <w:tr>
        <w:trPr>
          <w:tblHeader w:val="true"/>
          <w:cantSplit w:val="true"/>
        </w:trPr>
        <w:tc>
          <w:tcPr>
            <w:tcW w:type="dxa" w:w="14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By month</w:t>
            </w:r>
          </w:p>
        </w:tc>
        <w:tc>
          <w:tcPr>
            <w:tcW w:type="dxa" w:w="49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Milestone</w:t>
            </w:r>
          </w:p>
        </w:tc>
        <w:tc>
          <w:tcPr>
            <w:tcW w:type="dxa" w:w="30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Financing implication</w:t>
            </w:r>
          </w:p>
        </w:tc>
      </w:tr>
      <w:tr>
        <w:trPr>
          <w:cantSplit w:val="true"/>
        </w:trPr>
        <w:tc>
          <w:tcPr>
            <w:tcW w:type="dxa" w:w="1400"/>
            <w:vAlign w:val="center"/>
          </w:tcPr>
          <w:p>
            <w:pPr>
              <w:spacing w:after="0" w:line="269" w:lineRule="auto"/>
              <w:jc w:val="left"/>
            </w:pPr>
            <w:r>
              <w:rPr>
                <w:rFonts w:ascii="Calibri" w:hAnsi="Calibri" w:eastAsia="Calibri"/>
                <w:b/>
                <w:color w:val="26322E"/>
                <w:sz w:val="17"/>
              </w:rPr>
              <w:t>6</w:t>
            </w:r>
          </w:p>
        </w:tc>
        <w:tc>
          <w:tcPr>
            <w:tcW w:type="dxa" w:w="4900"/>
            <w:vAlign w:val="center"/>
          </w:tcPr>
          <w:p>
            <w:pPr>
              <w:spacing w:after="0" w:line="269" w:lineRule="auto"/>
              <w:jc w:val="left"/>
            </w:pPr>
            <w:r>
              <w:rPr>
                <w:rFonts w:ascii="Calibri" w:hAnsi="Calibri" w:eastAsia="Calibri"/>
                <w:b w:val="0"/>
                <w:color w:val="26322E"/>
                <w:sz w:val="17"/>
              </w:rPr>
              <w:t>10–15 paying institutions; September features live; benchmark protocol running</w:t>
            </w:r>
          </w:p>
        </w:tc>
        <w:tc>
          <w:tcPr>
            <w:tcW w:type="dxa" w:w="3060"/>
            <w:vAlign w:val="center"/>
          </w:tcPr>
          <w:p>
            <w:pPr>
              <w:spacing w:after="0" w:line="269" w:lineRule="auto"/>
              <w:jc w:val="left"/>
            </w:pPr>
            <w:r>
              <w:rPr>
                <w:rFonts w:ascii="Calibri" w:hAnsi="Calibri" w:eastAsia="Calibri"/>
                <w:b w:val="0"/>
                <w:color w:val="26322E"/>
                <w:sz w:val="17"/>
              </w:rPr>
              <w:t>Confirms product completion and paid wedge</w:t>
            </w:r>
          </w:p>
        </w:tc>
      </w:tr>
      <w:tr>
        <w:trPr>
          <w:cantSplit w:val="true"/>
        </w:trPr>
        <w:tc>
          <w:tcPr>
            <w:tcW w:type="dxa" w:w="1400"/>
            <w:shd w:fill="F3F5F4" w:val="clear"/>
            <w:vAlign w:val="center"/>
          </w:tcPr>
          <w:p>
            <w:pPr>
              <w:spacing w:after="0" w:line="269" w:lineRule="auto"/>
              <w:jc w:val="left"/>
            </w:pPr>
            <w:r>
              <w:rPr>
                <w:rFonts w:ascii="Calibri" w:hAnsi="Calibri" w:eastAsia="Calibri"/>
                <w:b/>
                <w:color w:val="26322E"/>
                <w:sz w:val="17"/>
              </w:rPr>
              <w:t>12</w:t>
            </w:r>
          </w:p>
        </w:tc>
        <w:tc>
          <w:tcPr>
            <w:tcW w:type="dxa" w:w="4900"/>
            <w:shd w:fill="F3F5F4" w:val="clear"/>
            <w:vAlign w:val="center"/>
          </w:tcPr>
          <w:p>
            <w:pPr>
              <w:spacing w:after="0" w:line="269" w:lineRule="auto"/>
              <w:jc w:val="left"/>
            </w:pPr>
            <w:r>
              <w:rPr>
                <w:rFonts w:ascii="Calibri" w:hAnsi="Calibri" w:eastAsia="Calibri"/>
                <w:b w:val="0"/>
                <w:color w:val="26322E"/>
                <w:sz w:val="17"/>
              </w:rPr>
              <w:t>25–30 institutions; &gt;₹1 crore ARR run-rate; 3 referenceable case studies</w:t>
            </w:r>
          </w:p>
        </w:tc>
        <w:tc>
          <w:tcPr>
            <w:tcW w:type="dxa" w:w="3060"/>
            <w:shd w:fill="F3F5F4" w:val="clear"/>
            <w:vAlign w:val="center"/>
          </w:tcPr>
          <w:p>
            <w:pPr>
              <w:spacing w:after="0" w:line="269" w:lineRule="auto"/>
              <w:jc w:val="left"/>
            </w:pPr>
            <w:r>
              <w:rPr>
                <w:rFonts w:ascii="Calibri" w:hAnsi="Calibri" w:eastAsia="Calibri"/>
                <w:b w:val="0"/>
                <w:color w:val="26322E"/>
                <w:sz w:val="17"/>
              </w:rPr>
              <w:t>Supports repeatability and reference-led growth</w:t>
            </w:r>
          </w:p>
        </w:tc>
      </w:tr>
      <w:tr>
        <w:trPr>
          <w:cantSplit w:val="true"/>
        </w:trPr>
        <w:tc>
          <w:tcPr>
            <w:tcW w:type="dxa" w:w="1400"/>
            <w:vAlign w:val="center"/>
          </w:tcPr>
          <w:p>
            <w:pPr>
              <w:spacing w:after="0" w:line="269" w:lineRule="auto"/>
              <w:jc w:val="left"/>
            </w:pPr>
            <w:r>
              <w:rPr>
                <w:rFonts w:ascii="Calibri" w:hAnsi="Calibri" w:eastAsia="Calibri"/>
                <w:b/>
                <w:color w:val="26322E"/>
                <w:sz w:val="17"/>
              </w:rPr>
              <w:t>18</w:t>
            </w:r>
          </w:p>
        </w:tc>
        <w:tc>
          <w:tcPr>
            <w:tcW w:type="dxa" w:w="4900"/>
            <w:vAlign w:val="center"/>
          </w:tcPr>
          <w:p>
            <w:pPr>
              <w:spacing w:after="0" w:line="269" w:lineRule="auto"/>
              <w:jc w:val="left"/>
            </w:pPr>
            <w:r>
              <w:rPr>
                <w:rFonts w:ascii="Calibri" w:hAnsi="Calibri" w:eastAsia="Calibri"/>
                <w:b w:val="0"/>
                <w:color w:val="26322E"/>
                <w:sz w:val="17"/>
              </w:rPr>
              <w:t>50 institutions; ₹2 crore ARR run-rate; 70%+ GM trajectory; &gt;90% gross retention</w:t>
            </w:r>
          </w:p>
        </w:tc>
        <w:tc>
          <w:tcPr>
            <w:tcW w:type="dxa" w:w="3060"/>
            <w:vAlign w:val="center"/>
          </w:tcPr>
          <w:p>
            <w:pPr>
              <w:spacing w:after="0" w:line="269" w:lineRule="auto"/>
              <w:jc w:val="left"/>
            </w:pPr>
            <w:r>
              <w:rPr>
                <w:rFonts w:ascii="Calibri" w:hAnsi="Calibri" w:eastAsia="Calibri"/>
                <w:b w:val="0"/>
                <w:color w:val="26322E"/>
                <w:sz w:val="17"/>
              </w:rPr>
              <w:t>Creates a credible Series A / extension decision point</w:t>
            </w:r>
          </w:p>
        </w:tc>
      </w:tr>
    </w:tbl>
    <w:p>
      <w:pPr>
        <w:spacing w:after="40"/>
      </w:pPr>
    </w:p>
    <w:p>
      <w:pPr>
        <w:pStyle w:val="Heading2"/>
      </w:pPr>
      <w:r>
        <w:t>Investor fit</w:t>
      </w:r>
    </w:p>
    <w:p>
      <w:pPr>
        <w:numPr>
          <w:ilvl w:val="0"/>
          <w:numId w:val="10"/>
        </w:numPr>
        <w:spacing w:after="80" w:line="290" w:lineRule="auto"/>
      </w:pPr>
      <w:r>
        <w:rPr>
          <w:rFonts w:ascii="Calibri" w:hAnsi="Calibri" w:eastAsia="Calibri"/>
          <w:color w:val="26322E"/>
        </w:rPr>
        <w:t>Seed investor with B2B SaaS and India institutional-sales experience.</w:t>
      </w:r>
    </w:p>
    <w:p>
      <w:pPr>
        <w:numPr>
          <w:ilvl w:val="0"/>
          <w:numId w:val="10"/>
        </w:numPr>
        <w:spacing w:after="80" w:line="290" w:lineRule="auto"/>
      </w:pPr>
      <w:r>
        <w:rPr>
          <w:rFonts w:ascii="Calibri" w:hAnsi="Calibri" w:eastAsia="Calibri"/>
          <w:color w:val="26322E"/>
        </w:rPr>
        <w:t>Education, assessment, ERP/LMS, or public-sector networks that accelerate references and procurement.</w:t>
      </w:r>
    </w:p>
    <w:p>
      <w:pPr>
        <w:numPr>
          <w:ilvl w:val="0"/>
          <w:numId w:val="10"/>
        </w:numPr>
        <w:spacing w:after="80" w:line="290" w:lineRule="auto"/>
      </w:pPr>
      <w:r>
        <w:rPr>
          <w:rFonts w:ascii="Calibri" w:hAnsi="Calibri" w:eastAsia="Calibri"/>
          <w:color w:val="26322E"/>
        </w:rPr>
        <w:t>AI governance, data protection, and enterprise security operating support.</w:t>
      </w:r>
    </w:p>
    <w:p>
      <w:pPr>
        <w:numPr>
          <w:ilvl w:val="0"/>
          <w:numId w:val="10"/>
        </w:numPr>
        <w:spacing w:after="80" w:line="290" w:lineRule="auto"/>
      </w:pPr>
      <w:r>
        <w:rPr>
          <w:rFonts w:ascii="Calibri" w:hAnsi="Calibri" w:eastAsia="Calibri"/>
          <w:color w:val="26322E"/>
        </w:rPr>
        <w:t>Follow-on capacity for a later round if commercial evidence compounds.</w:t>
      </w:r>
    </w:p>
    <w:p>
      <w:pPr>
        <w:numPr>
          <w:ilvl w:val="0"/>
          <w:numId w:val="10"/>
        </w:numPr>
        <w:spacing w:after="80" w:line="290" w:lineRule="auto"/>
      </w:pPr>
      <w:r>
        <w:rPr>
          <w:rFonts w:ascii="Calibri" w:hAnsi="Calibri" w:eastAsia="Calibri"/>
          <w:color w:val="26322E"/>
        </w:rPr>
        <w:t>No commercial exclusivity that restricts the company from serving broad institutional segments.</w:t>
      </w:r>
    </w:p>
    <w:p>
      <w:pPr>
        <w:keepNext/>
        <w:spacing w:before="0" w:after="120"/>
      </w:pPr>
      <w:r>
        <w:rPr>
          <w:rFonts w:ascii="Calibri" w:hAnsi="Calibri" w:eastAsia="Calibri"/>
          <w:b/>
          <w:color w:val="BF9B30"/>
          <w:sz w:val="17"/>
        </w:rPr>
        <w:t>SECTION 13</w:t>
      </w:r>
    </w:p>
    <w:p>
      <w:pPr>
        <w:pStyle w:val="Heading1"/>
      </w:pPr>
      <w:r>
        <w:t>Key Risks &amp; Mitigations</w:t>
      </w:r>
    </w:p>
    <w:p>
      <w:pPr>
        <w:spacing w:after="200"/>
      </w:pPr>
      <w:r>
        <w:rPr>
          <w:rFonts w:ascii="Calibri" w:hAnsi="Calibri" w:eastAsia="Calibri"/>
          <w:i/>
          <w:color w:val="5F6E67"/>
          <w:sz w:val="23"/>
        </w:rPr>
        <w:t>The plan becomes investable when risks are measurable and owned</w:t>
      </w:r>
    </w:p>
    <w:tbl>
      <w:tblPr>
        <w:tblStyle w:val="TableGrid"/>
        <w:tblW w:type="dxa" w:w="9360"/>
        <w:tblLook w:firstColumn="1" w:firstRow="1" w:lastColumn="0" w:lastRow="0" w:noHBand="0" w:noVBand="1" w:val="04A0"/>
        <w:jc w:val="left"/>
        <w:tblInd w:w="120" w:type="dxa"/>
        <w:tblLayout w:type="fixed"/>
      </w:tblPr>
      <w:tblGrid>
        <w:gridCol w:w="1900"/>
        <w:gridCol w:w="2660"/>
        <w:gridCol w:w="4800"/>
      </w:tblGrid>
      <w:tr>
        <w:trPr>
          <w:tblHeader w:val="true"/>
          <w:cantSplit w:val="true"/>
        </w:trPr>
        <w:tc>
          <w:tcPr>
            <w:tcW w:type="dxa" w:w="190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Risk</w:t>
            </w:r>
          </w:p>
        </w:tc>
        <w:tc>
          <w:tcPr>
            <w:tcW w:type="dxa" w:w="266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Potential impact</w:t>
            </w:r>
          </w:p>
        </w:tc>
        <w:tc>
          <w:tcPr>
            <w:tcW w:type="dxa" w:w="480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Mitigation and leading indicator</w:t>
            </w:r>
          </w:p>
        </w:tc>
      </w:tr>
      <w:tr>
        <w:trPr>
          <w:cantSplit w:val="true"/>
        </w:trPr>
        <w:tc>
          <w:tcPr>
            <w:tcW w:type="dxa" w:w="1900"/>
            <w:vAlign w:val="center"/>
          </w:tcPr>
          <w:p>
            <w:pPr>
              <w:spacing w:after="0" w:line="269" w:lineRule="auto"/>
              <w:jc w:val="left"/>
            </w:pPr>
            <w:r>
              <w:rPr>
                <w:rFonts w:ascii="Calibri" w:hAnsi="Calibri" w:eastAsia="Calibri"/>
                <w:b/>
                <w:color w:val="26322E"/>
                <w:sz w:val="16"/>
              </w:rPr>
              <w:t>Accuracy / grading harm</w:t>
            </w:r>
          </w:p>
        </w:tc>
        <w:tc>
          <w:tcPr>
            <w:tcW w:type="dxa" w:w="2660"/>
            <w:vAlign w:val="center"/>
          </w:tcPr>
          <w:p>
            <w:pPr>
              <w:spacing w:after="0" w:line="269" w:lineRule="auto"/>
              <w:jc w:val="left"/>
            </w:pPr>
            <w:r>
              <w:rPr>
                <w:rFonts w:ascii="Calibri" w:hAnsi="Calibri" w:eastAsia="Calibri"/>
                <w:b w:val="0"/>
                <w:color w:val="26322E"/>
                <w:sz w:val="16"/>
              </w:rPr>
              <w:t>Loss of trust, disputes, academic harm</w:t>
            </w:r>
          </w:p>
        </w:tc>
        <w:tc>
          <w:tcPr>
            <w:tcW w:type="dxa" w:w="4800"/>
            <w:vAlign w:val="center"/>
          </w:tcPr>
          <w:p>
            <w:pPr>
              <w:spacing w:after="0" w:line="269" w:lineRule="auto"/>
              <w:jc w:val="left"/>
            </w:pPr>
            <w:r>
              <w:rPr>
                <w:rFonts w:ascii="Calibri" w:hAnsi="Calibri" w:eastAsia="Calibri"/>
                <w:b w:val="0"/>
                <w:color w:val="26322E"/>
                <w:sz w:val="16"/>
              </w:rPr>
              <w:t>Faculty approval; confidence routing; benchmark by subject/question type; override and appeal tracking</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6"/>
              </w:rPr>
              <w:t>Privacy / DPDP</w:t>
            </w:r>
          </w:p>
        </w:tc>
        <w:tc>
          <w:tcPr>
            <w:tcW w:type="dxa" w:w="2660"/>
            <w:shd w:fill="F3F5F4" w:val="clear"/>
            <w:vAlign w:val="center"/>
          </w:tcPr>
          <w:p>
            <w:pPr>
              <w:spacing w:after="0" w:line="269" w:lineRule="auto"/>
              <w:jc w:val="left"/>
            </w:pPr>
            <w:r>
              <w:rPr>
                <w:rFonts w:ascii="Calibri" w:hAnsi="Calibri" w:eastAsia="Calibri"/>
                <w:b w:val="0"/>
                <w:color w:val="26322E"/>
                <w:sz w:val="16"/>
              </w:rPr>
              <w:t>Contract loss, remediation cost, regulatory exposure</w:t>
            </w:r>
          </w:p>
        </w:tc>
        <w:tc>
          <w:tcPr>
            <w:tcW w:type="dxa" w:w="4800"/>
            <w:shd w:fill="F3F5F4" w:val="clear"/>
            <w:vAlign w:val="center"/>
          </w:tcPr>
          <w:p>
            <w:pPr>
              <w:spacing w:after="0" w:line="269" w:lineRule="auto"/>
              <w:jc w:val="left"/>
            </w:pPr>
            <w:r>
              <w:rPr>
                <w:rFonts w:ascii="Calibri" w:hAnsi="Calibri" w:eastAsia="Calibri"/>
                <w:b w:val="0"/>
                <w:color w:val="26322E"/>
                <w:sz w:val="16"/>
              </w:rPr>
              <w:t>Data inventory, notice/contract support, retention/deletion, DPAs, incident response, legal review</w:t>
            </w:r>
          </w:p>
        </w:tc>
      </w:tr>
      <w:tr>
        <w:trPr>
          <w:cantSplit w:val="true"/>
        </w:trPr>
        <w:tc>
          <w:tcPr>
            <w:tcW w:type="dxa" w:w="1900"/>
            <w:vAlign w:val="center"/>
          </w:tcPr>
          <w:p>
            <w:pPr>
              <w:spacing w:after="0" w:line="269" w:lineRule="auto"/>
              <w:jc w:val="left"/>
            </w:pPr>
            <w:r>
              <w:rPr>
                <w:rFonts w:ascii="Calibri" w:hAnsi="Calibri" w:eastAsia="Calibri"/>
                <w:b/>
                <w:color w:val="26322E"/>
                <w:sz w:val="16"/>
              </w:rPr>
              <w:t>Long procurement cycles</w:t>
            </w:r>
          </w:p>
        </w:tc>
        <w:tc>
          <w:tcPr>
            <w:tcW w:type="dxa" w:w="2660"/>
            <w:vAlign w:val="center"/>
          </w:tcPr>
          <w:p>
            <w:pPr>
              <w:spacing w:after="0" w:line="269" w:lineRule="auto"/>
              <w:jc w:val="left"/>
            </w:pPr>
            <w:r>
              <w:rPr>
                <w:rFonts w:ascii="Calibri" w:hAnsi="Calibri" w:eastAsia="Calibri"/>
                <w:b w:val="0"/>
                <w:color w:val="26322E"/>
                <w:sz w:val="16"/>
              </w:rPr>
              <w:t>Slow revenue and high working capital</w:t>
            </w:r>
          </w:p>
        </w:tc>
        <w:tc>
          <w:tcPr>
            <w:tcW w:type="dxa" w:w="4800"/>
            <w:vAlign w:val="center"/>
          </w:tcPr>
          <w:p>
            <w:pPr>
              <w:spacing w:after="0" w:line="269" w:lineRule="auto"/>
              <w:jc w:val="left"/>
            </w:pPr>
            <w:r>
              <w:rPr>
                <w:rFonts w:ascii="Calibri" w:hAnsi="Calibri" w:eastAsia="Calibri"/>
                <w:b w:val="0"/>
                <w:color w:val="26322E"/>
                <w:sz w:val="16"/>
              </w:rPr>
              <w:t>Paid department pilots, procurement map, milestone billing, receivable target, channel partners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6"/>
              </w:rPr>
              <w:t>Model and compute costs</w:t>
            </w:r>
          </w:p>
        </w:tc>
        <w:tc>
          <w:tcPr>
            <w:tcW w:type="dxa" w:w="2660"/>
            <w:shd w:fill="F3F5F4" w:val="clear"/>
            <w:vAlign w:val="center"/>
          </w:tcPr>
          <w:p>
            <w:pPr>
              <w:spacing w:after="0" w:line="269" w:lineRule="auto"/>
              <w:jc w:val="left"/>
            </w:pPr>
            <w:r>
              <w:rPr>
                <w:rFonts w:ascii="Calibri" w:hAnsi="Calibri" w:eastAsia="Calibri"/>
                <w:b w:val="0"/>
                <w:color w:val="26322E"/>
                <w:sz w:val="16"/>
              </w:rPr>
              <w:t>Weak gross margin at scale</w:t>
            </w:r>
          </w:p>
        </w:tc>
        <w:tc>
          <w:tcPr>
            <w:tcW w:type="dxa" w:w="4800"/>
            <w:shd w:fill="F3F5F4" w:val="clear"/>
            <w:vAlign w:val="center"/>
          </w:tcPr>
          <w:p>
            <w:pPr>
              <w:spacing w:after="0" w:line="269" w:lineRule="auto"/>
              <w:jc w:val="left"/>
            </w:pPr>
            <w:r>
              <w:rPr>
                <w:rFonts w:ascii="Calibri" w:hAnsi="Calibri" w:eastAsia="Calibri"/>
                <w:b w:val="0"/>
                <w:color w:val="26322E"/>
                <w:sz w:val="16"/>
              </w:rPr>
              <w:t>Per-sheet telemetry, model routing, caching, batch processing, overage floors, quarterly price review</w:t>
            </w:r>
          </w:p>
        </w:tc>
      </w:tr>
      <w:tr>
        <w:trPr>
          <w:cantSplit w:val="true"/>
        </w:trPr>
        <w:tc>
          <w:tcPr>
            <w:tcW w:type="dxa" w:w="1900"/>
            <w:vAlign w:val="center"/>
          </w:tcPr>
          <w:p>
            <w:pPr>
              <w:spacing w:after="0" w:line="269" w:lineRule="auto"/>
              <w:jc w:val="left"/>
            </w:pPr>
            <w:r>
              <w:rPr>
                <w:rFonts w:ascii="Calibri" w:hAnsi="Calibri" w:eastAsia="Calibri"/>
                <w:b/>
                <w:color w:val="26322E"/>
                <w:sz w:val="16"/>
              </w:rPr>
              <w:t>Competitive response</w:t>
            </w:r>
          </w:p>
        </w:tc>
        <w:tc>
          <w:tcPr>
            <w:tcW w:type="dxa" w:w="2660"/>
            <w:vAlign w:val="center"/>
          </w:tcPr>
          <w:p>
            <w:pPr>
              <w:spacing w:after="0" w:line="269" w:lineRule="auto"/>
              <w:jc w:val="left"/>
            </w:pPr>
            <w:r>
              <w:rPr>
                <w:rFonts w:ascii="Calibri" w:hAnsi="Calibri" w:eastAsia="Calibri"/>
                <w:b w:val="0"/>
                <w:color w:val="26322E"/>
                <w:sz w:val="16"/>
              </w:rPr>
              <w:t>Price pressure and feature parity</w:t>
            </w:r>
          </w:p>
        </w:tc>
        <w:tc>
          <w:tcPr>
            <w:tcW w:type="dxa" w:w="4800"/>
            <w:vAlign w:val="center"/>
          </w:tcPr>
          <w:p>
            <w:pPr>
              <w:spacing w:after="0" w:line="269" w:lineRule="auto"/>
              <w:jc w:val="left"/>
            </w:pPr>
            <w:r>
              <w:rPr>
                <w:rFonts w:ascii="Calibri" w:hAnsi="Calibri" w:eastAsia="Calibri"/>
                <w:b w:val="0"/>
                <w:color w:val="26322E"/>
                <w:sz w:val="16"/>
              </w:rPr>
              <w:t>Integrated workflow, evidence, references, India-specific formats, fast implementation, integrations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6"/>
              </w:rPr>
              <w:t>Unsubstantiated claims</w:t>
            </w:r>
          </w:p>
        </w:tc>
        <w:tc>
          <w:tcPr>
            <w:tcW w:type="dxa" w:w="2660"/>
            <w:shd w:fill="F3F5F4" w:val="clear"/>
            <w:vAlign w:val="center"/>
          </w:tcPr>
          <w:p>
            <w:pPr>
              <w:spacing w:after="0" w:line="269" w:lineRule="auto"/>
              <w:jc w:val="left"/>
            </w:pPr>
            <w:r>
              <w:rPr>
                <w:rFonts w:ascii="Calibri" w:hAnsi="Calibri" w:eastAsia="Calibri"/>
                <w:b w:val="0"/>
                <w:color w:val="26322E"/>
                <w:sz w:val="16"/>
              </w:rPr>
              <w:t>Investor/customer credibility loss</w:t>
            </w:r>
          </w:p>
        </w:tc>
        <w:tc>
          <w:tcPr>
            <w:tcW w:type="dxa" w:w="4800"/>
            <w:shd w:fill="F3F5F4" w:val="clear"/>
            <w:vAlign w:val="center"/>
          </w:tcPr>
          <w:p>
            <w:pPr>
              <w:spacing w:after="0" w:line="269" w:lineRule="auto"/>
              <w:jc w:val="left"/>
            </w:pPr>
            <w:r>
              <w:rPr>
                <w:rFonts w:ascii="Calibri" w:hAnsi="Calibri" w:eastAsia="Calibri"/>
                <w:b w:val="0"/>
                <w:color w:val="26322E"/>
                <w:sz w:val="16"/>
              </w:rPr>
              <w:t>Claim register, methodology appendix, independent validation, signed customer case studies</w:t>
            </w:r>
          </w:p>
        </w:tc>
      </w:tr>
      <w:tr>
        <w:trPr>
          <w:cantSplit w:val="true"/>
        </w:trPr>
        <w:tc>
          <w:tcPr>
            <w:tcW w:type="dxa" w:w="1900"/>
            <w:vAlign w:val="center"/>
          </w:tcPr>
          <w:p>
            <w:pPr>
              <w:spacing w:after="0" w:line="269" w:lineRule="auto"/>
              <w:jc w:val="left"/>
            </w:pPr>
            <w:r>
              <w:rPr>
                <w:rFonts w:ascii="Calibri" w:hAnsi="Calibri" w:eastAsia="Calibri"/>
                <w:b/>
                <w:color w:val="26322E"/>
                <w:sz w:val="16"/>
              </w:rPr>
              <w:t>Seasonality</w:t>
            </w:r>
          </w:p>
        </w:tc>
        <w:tc>
          <w:tcPr>
            <w:tcW w:type="dxa" w:w="2660"/>
            <w:vAlign w:val="center"/>
          </w:tcPr>
          <w:p>
            <w:pPr>
              <w:spacing w:after="0" w:line="269" w:lineRule="auto"/>
              <w:jc w:val="left"/>
            </w:pPr>
            <w:r>
              <w:rPr>
                <w:rFonts w:ascii="Calibri" w:hAnsi="Calibri" w:eastAsia="Calibri"/>
                <w:b w:val="0"/>
                <w:color w:val="26322E"/>
                <w:sz w:val="16"/>
              </w:rPr>
              <w:t>Revenue concentration around exam cycles</w:t>
            </w:r>
          </w:p>
        </w:tc>
        <w:tc>
          <w:tcPr>
            <w:tcW w:type="dxa" w:w="4800"/>
            <w:vAlign w:val="center"/>
          </w:tcPr>
          <w:p>
            <w:pPr>
              <w:spacing w:after="0" w:line="269" w:lineRule="auto"/>
              <w:jc w:val="left"/>
            </w:pPr>
            <w:r>
              <w:rPr>
                <w:rFonts w:ascii="Calibri" w:hAnsi="Calibri" w:eastAsia="Calibri"/>
                <w:b w:val="0"/>
                <w:color w:val="26322E"/>
                <w:sz w:val="16"/>
              </w:rPr>
              <w:t>Annual commitments, multiple modules, multiple institution segments, implementation calendars</w:t>
            </w:r>
          </w:p>
        </w:tc>
      </w:tr>
      <w:tr>
        <w:trPr>
          <w:cantSplit w:val="true"/>
        </w:trPr>
        <w:tc>
          <w:tcPr>
            <w:tcW w:type="dxa" w:w="1900"/>
            <w:shd w:fill="F3F5F4" w:val="clear"/>
            <w:vAlign w:val="center"/>
          </w:tcPr>
          <w:p>
            <w:pPr>
              <w:spacing w:after="0" w:line="269" w:lineRule="auto"/>
              <w:jc w:val="left"/>
            </w:pPr>
            <w:r>
              <w:rPr>
                <w:rFonts w:ascii="Calibri" w:hAnsi="Calibri" w:eastAsia="Calibri"/>
                <w:b/>
                <w:color w:val="26322E"/>
                <w:sz w:val="16"/>
              </w:rPr>
              <w:t>Founder / key-person risk</w:t>
            </w:r>
          </w:p>
        </w:tc>
        <w:tc>
          <w:tcPr>
            <w:tcW w:type="dxa" w:w="2660"/>
            <w:shd w:fill="F3F5F4" w:val="clear"/>
            <w:vAlign w:val="center"/>
          </w:tcPr>
          <w:p>
            <w:pPr>
              <w:spacing w:after="0" w:line="269" w:lineRule="auto"/>
              <w:jc w:val="left"/>
            </w:pPr>
            <w:r>
              <w:rPr>
                <w:rFonts w:ascii="Calibri" w:hAnsi="Calibri" w:eastAsia="Calibri"/>
                <w:b w:val="0"/>
                <w:color w:val="26322E"/>
                <w:sz w:val="16"/>
              </w:rPr>
              <w:t>Sales and product bottleneck</w:t>
            </w:r>
          </w:p>
        </w:tc>
        <w:tc>
          <w:tcPr>
            <w:tcW w:type="dxa" w:w="4800"/>
            <w:shd w:fill="F3F5F4" w:val="clear"/>
            <w:vAlign w:val="center"/>
          </w:tcPr>
          <w:p>
            <w:pPr>
              <w:spacing w:after="0" w:line="269" w:lineRule="auto"/>
              <w:jc w:val="left"/>
            </w:pPr>
            <w:r>
              <w:rPr>
                <w:rFonts w:ascii="Calibri" w:hAnsi="Calibri" w:eastAsia="Calibri"/>
                <w:b w:val="0"/>
                <w:color w:val="26322E"/>
                <w:sz w:val="16"/>
              </w:rPr>
              <w:t>Named owners, second-line hires, board cadence, documentation, delegated customer success</w:t>
            </w:r>
          </w:p>
        </w:tc>
      </w:tr>
    </w:tbl>
    <w:p>
      <w:pPr>
        <w:spacing w:after="40"/>
      </w:pP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F7F3E8" w:val="clear"/>
            <w:tcBorders>
              <w:top w:val="single" w:sz="4" w:color="F7F3E8"/>
              <w:start w:val="single" w:sz="18" w:color="BF9B30"/>
              <w:bottom w:val="single" w:sz="4" w:color="F7F3E8"/>
              <w:end w:val="single" w:sz="4" w:color="F7F3E8"/>
            </w:tcBorders>
          </w:tcPr>
          <w:p>
            <w:pPr>
              <w:spacing w:after="60"/>
            </w:pPr>
            <w:r>
              <w:rPr>
                <w:rFonts w:ascii="Calibri" w:hAnsi="Calibri" w:eastAsia="Calibri"/>
                <w:b/>
                <w:color w:val="BF9B30"/>
                <w:sz w:val="16"/>
              </w:rPr>
              <w:t>DECISION RULE</w:t>
            </w:r>
          </w:p>
          <w:p>
            <w:pPr>
              <w:spacing w:after="80"/>
            </w:pPr>
            <w:r>
              <w:rPr>
                <w:rFonts w:ascii="Calibri" w:hAnsi="Calibri" w:eastAsia="Calibri"/>
                <w:b/>
                <w:color w:val="1A2421"/>
                <w:sz w:val="27"/>
              </w:rPr>
              <w:t>Do not scale autonomous scoring faster than the evidence system.</w:t>
            </w:r>
          </w:p>
          <w:p>
            <w:pPr>
              <w:spacing w:after="0" w:line="283" w:lineRule="auto"/>
            </w:pPr>
            <w:r>
              <w:rPr>
                <w:rFonts w:ascii="Calibri" w:hAnsi="Calibri" w:eastAsia="Calibri"/>
                <w:color w:val="26322E"/>
                <w:sz w:val="20"/>
              </w:rPr>
              <w:t>Expansion should follow demonstrated agreement, explainability, review efficiency, and appeal outcomes by subject and answer type. When confidence is low, route to a person—the platform's credibility is more valuable than marginal automation.</w:t>
            </w:r>
          </w:p>
        </w:tc>
      </w:tr>
    </w:tbl>
    <w:p>
      <w:pPr>
        <w:spacing w:after="20"/>
      </w:pPr>
    </w:p>
    <w:p>
      <w:pPr>
        <w:keepNext/>
        <w:spacing w:before="0" w:after="120"/>
      </w:pPr>
      <w:r>
        <w:rPr>
          <w:rFonts w:ascii="Calibri" w:hAnsi="Calibri" w:eastAsia="Calibri"/>
          <w:b/>
          <w:color w:val="BF9B30"/>
          <w:sz w:val="17"/>
        </w:rPr>
        <w:t>SECTION 14</w:t>
      </w:r>
    </w:p>
    <w:p>
      <w:pPr>
        <w:pStyle w:val="Heading1"/>
      </w:pPr>
      <w:r>
        <w:t>Investor Diligence Readiness</w:t>
      </w:r>
    </w:p>
    <w:p>
      <w:pPr>
        <w:spacing w:after="200"/>
      </w:pPr>
      <w:r>
        <w:rPr>
          <w:rFonts w:ascii="Calibri" w:hAnsi="Calibri" w:eastAsia="Calibri"/>
          <w:i/>
          <w:color w:val="5F6E67"/>
          <w:sz w:val="23"/>
        </w:rPr>
        <w:t>The fastest route to a better deal is removing uncertainty before term-sheet discussion</w:t>
      </w:r>
    </w:p>
    <w:tbl>
      <w:tblPr>
        <w:tblStyle w:val="TableGrid"/>
        <w:tblW w:type="dxa" w:w="9360"/>
        <w:tblLook w:firstColumn="1" w:firstRow="1" w:lastColumn="0" w:lastRow="0" w:noHBand="0" w:noVBand="1" w:val="04A0"/>
        <w:jc w:val="left"/>
        <w:tblInd w:w="120" w:type="dxa"/>
        <w:tblLayout w:type="fixed"/>
      </w:tblPr>
      <w:tblGrid>
        <w:gridCol w:w="2350"/>
        <w:gridCol w:w="7010"/>
      </w:tblGrid>
      <w:tr>
        <w:trPr>
          <w:tblHeader w:val="true"/>
          <w:cantSplit w:val="true"/>
        </w:trPr>
        <w:tc>
          <w:tcPr>
            <w:tcW w:type="dxa" w:w="2350"/>
            <w:tcMar>
              <w:top w:w="80" w:type="dxa"/>
              <w:start w:w="120" w:type="dxa"/>
              <w:bottom w:w="80" w:type="dxa"/>
              <w:end w:w="120" w:type="dxa"/>
            </w:tcMar>
            <w:vAlign w:val="center"/>
            <w:shd w:fill="145A38" w:val="clear"/>
          </w:tcPr>
          <w:p>
            <w:pPr>
              <w:spacing w:after="0"/>
              <w:jc w:val="left"/>
            </w:pPr>
            <w:r>
              <w:rPr>
                <w:rFonts w:ascii="Calibri" w:hAnsi="Calibri" w:eastAsia="Calibri"/>
                <w:b/>
                <w:color w:val="FFFFFF"/>
                <w:sz w:val="17"/>
              </w:rPr>
              <w:t>Data-room folder</w:t>
            </w:r>
          </w:p>
        </w:tc>
        <w:tc>
          <w:tcPr>
            <w:tcW w:type="dxa" w:w="7010"/>
            <w:tcMar>
              <w:top w:w="80" w:type="dxa"/>
              <w:start w:w="120" w:type="dxa"/>
              <w:bottom w:w="80" w:type="dxa"/>
              <w:end w:w="120" w:type="dxa"/>
            </w:tcMar>
            <w:vAlign w:val="center"/>
            <w:shd w:fill="145A38" w:val="clear"/>
          </w:tcPr>
          <w:p>
            <w:pPr>
              <w:spacing w:after="0"/>
              <w:jc w:val="center"/>
            </w:pPr>
            <w:r>
              <w:rPr>
                <w:rFonts w:ascii="Calibri" w:hAnsi="Calibri" w:eastAsia="Calibri"/>
                <w:b/>
                <w:color w:val="FFFFFF"/>
                <w:sz w:val="17"/>
              </w:rPr>
              <w:t>Minimum content before investor circulation</w:t>
            </w:r>
          </w:p>
        </w:tc>
      </w:tr>
      <w:tr>
        <w:trPr>
          <w:cantSplit w:val="true"/>
        </w:trPr>
        <w:tc>
          <w:tcPr>
            <w:tcW w:type="dxa" w:w="2350"/>
            <w:vAlign w:val="center"/>
          </w:tcPr>
          <w:p>
            <w:pPr>
              <w:spacing w:after="0" w:line="269" w:lineRule="auto"/>
              <w:jc w:val="left"/>
            </w:pPr>
            <w:r>
              <w:rPr>
                <w:rFonts w:ascii="Calibri" w:hAnsi="Calibri" w:eastAsia="Calibri"/>
                <w:b/>
                <w:color w:val="26322E"/>
                <w:sz w:val="16"/>
              </w:rPr>
              <w:t>Corporate</w:t>
            </w:r>
          </w:p>
        </w:tc>
        <w:tc>
          <w:tcPr>
            <w:tcW w:type="dxa" w:w="7010"/>
            <w:vAlign w:val="center"/>
          </w:tcPr>
          <w:p>
            <w:pPr>
              <w:spacing w:after="0" w:line="269" w:lineRule="auto"/>
              <w:jc w:val="left"/>
            </w:pPr>
            <w:r>
              <w:rPr>
                <w:rFonts w:ascii="Calibri" w:hAnsi="Calibri" w:eastAsia="Calibri"/>
                <w:b w:val="0"/>
                <w:color w:val="26322E"/>
                <w:sz w:val="16"/>
              </w:rPr>
              <w:t>Certificate of incorporation, constitutional documents, cap table, past issuances, board/shareholder approvals, statutory filings</w:t>
            </w:r>
          </w:p>
        </w:tc>
      </w:tr>
      <w:tr>
        <w:trPr>
          <w:cantSplit w:val="true"/>
        </w:trPr>
        <w:tc>
          <w:tcPr>
            <w:tcW w:type="dxa" w:w="2350"/>
            <w:shd w:fill="F3F5F4" w:val="clear"/>
            <w:vAlign w:val="center"/>
          </w:tcPr>
          <w:p>
            <w:pPr>
              <w:spacing w:after="0" w:line="269" w:lineRule="auto"/>
              <w:jc w:val="left"/>
            </w:pPr>
            <w:r>
              <w:rPr>
                <w:rFonts w:ascii="Calibri" w:hAnsi="Calibri" w:eastAsia="Calibri"/>
                <w:b/>
                <w:color w:val="26322E"/>
                <w:sz w:val="16"/>
              </w:rPr>
              <w:t>Team</w:t>
            </w:r>
          </w:p>
        </w:tc>
        <w:tc>
          <w:tcPr>
            <w:tcW w:type="dxa" w:w="7010"/>
            <w:shd w:fill="F3F5F4" w:val="clear"/>
            <w:vAlign w:val="center"/>
          </w:tcPr>
          <w:p>
            <w:pPr>
              <w:spacing w:after="0" w:line="269" w:lineRule="auto"/>
              <w:jc w:val="left"/>
            </w:pPr>
            <w:r>
              <w:rPr>
                <w:rFonts w:ascii="Calibri" w:hAnsi="Calibri" w:eastAsia="Calibri"/>
                <w:b w:val="0"/>
                <w:color w:val="26322E"/>
                <w:sz w:val="16"/>
              </w:rPr>
              <w:t>Named founder bios, employment/consulting agreements, ESOP plan, hiring plan, reference checks</w:t>
            </w:r>
          </w:p>
        </w:tc>
      </w:tr>
      <w:tr>
        <w:trPr>
          <w:cantSplit w:val="true"/>
        </w:trPr>
        <w:tc>
          <w:tcPr>
            <w:tcW w:type="dxa" w:w="2350"/>
            <w:vAlign w:val="center"/>
          </w:tcPr>
          <w:p>
            <w:pPr>
              <w:spacing w:after="0" w:line="269" w:lineRule="auto"/>
              <w:jc w:val="left"/>
            </w:pPr>
            <w:r>
              <w:rPr>
                <w:rFonts w:ascii="Calibri" w:hAnsi="Calibri" w:eastAsia="Calibri"/>
                <w:b/>
                <w:color w:val="26322E"/>
                <w:sz w:val="16"/>
              </w:rPr>
              <w:t>Commercial</w:t>
            </w:r>
          </w:p>
        </w:tc>
        <w:tc>
          <w:tcPr>
            <w:tcW w:type="dxa" w:w="7010"/>
            <w:vAlign w:val="center"/>
          </w:tcPr>
          <w:p>
            <w:pPr>
              <w:spacing w:after="0" w:line="269" w:lineRule="auto"/>
              <w:jc w:val="left"/>
            </w:pPr>
            <w:r>
              <w:rPr>
                <w:rFonts w:ascii="Calibri" w:hAnsi="Calibri" w:eastAsia="Calibri"/>
                <w:b w:val="0"/>
                <w:color w:val="26322E"/>
                <w:sz w:val="16"/>
              </w:rPr>
              <w:t>Revenue by customer/month/module, contracts, invoices, pipeline with stage/value/date, LOIs/POs, churn/renewal</w:t>
            </w:r>
          </w:p>
        </w:tc>
      </w:tr>
      <w:tr>
        <w:trPr>
          <w:cantSplit w:val="true"/>
        </w:trPr>
        <w:tc>
          <w:tcPr>
            <w:tcW w:type="dxa" w:w="2350"/>
            <w:shd w:fill="F3F5F4" w:val="clear"/>
            <w:vAlign w:val="center"/>
          </w:tcPr>
          <w:p>
            <w:pPr>
              <w:spacing w:after="0" w:line="269" w:lineRule="auto"/>
              <w:jc w:val="left"/>
            </w:pPr>
            <w:r>
              <w:rPr>
                <w:rFonts w:ascii="Calibri" w:hAnsi="Calibri" w:eastAsia="Calibri"/>
                <w:b/>
                <w:color w:val="26322E"/>
                <w:sz w:val="16"/>
              </w:rPr>
              <w:t>Product &amp; traction</w:t>
            </w:r>
          </w:p>
        </w:tc>
        <w:tc>
          <w:tcPr>
            <w:tcW w:type="dxa" w:w="7010"/>
            <w:shd w:fill="F3F5F4" w:val="clear"/>
            <w:vAlign w:val="center"/>
          </w:tcPr>
          <w:p>
            <w:pPr>
              <w:spacing w:after="0" w:line="269" w:lineRule="auto"/>
              <w:jc w:val="left"/>
            </w:pPr>
            <w:r>
              <w:rPr>
                <w:rFonts w:ascii="Calibri" w:hAnsi="Calibri" w:eastAsia="Calibri"/>
                <w:b w:val="0"/>
                <w:color w:val="26322E"/>
                <w:sz w:val="16"/>
              </w:rPr>
              <w:t>Usage logs, institution/educator definitions, pilot reports, product roadmap, support metrics</w:t>
            </w:r>
          </w:p>
        </w:tc>
      </w:tr>
      <w:tr>
        <w:trPr>
          <w:cantSplit w:val="true"/>
        </w:trPr>
        <w:tc>
          <w:tcPr>
            <w:tcW w:type="dxa" w:w="2350"/>
            <w:vAlign w:val="center"/>
          </w:tcPr>
          <w:p>
            <w:pPr>
              <w:spacing w:after="0" w:line="269" w:lineRule="auto"/>
              <w:jc w:val="left"/>
            </w:pPr>
            <w:r>
              <w:rPr>
                <w:rFonts w:ascii="Calibri" w:hAnsi="Calibri" w:eastAsia="Calibri"/>
                <w:b/>
                <w:color w:val="26322E"/>
                <w:sz w:val="16"/>
              </w:rPr>
              <w:t>Accuracy &amp; QA</w:t>
            </w:r>
          </w:p>
        </w:tc>
        <w:tc>
          <w:tcPr>
            <w:tcW w:type="dxa" w:w="7010"/>
            <w:vAlign w:val="center"/>
          </w:tcPr>
          <w:p>
            <w:pPr>
              <w:spacing w:after="0" w:line="269" w:lineRule="auto"/>
              <w:jc w:val="left"/>
            </w:pPr>
            <w:r>
              <w:rPr>
                <w:rFonts w:ascii="Calibri" w:hAnsi="Calibri" w:eastAsia="Calibri"/>
                <w:b w:val="0"/>
                <w:color w:val="26322E"/>
                <w:sz w:val="16"/>
              </w:rPr>
              <w:t>Benchmark methodology, dataset composition, human-rater protocol, error analysis, overrides, exceptions, claim register</w:t>
            </w:r>
          </w:p>
        </w:tc>
      </w:tr>
      <w:tr>
        <w:trPr>
          <w:cantSplit w:val="true"/>
        </w:trPr>
        <w:tc>
          <w:tcPr>
            <w:tcW w:type="dxa" w:w="2350"/>
            <w:shd w:fill="F3F5F4" w:val="clear"/>
            <w:vAlign w:val="center"/>
          </w:tcPr>
          <w:p>
            <w:pPr>
              <w:spacing w:after="0" w:line="269" w:lineRule="auto"/>
              <w:jc w:val="left"/>
            </w:pPr>
            <w:r>
              <w:rPr>
                <w:rFonts w:ascii="Calibri" w:hAnsi="Calibri" w:eastAsia="Calibri"/>
                <w:b/>
                <w:color w:val="26322E"/>
                <w:sz w:val="16"/>
              </w:rPr>
              <w:t>Unit economics</w:t>
            </w:r>
          </w:p>
        </w:tc>
        <w:tc>
          <w:tcPr>
            <w:tcW w:type="dxa" w:w="7010"/>
            <w:shd w:fill="F3F5F4" w:val="clear"/>
            <w:vAlign w:val="center"/>
          </w:tcPr>
          <w:p>
            <w:pPr>
              <w:spacing w:after="0" w:line="269" w:lineRule="auto"/>
              <w:jc w:val="left"/>
            </w:pPr>
            <w:r>
              <w:rPr>
                <w:rFonts w:ascii="Calibri" w:hAnsi="Calibri" w:eastAsia="Calibri"/>
                <w:b w:val="0"/>
                <w:color w:val="26322E"/>
                <w:sz w:val="16"/>
              </w:rPr>
              <w:t>API/model/OCR/storage cost, gross margin by product, support hours, CAC, sales cycle, receivable days</w:t>
            </w:r>
          </w:p>
        </w:tc>
      </w:tr>
      <w:tr>
        <w:trPr>
          <w:cantSplit w:val="true"/>
        </w:trPr>
        <w:tc>
          <w:tcPr>
            <w:tcW w:type="dxa" w:w="2350"/>
            <w:vAlign w:val="center"/>
          </w:tcPr>
          <w:p>
            <w:pPr>
              <w:spacing w:after="0" w:line="269" w:lineRule="auto"/>
              <w:jc w:val="left"/>
            </w:pPr>
            <w:r>
              <w:rPr>
                <w:rFonts w:ascii="Calibri" w:hAnsi="Calibri" w:eastAsia="Calibri"/>
                <w:b/>
                <w:color w:val="26322E"/>
                <w:sz w:val="16"/>
              </w:rPr>
              <w:t>Technology &amp; IP</w:t>
            </w:r>
          </w:p>
        </w:tc>
        <w:tc>
          <w:tcPr>
            <w:tcW w:type="dxa" w:w="7010"/>
            <w:vAlign w:val="center"/>
          </w:tcPr>
          <w:p>
            <w:pPr>
              <w:spacing w:after="0" w:line="269" w:lineRule="auto"/>
              <w:jc w:val="left"/>
            </w:pPr>
            <w:r>
              <w:rPr>
                <w:rFonts w:ascii="Calibri" w:hAnsi="Calibri" w:eastAsia="Calibri"/>
                <w:b w:val="0"/>
                <w:color w:val="26322E"/>
                <w:sz w:val="16"/>
              </w:rPr>
              <w:t>Architecture, repositories, access control, IP assignments, third-party licenses, model/vendor terms, disaster recovery</w:t>
            </w:r>
          </w:p>
        </w:tc>
      </w:tr>
      <w:tr>
        <w:trPr>
          <w:cantSplit w:val="true"/>
        </w:trPr>
        <w:tc>
          <w:tcPr>
            <w:tcW w:type="dxa" w:w="2350"/>
            <w:shd w:fill="F3F5F4" w:val="clear"/>
            <w:vAlign w:val="center"/>
          </w:tcPr>
          <w:p>
            <w:pPr>
              <w:spacing w:after="0" w:line="269" w:lineRule="auto"/>
              <w:jc w:val="left"/>
            </w:pPr>
            <w:r>
              <w:rPr>
                <w:rFonts w:ascii="Calibri" w:hAnsi="Calibri" w:eastAsia="Calibri"/>
                <w:b/>
                <w:color w:val="26322E"/>
                <w:sz w:val="16"/>
              </w:rPr>
              <w:t>Privacy &amp; security</w:t>
            </w:r>
          </w:p>
        </w:tc>
        <w:tc>
          <w:tcPr>
            <w:tcW w:type="dxa" w:w="7010"/>
            <w:shd w:fill="F3F5F4" w:val="clear"/>
            <w:vAlign w:val="center"/>
          </w:tcPr>
          <w:p>
            <w:pPr>
              <w:spacing w:after="0" w:line="269" w:lineRule="auto"/>
              <w:jc w:val="left"/>
            </w:pPr>
            <w:r>
              <w:rPr>
                <w:rFonts w:ascii="Calibri" w:hAnsi="Calibri" w:eastAsia="Calibri"/>
                <w:b w:val="0"/>
                <w:color w:val="26322E"/>
                <w:sz w:val="16"/>
              </w:rPr>
              <w:t>Data map, privacy notices, customer DPA, subprocessors, retention/deletion, vulnerability tests, incidents</w:t>
            </w:r>
          </w:p>
        </w:tc>
      </w:tr>
      <w:tr>
        <w:trPr>
          <w:cantSplit w:val="true"/>
        </w:trPr>
        <w:tc>
          <w:tcPr>
            <w:tcW w:type="dxa" w:w="2350"/>
            <w:vAlign w:val="center"/>
          </w:tcPr>
          <w:p>
            <w:pPr>
              <w:spacing w:after="0" w:line="269" w:lineRule="auto"/>
              <w:jc w:val="left"/>
            </w:pPr>
            <w:r>
              <w:rPr>
                <w:rFonts w:ascii="Calibri" w:hAnsi="Calibri" w:eastAsia="Calibri"/>
                <w:b/>
                <w:color w:val="26322E"/>
                <w:sz w:val="16"/>
              </w:rPr>
              <w:t>Finance &amp; tax</w:t>
            </w:r>
          </w:p>
        </w:tc>
        <w:tc>
          <w:tcPr>
            <w:tcW w:type="dxa" w:w="7010"/>
            <w:vAlign w:val="center"/>
          </w:tcPr>
          <w:p>
            <w:pPr>
              <w:spacing w:after="0" w:line="269" w:lineRule="auto"/>
              <w:jc w:val="left"/>
            </w:pPr>
            <w:r>
              <w:rPr>
                <w:rFonts w:ascii="Calibri" w:hAnsi="Calibri" w:eastAsia="Calibri"/>
                <w:b w:val="0"/>
                <w:color w:val="26322E"/>
                <w:sz w:val="16"/>
              </w:rPr>
              <w:t>Monthly P&amp;L, balance sheet, cash flow, bank statements, GST/TDS, budgets, liabilities, related-party transactions</w:t>
            </w:r>
          </w:p>
        </w:tc>
      </w:tr>
    </w:tbl>
    <w:p>
      <w:pPr>
        <w:spacing w:after="40"/>
      </w:pPr>
    </w:p>
    <w:p>
      <w:pPr>
        <w:pStyle w:val="Heading2"/>
      </w:pPr>
      <w:r>
        <w:t>Five facts to personalize before sending this plan</w:t>
      </w:r>
    </w:p>
    <w:p>
      <w:pPr>
        <w:numPr>
          <w:ilvl w:val="0"/>
          <w:numId w:val="14"/>
        </w:numPr>
        <w:spacing w:after="80" w:line="290" w:lineRule="auto"/>
      </w:pPr>
      <w:r>
        <w:rPr>
          <w:rFonts w:ascii="Calibri" w:hAnsi="Calibri" w:eastAsia="Calibri"/>
          <w:color w:val="26322E"/>
        </w:rPr>
        <w:t>Founder names, roles, biographies, full-time status, and ownership.</w:t>
      </w:r>
    </w:p>
    <w:p>
      <w:pPr>
        <w:numPr>
          <w:ilvl w:val="0"/>
          <w:numId w:val="14"/>
        </w:numPr>
        <w:spacing w:after="80" w:line="290" w:lineRule="auto"/>
      </w:pPr>
      <w:r>
        <w:rPr>
          <w:rFonts w:ascii="Calibri" w:hAnsi="Calibri" w:eastAsia="Calibri"/>
          <w:color w:val="26322E"/>
        </w:rPr>
        <w:t>Actual revenue/ARR, cash balance, monthly burn, liabilities, and prior funding.</w:t>
      </w:r>
    </w:p>
    <w:p>
      <w:pPr>
        <w:numPr>
          <w:ilvl w:val="0"/>
          <w:numId w:val="14"/>
        </w:numPr>
        <w:spacing w:after="80" w:line="290" w:lineRule="auto"/>
      </w:pPr>
      <w:r>
        <w:rPr>
          <w:rFonts w:ascii="Calibri" w:hAnsi="Calibri" w:eastAsia="Calibri"/>
          <w:color w:val="26322E"/>
        </w:rPr>
        <w:t>Paying institutions, named pilots/LOIs, contract values, and qualified pipeline.</w:t>
      </w:r>
    </w:p>
    <w:p>
      <w:pPr>
        <w:numPr>
          <w:ilvl w:val="0"/>
          <w:numId w:val="14"/>
        </w:numPr>
        <w:spacing w:after="80" w:line="290" w:lineRule="auto"/>
      </w:pPr>
      <w:r>
        <w:rPr>
          <w:rFonts w:ascii="Calibri" w:hAnsi="Calibri" w:eastAsia="Calibri"/>
          <w:color w:val="26322E"/>
        </w:rPr>
        <w:t>DASES pricing, cloud/model cost per sheet, gross margin, and faculty review effort.</w:t>
      </w:r>
    </w:p>
    <w:p>
      <w:pPr>
        <w:numPr>
          <w:ilvl w:val="0"/>
          <w:numId w:val="14"/>
        </w:numPr>
        <w:spacing w:after="80" w:line="290" w:lineRule="auto"/>
      </w:pPr>
      <w:r>
        <w:rPr>
          <w:rFonts w:ascii="Calibri" w:hAnsi="Calibri" w:eastAsia="Calibri"/>
          <w:color w:val="26322E"/>
        </w:rPr>
        <w:t>Exact accuracy methodology and independent/customer validation evidence.</w:t>
      </w:r>
    </w:p>
    <w:tbl>
      <w:tblPr>
        <w:tblW w:type="dxa" w:w="9360"/>
        <w:tblLook w:firstColumn="1" w:firstRow="1" w:lastColumn="0" w:lastRow="0" w:noHBand="0" w:noVBand="1" w:val="04A0"/>
        <w:jc w:val="left"/>
        <w:tblInd w:w="120" w:type="dxa"/>
        <w:tblLayout w:type="fixed"/>
      </w:tblPr>
      <w:tblGrid>
        <w:gridCol w:w="9360"/>
      </w:tblGrid>
      <w:tr>
        <w:trPr>
          <w:cantSplit w:val="true"/>
        </w:trPr>
        <w:tc>
          <w:tcPr>
            <w:tcW w:type="dxa" w:w="9360"/>
            <w:tcMar>
              <w:top w:w="150" w:type="dxa"/>
              <w:start w:w="190" w:type="dxa"/>
              <w:bottom w:w="150" w:type="dxa"/>
              <w:end w:w="190" w:type="dxa"/>
            </w:tcMar>
            <w:vAlign w:val="center"/>
            <w:shd w:fill="EAF1EC" w:val="clear"/>
            <w:tcBorders>
              <w:top w:val="single" w:sz="4" w:color="EAF1EC"/>
              <w:start w:val="single" w:sz="18" w:color="145A38"/>
              <w:bottom w:val="single" w:sz="4" w:color="EAF1EC"/>
              <w:end w:val="single" w:sz="4" w:color="EAF1EC"/>
            </w:tcBorders>
          </w:tcPr>
          <w:p>
            <w:pPr>
              <w:spacing w:after="60"/>
            </w:pPr>
            <w:r>
              <w:rPr>
                <w:rFonts w:ascii="Calibri" w:hAnsi="Calibri" w:eastAsia="Calibri"/>
                <w:b/>
                <w:color w:val="145A38"/>
                <w:sz w:val="16"/>
              </w:rPr>
              <w:t>FUNDRAISING DISCIPLINE</w:t>
            </w:r>
          </w:p>
          <w:p>
            <w:pPr>
              <w:spacing w:after="80"/>
            </w:pPr>
            <w:r>
              <w:rPr>
                <w:rFonts w:ascii="Calibri" w:hAnsi="Calibri" w:eastAsia="Calibri"/>
                <w:b/>
                <w:color w:val="1A2421"/>
                <w:sz w:val="27"/>
              </w:rPr>
              <w:t>Lead with evidence; negotiate dilution after the milestone story is credible.</w:t>
            </w:r>
          </w:p>
          <w:p>
            <w:pPr>
              <w:spacing w:after="0" w:line="283" w:lineRule="auto"/>
            </w:pPr>
            <w:r>
              <w:rPr>
                <w:rFonts w:ascii="Calibri" w:hAnsi="Calibri" w:eastAsia="Calibri"/>
                <w:color w:val="26322E"/>
                <w:sz w:val="20"/>
              </w:rPr>
              <w:t>A strong process creates leverage: clean data room, consistent metrics, multiple interested investors, a defined close date, and a clear view of the minimum capital needed to reach the next value inflection. Avoid presenting an unsupported valuation before the actual commercial evidence is assembled.</w:t>
            </w:r>
          </w:p>
        </w:tc>
      </w:tr>
    </w:tbl>
    <w:p>
      <w:pPr>
        <w:spacing w:after="20"/>
      </w:pPr>
    </w:p>
    <w:p>
      <w:pPr>
        <w:keepNext/>
        <w:spacing w:before="0" w:after="120"/>
      </w:pPr>
      <w:r>
        <w:rPr>
          <w:rFonts w:ascii="Calibri" w:hAnsi="Calibri" w:eastAsia="Calibri"/>
          <w:b/>
          <w:color w:val="BF9B30"/>
          <w:sz w:val="17"/>
        </w:rPr>
        <w:t>SECTION 15</w:t>
      </w:r>
    </w:p>
    <w:p>
      <w:pPr>
        <w:pStyle w:val="Heading1"/>
      </w:pPr>
      <w:r>
        <w:t>Sources &amp; Research Notes</w:t>
      </w:r>
    </w:p>
    <w:p>
      <w:pPr>
        <w:spacing w:after="200"/>
      </w:pPr>
      <w:r>
        <w:rPr>
          <w:rFonts w:ascii="Calibri" w:hAnsi="Calibri" w:eastAsia="Calibri"/>
          <w:i/>
          <w:color w:val="5F6E67"/>
          <w:sz w:val="23"/>
        </w:rPr>
        <w:t>Research cutoff: 31 July 2026</w:t>
      </w:r>
    </w:p>
    <w:p>
      <w:pPr>
        <w:keepLines/>
        <w:spacing w:after="80"/>
      </w:pPr>
      <w:r>
        <w:rPr>
          <w:rFonts w:ascii="Calibri" w:hAnsi="Calibri" w:eastAsia="Calibri"/>
          <w:b/>
          <w:color w:val="1A2421"/>
          <w:sz w:val="18"/>
        </w:rPr>
        <w:t xml:space="preserve">[1] DASES homepage. </w:t>
      </w:r>
      <w:r>
        <w:rPr>
          <w:rFonts w:ascii="Calibri" w:hAnsi="Calibri" w:eastAsia="Calibri"/>
          <w:color w:val="26322E"/>
          <w:sz w:val="18"/>
        </w:rPr>
        <w:t xml:space="preserve">Company-reported capabilities, performance, affiliations, and contact information. </w:t>
      </w:r>
      <w:hyperlink r:id="rId16">
        <w:r>
          <w:rPr>
            <w:color w:val="145A38"/>
            <w:u w:val="single"/>
            <w:rFonts w:ascii="Calibri" w:hAnsi="Calibri"/>
          </w:rPr>
          <w:t>Open source</w:t>
        </w:r>
      </w:hyperlink>
    </w:p>
    <w:p>
      <w:pPr>
        <w:keepLines/>
        <w:spacing w:after="80"/>
      </w:pPr>
      <w:r>
        <w:rPr>
          <w:rFonts w:ascii="Calibri" w:hAnsi="Calibri" w:eastAsia="Calibri"/>
          <w:b/>
          <w:color w:val="1A2421"/>
          <w:sz w:val="18"/>
        </w:rPr>
        <w:t xml:space="preserve">[2] DASES About. </w:t>
      </w:r>
      <w:r>
        <w:rPr>
          <w:rFonts w:ascii="Calibri" w:hAnsi="Calibri" w:eastAsia="Calibri"/>
          <w:color w:val="26322E"/>
          <w:sz w:val="18"/>
        </w:rPr>
        <w:t xml:space="preserve">Company-reported traction, mission, India focus, and founding-team description. </w:t>
      </w:r>
      <w:hyperlink r:id="rId17">
        <w:r>
          <w:rPr>
            <w:color w:val="145A38"/>
            <w:u w:val="single"/>
            <w:rFonts w:ascii="Calibri" w:hAnsi="Calibri"/>
          </w:rPr>
          <w:t>Open source</w:t>
        </w:r>
      </w:hyperlink>
    </w:p>
    <w:p>
      <w:pPr>
        <w:keepLines/>
        <w:spacing w:after="80"/>
      </w:pPr>
      <w:r>
        <w:rPr>
          <w:rFonts w:ascii="Calibri" w:hAnsi="Calibri" w:eastAsia="Calibri"/>
          <w:b/>
          <w:color w:val="1A2421"/>
          <w:sz w:val="18"/>
        </w:rPr>
        <w:t xml:space="preserve">[3] DASES Solutions. </w:t>
      </w:r>
      <w:r>
        <w:rPr>
          <w:rFonts w:ascii="Calibri" w:hAnsi="Calibri" w:eastAsia="Calibri"/>
          <w:color w:val="26322E"/>
          <w:sz w:val="18"/>
        </w:rPr>
        <w:t xml:space="preserve">Product modules and end-to-end assessment workflow. </w:t>
      </w:r>
      <w:hyperlink r:id="rId18">
        <w:r>
          <w:rPr>
            <w:color w:val="145A38"/>
            <w:u w:val="single"/>
            <w:rFonts w:ascii="Calibri" w:hAnsi="Calibri"/>
          </w:rPr>
          <w:t>Open source</w:t>
        </w:r>
      </w:hyperlink>
    </w:p>
    <w:p>
      <w:pPr>
        <w:keepLines/>
        <w:spacing w:after="80"/>
      </w:pPr>
      <w:r>
        <w:rPr>
          <w:rFonts w:ascii="Calibri" w:hAnsi="Calibri" w:eastAsia="Calibri"/>
          <w:b/>
          <w:color w:val="1A2421"/>
          <w:sz w:val="18"/>
        </w:rPr>
        <w:t xml:space="preserve">[4] BigChalkBox pricing. </w:t>
      </w:r>
      <w:r>
        <w:rPr>
          <w:rFonts w:ascii="Calibri" w:hAnsi="Calibri" w:eastAsia="Calibri"/>
          <w:color w:val="26322E"/>
          <w:sz w:val="18"/>
        </w:rPr>
        <w:t xml:space="preserve">Management-supplied pricing: ₹400 + GST per generated/moderated paper; custom DASES evaluation pricing. </w:t>
      </w:r>
      <w:hyperlink r:id="rId19">
        <w:r>
          <w:rPr>
            <w:color w:val="145A38"/>
            <w:u w:val="single"/>
            <w:rFonts w:ascii="Calibri" w:hAnsi="Calibri"/>
          </w:rPr>
          <w:t>Open source</w:t>
        </w:r>
      </w:hyperlink>
    </w:p>
    <w:p>
      <w:pPr>
        <w:keepLines/>
        <w:spacing w:after="80"/>
      </w:pPr>
      <w:r>
        <w:rPr>
          <w:rFonts w:ascii="Calibri" w:hAnsi="Calibri" w:eastAsia="Calibri"/>
          <w:b/>
          <w:color w:val="1A2421"/>
          <w:sz w:val="18"/>
        </w:rPr>
        <w:t xml:space="preserve">[5] Ministry of Education, AISHE 2023-24. </w:t>
      </w:r>
      <w:r>
        <w:rPr>
          <w:rFonts w:ascii="Calibri" w:hAnsi="Calibri" w:eastAsia="Calibri"/>
          <w:color w:val="26322E"/>
          <w:sz w:val="18"/>
        </w:rPr>
        <w:t xml:space="preserve">Official HEI, enrolment, teacher, and institution-management statistics. </w:t>
      </w:r>
      <w:hyperlink r:id="rId20">
        <w:r>
          <w:rPr>
            <w:color w:val="145A38"/>
            <w:u w:val="single"/>
            <w:rFonts w:ascii="Calibri" w:hAnsi="Calibri"/>
          </w:rPr>
          <w:t>Open source</w:t>
        </w:r>
      </w:hyperlink>
    </w:p>
    <w:p>
      <w:pPr>
        <w:keepLines/>
        <w:spacing w:after="80"/>
      </w:pPr>
      <w:r>
        <w:rPr>
          <w:rFonts w:ascii="Calibri" w:hAnsi="Calibri" w:eastAsia="Calibri"/>
          <w:b/>
          <w:color w:val="1A2421"/>
          <w:sz w:val="18"/>
        </w:rPr>
        <w:t xml:space="preserve">[6] EY India, AI in higher education. </w:t>
      </w:r>
      <w:r>
        <w:rPr>
          <w:rFonts w:ascii="Calibri" w:hAnsi="Calibri" w:eastAsia="Calibri"/>
          <w:color w:val="26322E"/>
          <w:sz w:val="18"/>
        </w:rPr>
        <w:t xml:space="preserve">FICCI-EY-Parthenon 2025 survey findings and governance recommendations. </w:t>
      </w:r>
      <w:hyperlink r:id="rId21">
        <w:r>
          <w:rPr>
            <w:color w:val="145A38"/>
            <w:u w:val="single"/>
            <w:rFonts w:ascii="Calibri" w:hAnsi="Calibri"/>
          </w:rPr>
          <w:t>Open source</w:t>
        </w:r>
      </w:hyperlink>
    </w:p>
    <w:p>
      <w:pPr>
        <w:keepLines/>
        <w:spacing w:after="80"/>
      </w:pPr>
      <w:r>
        <w:rPr>
          <w:rFonts w:ascii="Calibri" w:hAnsi="Calibri" w:eastAsia="Calibri"/>
          <w:b/>
          <w:color w:val="1A2421"/>
          <w:sz w:val="18"/>
        </w:rPr>
        <w:t xml:space="preserve">[7] Turnitin Gradescope. </w:t>
      </w:r>
      <w:r>
        <w:rPr>
          <w:rFonts w:ascii="Calibri" w:hAnsi="Calibri" w:eastAsia="Calibri"/>
          <w:color w:val="26322E"/>
          <w:sz w:val="18"/>
        </w:rPr>
        <w:t xml:space="preserve">Official description of handwritten support, dynamic rubrics, AI-assisted grouping, and institutional workflow. </w:t>
      </w:r>
      <w:hyperlink r:id="rId22">
        <w:r>
          <w:rPr>
            <w:color w:val="145A38"/>
            <w:u w:val="single"/>
            <w:rFonts w:ascii="Calibri" w:hAnsi="Calibri"/>
          </w:rPr>
          <w:t>Open source</w:t>
        </w:r>
      </w:hyperlink>
    </w:p>
    <w:p>
      <w:pPr>
        <w:keepLines/>
        <w:spacing w:after="80"/>
      </w:pPr>
      <w:r>
        <w:rPr>
          <w:rFonts w:ascii="Calibri" w:hAnsi="Calibri" w:eastAsia="Calibri"/>
          <w:b/>
          <w:color w:val="1A2421"/>
          <w:sz w:val="18"/>
        </w:rPr>
        <w:t xml:space="preserve">[8] Eklavvya. </w:t>
      </w:r>
      <w:r>
        <w:rPr>
          <w:rFonts w:ascii="Calibri" w:hAnsi="Calibri" w:eastAsia="Calibri"/>
          <w:color w:val="26322E"/>
          <w:sz w:val="18"/>
        </w:rPr>
        <w:t xml:space="preserve">Official description of AI question generation and handwritten answer-sheet evaluation capabilities. </w:t>
      </w:r>
      <w:hyperlink r:id="rId23">
        <w:r>
          <w:rPr>
            <w:color w:val="145A38"/>
            <w:u w:val="single"/>
            <w:rFonts w:ascii="Calibri" w:hAnsi="Calibri"/>
          </w:rPr>
          <w:t>Open source</w:t>
        </w:r>
      </w:hyperlink>
    </w:p>
    <w:p>
      <w:pPr>
        <w:keepLines/>
        <w:spacing w:after="80"/>
      </w:pPr>
      <w:r>
        <w:rPr>
          <w:rFonts w:ascii="Calibri" w:hAnsi="Calibri" w:eastAsia="Calibri"/>
          <w:b/>
          <w:color w:val="1A2421"/>
          <w:sz w:val="18"/>
        </w:rPr>
        <w:t xml:space="preserve">[9] MeitY DPDP Rules 2025. </w:t>
      </w:r>
      <w:r>
        <w:rPr>
          <w:rFonts w:ascii="Calibri" w:hAnsi="Calibri" w:eastAsia="Calibri"/>
          <w:color w:val="26322E"/>
          <w:sz w:val="18"/>
        </w:rPr>
        <w:t xml:space="preserve">Official rules, corrigendum, and staged enforcement materials. </w:t>
      </w:r>
      <w:hyperlink r:id="rId24">
        <w:r>
          <w:rPr>
            <w:color w:val="145A38"/>
            <w:u w:val="single"/>
            <w:rFonts w:ascii="Calibri" w:hAnsi="Calibri"/>
          </w:rPr>
          <w:t>Open source</w:t>
        </w:r>
      </w:hyperlink>
    </w:p>
    <w:p>
      <w:pPr>
        <w:pStyle w:val="Heading2"/>
      </w:pPr>
      <w:r>
        <w:t>Notes on interpretation</w:t>
      </w:r>
    </w:p>
    <w:p>
      <w:pPr>
        <w:numPr>
          <w:ilvl w:val="0"/>
          <w:numId w:val="10"/>
        </w:numPr>
        <w:spacing w:after="80" w:line="290" w:lineRule="auto"/>
      </w:pPr>
      <w:r>
        <w:rPr>
          <w:rFonts w:ascii="Calibri" w:hAnsi="Calibri" w:eastAsia="Calibri"/>
          <w:color w:val="26322E"/>
        </w:rPr>
        <w:t>Company metrics and roadmap statements are not independently verified unless explicitly stated.</w:t>
      </w:r>
    </w:p>
    <w:p>
      <w:pPr>
        <w:numPr>
          <w:ilvl w:val="0"/>
          <w:numId w:val="10"/>
        </w:numPr>
        <w:spacing w:after="80" w:line="290" w:lineRule="auto"/>
      </w:pPr>
      <w:r>
        <w:rPr>
          <w:rFonts w:ascii="Calibri" w:hAnsi="Calibri" w:eastAsia="Calibri"/>
          <w:color w:val="26322E"/>
        </w:rPr>
        <w:t>Market sizing is a bottom-up scenario derived from official institution counts and illustrative annual contract values; it is not a market-research forecast.</w:t>
      </w:r>
    </w:p>
    <w:p>
      <w:pPr>
        <w:numPr>
          <w:ilvl w:val="0"/>
          <w:numId w:val="10"/>
        </w:numPr>
        <w:spacing w:after="80" w:line="290" w:lineRule="auto"/>
      </w:pPr>
      <w:r>
        <w:rPr>
          <w:rFonts w:ascii="Calibri" w:hAnsi="Calibri" w:eastAsia="Calibri"/>
          <w:color w:val="26322E"/>
        </w:rPr>
        <w:t>Financial projections, packaging, funding amount, and milestone targets are management recommendations created for planning and must be replaced or approved using actual company data.</w:t>
      </w:r>
    </w:p>
    <w:p>
      <w:pPr>
        <w:numPr>
          <w:ilvl w:val="0"/>
          <w:numId w:val="10"/>
        </w:numPr>
        <w:spacing w:after="80" w:line="290" w:lineRule="auto"/>
      </w:pPr>
      <w:r>
        <w:rPr>
          <w:rFonts w:ascii="Calibri" w:hAnsi="Calibri" w:eastAsia="Calibri"/>
          <w:color w:val="26322E"/>
        </w:rPr>
        <w:t>Competitive descriptions use public vendor materials and should be validated during commercial diligence.</w:t>
      </w:r>
    </w:p>
    <w:p>
      <w:pPr>
        <w:numPr>
          <w:ilvl w:val="0"/>
          <w:numId w:val="10"/>
        </w:numPr>
        <w:spacing w:after="80" w:line="290" w:lineRule="auto"/>
      </w:pPr>
      <w:r>
        <w:rPr>
          <w:rFonts w:ascii="Calibri" w:hAnsi="Calibri" w:eastAsia="Calibri"/>
          <w:color w:val="26322E"/>
        </w:rPr>
        <w:t>Privacy and fundraising references are strategic planning considerations, not legal, tax, accounting, or investment advice.</w:t>
      </w:r>
    </w:p>
    <w:p>
      <w:pPr>
        <w:spacing w:before="360" w:after="60"/>
        <w:jc w:val="center"/>
      </w:pPr>
      <w:r>
        <w:rPr>
          <w:rFonts w:ascii="Calibri" w:hAnsi="Calibri" w:eastAsia="Calibri"/>
          <w:b/>
          <w:color w:val="145A38"/>
          <w:sz w:val="24"/>
        </w:rPr>
        <w:t>BIG CHALK BOX PVT. LTD.</w:t>
      </w:r>
    </w:p>
    <w:p>
      <w:pPr>
        <w:spacing w:after="0"/>
        <w:jc w:val="center"/>
      </w:pPr>
      <w:hyperlink r:id="rId25">
        <w:r>
          <w:rPr>
            <w:color w:val="145A38"/>
            <w:u w:val="single"/>
            <w:rFonts w:ascii="Calibri" w:hAnsi="Calibri"/>
          </w:rPr>
          <w:t>bigchalkbox.com</w:t>
        </w:r>
      </w:hyperlink>
      <w:r>
        <w:rPr>
          <w:rFonts w:ascii="Calibri" w:hAnsi="Calibri" w:eastAsia="Calibri"/>
          <w:color w:val="78857F"/>
          <w:sz w:val="18"/>
        </w:rPr>
        <w:t xml:space="preserve">  ·  </w:t>
      </w:r>
      <w:hyperlink r:id="rId16">
        <w:r>
          <w:rPr>
            <w:color w:val="145A38"/>
            <w:u w:val="single"/>
            <w:rFonts w:ascii="Calibri" w:hAnsi="Calibri"/>
          </w:rPr>
          <w:t>dasesai.com</w:t>
        </w:r>
      </w:hyperlink>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color w:val="78857F"/>
        <w:sz w:val="16"/>
      </w:rPr>
      <w:t>CONFIDENTIAL · DRAFT FOR INVESTOR DISCUSSION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Calibri"/>
        <w:color w:val="78857F"/>
        <w:sz w:val="16"/>
      </w:rPr>
      <w:t>CONFIDENTIAL · MANAGEMENT ASSUMPTIONS WHERE NOTED</w:t>
    </w:r>
    <w:r>
      <w:rPr>
        <w:rFonts w:ascii="Calibri" w:hAnsi="Calibri" w:eastAsia="Calibri"/>
        <w:color w:val="78857F"/>
        <w:sz w:val="16"/>
      </w:rPr>
      <w:tab/>
      <w:t xml:space="preserve">Page </w:t>
    </w:r>
    <w:r>
      <w:rPr>
        <w:rFonts w:ascii="Calibri" w:hAnsi="Calibri" w:eastAsia="Calibri"/>
        <w:color w:val="78857F"/>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145A38"/>
        <w:sz w:val="16"/>
      </w:rPr>
      <w:t>BIG CHALK BOX</w:t>
    </w:r>
    <w:r>
      <w:rPr>
        <w:rFonts w:ascii="Calibri" w:hAnsi="Calibri" w:eastAsia="Calibri"/>
        <w:color w:val="78857F"/>
        <w:sz w:val="16"/>
      </w:rPr>
      <w:tab/>
      <w:t>INVESTOR BUSINESS PLAN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2632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45A3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45A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D6E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40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F6E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Calibri" w:hAnsi="Calibri"/>
      <w:b/>
      <w:color w:val="BF9B3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dasesai.com/" TargetMode="External"/><Relationship Id="rId17" Type="http://schemas.openxmlformats.org/officeDocument/2006/relationships/hyperlink" Target="https://www.dasesai.com/about" TargetMode="External"/><Relationship Id="rId18" Type="http://schemas.openxmlformats.org/officeDocument/2006/relationships/hyperlink" Target="https://www.dasesai.com/solutions" TargetMode="External"/><Relationship Id="rId19" Type="http://schemas.openxmlformats.org/officeDocument/2006/relationships/hyperlink" Target="https://bigchalkbox.com/pricing" TargetMode="External"/><Relationship Id="rId20" Type="http://schemas.openxmlformats.org/officeDocument/2006/relationships/hyperlink" Target="https://www.dohe-education.gov.in/static/uploads/2026/07/8616f33dfee644ab6b87a2bd0658b18d.pdf" TargetMode="External"/><Relationship Id="rId21" Type="http://schemas.openxmlformats.org/officeDocument/2006/relationships/hyperlink" Target="https://www.ey.com/en_in/insights/education/harnessing-ai-in-higher-education-opportunities-and-the-road-ahead" TargetMode="External"/><Relationship Id="rId22" Type="http://schemas.openxmlformats.org/officeDocument/2006/relationships/hyperlink" Target="https://in.turnitin.com/products/gradescope/" TargetMode="External"/><Relationship Id="rId23" Type="http://schemas.openxmlformats.org/officeDocument/2006/relationships/hyperlink" Target="https://www.eklavvya.com/" TargetMode="External"/><Relationship Id="rId24" Type="http://schemas.openxmlformats.org/officeDocument/2006/relationships/hyperlink" Target="https://www.meity.gov.in/documents/act-and-policies/digital-personal-data-protection-rules-2025-gDOxUjMtQWa" TargetMode="External"/><Relationship Id="rId25" Type="http://schemas.openxmlformats.org/officeDocument/2006/relationships/hyperlink" Target="https://bigchalkbo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Chalk Box Investor Business Plan</dc:title>
  <dc:subject>Investor-ready business plan and seed financing framework</dc:subject>
  <dc:creator>Big Chalk Box Pvt. Ltd.</dc:creator>
  <cp:keywords>Big Chalk Box, DASES, investor business plan, EdTech, AI assessment</cp:keywords>
  <dc:description>Prepared from company-provided pricing, public company materials, and cited external research.</dc:description>
  <cp:lastModifiedBy/>
  <cp:revision>1</cp:revision>
  <dcterms:created xsi:type="dcterms:W3CDTF">2013-12-23T23:15:00Z</dcterms:created>
  <dcterms:modified xsi:type="dcterms:W3CDTF">2013-12-23T23:15:00Z</dcterms:modified>
  <cp:category/>
</cp:coreProperties>
</file>