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000000"/>
          <w:sz w:val="32"/>
        </w:rPr>
        <w:t>Wi-Fi CSI Presence &amp; Activity Sensing</w:t>
      </w:r>
    </w:p>
    <w:p>
      <w:pPr>
        <w:spacing w:after="40" w:before="0"/>
        <w:jc w:val="center"/>
      </w:pPr>
      <w:r>
        <w:rPr>
          <w:rFonts w:ascii="Times New Roman" w:hAnsi="Times New Roman"/>
          <w:b/>
          <w:i w:val="0"/>
          <w:color w:val="000000"/>
          <w:sz w:val="26"/>
        </w:rPr>
        <w:t>Progress Update</w:t>
      </w:r>
    </w:p>
    <w:p>
      <w:pPr>
        <w:spacing w:after="200" w:before="0"/>
        <w:jc w:val="center"/>
      </w:pPr>
      <w:r>
        <w:rPr>
          <w:rFonts w:ascii="Times New Roman" w:hAnsi="Times New Roman"/>
          <w:b w:val="0"/>
          <w:i w:val="0"/>
          <w:color w:val="000000"/>
          <w:sz w:val="22"/>
        </w:rPr>
        <w:t>July 13, 2026</w:t>
      </w:r>
    </w:p>
    <w:p>
      <w:pPr>
        <w:spacing w:after="80" w:before="200"/>
      </w:pPr>
      <w:r>
        <w:rPr>
          <w:rFonts w:ascii="Times New Roman" w:hAnsi="Times New Roman"/>
          <w:b/>
          <w:i w:val="0"/>
          <w:color w:val="000000"/>
          <w:sz w:val="26"/>
        </w:rPr>
        <w:t>Summary</w:t>
      </w:r>
    </w:p>
    <w:p>
      <w:pPr>
        <w:spacing w:after="120" w:before="0"/>
      </w:pPr>
      <w:r>
        <w:rPr>
          <w:rFonts w:ascii="Times New Roman" w:hAnsi="Times New Roman"/>
          <w:b w:val="0"/>
          <w:i w:val="0"/>
          <w:color w:val="000000"/>
          <w:sz w:val="24"/>
        </w:rPr>
        <w:t>Over the past two weeks we extended the single-link CSI study from one room to three, pooling all strong-link recordings into a single model and evaluating it under leave-one-placement-out cross-validation. The single transmitter-to-receiver link is now fully characterized: we have mapped what it can do, what it cannot, and the hardware limit that governs both. The headline results are that occupancy detection is portable across placements, fine activity recognition is strong on-site but does not yet transfer to a new placement without a short calibration, and the usable range of a single link is a hard limit at roughly 120 inches. These findings define the deployment recipe and motivate the next phase (a second and third receiver).</w:t>
      </w:r>
    </w:p>
    <w:p>
      <w:pPr>
        <w:spacing w:after="80" w:before="200"/>
      </w:pPr>
      <w:r>
        <w:rPr>
          <w:rFonts w:ascii="Times New Roman" w:hAnsi="Times New Roman"/>
          <w:b/>
          <w:i w:val="0"/>
          <w:color w:val="000000"/>
          <w:sz w:val="26"/>
        </w:rPr>
        <w:t>Dataset</w:t>
      </w:r>
    </w:p>
    <w:p>
      <w:pPr>
        <w:spacing w:after="80" w:before="0"/>
      </w:pPr>
      <w:r>
        <w:rPr>
          <w:rFonts w:ascii="Times New Roman" w:hAnsi="Times New Roman"/>
          <w:b w:val="0"/>
          <w:i w:val="0"/>
          <w:color w:val="000000"/>
          <w:sz w:val="24"/>
        </w:rPr>
        <w:t>All results below use one subject across Library Study Room 320X, spanning multiple node placements and orientations.</w:t>
      </w:r>
    </w:p>
    <w:p>
      <w:pPr>
        <w:pStyle w:val="ListBullet"/>
        <w:spacing w:after="40"/>
      </w:pPr>
      <w:r>
        <w:rPr>
          <w:rFonts w:ascii="Times New Roman" w:hAnsi="Times New Roman"/>
          <w:b w:val="0"/>
          <w:i w:val="0"/>
          <w:color w:val="000000"/>
          <w:sz w:val="24"/>
        </w:rPr>
        <w:t>14 configurations (placement x orientation), 29 recording sessions.</w:t>
      </w:r>
    </w:p>
    <w:p>
      <w:pPr>
        <w:pStyle w:val="ListBullet"/>
        <w:spacing w:after="40"/>
      </w:pPr>
      <w:r>
        <w:rPr>
          <w:rFonts w:ascii="Times New Roman" w:hAnsi="Times New Roman"/>
          <w:b w:val="0"/>
          <w:i w:val="0"/>
          <w:color w:val="000000"/>
          <w:sz w:val="24"/>
        </w:rPr>
        <w:t>~2.7 hours of recording, 910,071 CSI packets logged.</w:t>
      </w:r>
    </w:p>
    <w:p>
      <w:pPr>
        <w:pStyle w:val="ListBullet"/>
        <w:spacing w:after="40"/>
      </w:pPr>
      <w:r>
        <w:rPr>
          <w:rFonts w:ascii="Times New Roman" w:hAnsi="Times New Roman"/>
          <w:b w:val="0"/>
          <w:i w:val="0"/>
          <w:color w:val="000000"/>
          <w:sz w:val="24"/>
        </w:rPr>
        <w:t>4,971 labeled 2-second analysis windows.</w:t>
      </w:r>
    </w:p>
    <w:p>
      <w:pPr>
        <w:pStyle w:val="ListBullet"/>
        <w:spacing w:after="40"/>
      </w:pPr>
      <w:r>
        <w:rPr>
          <w:rFonts w:ascii="Times New Roman" w:hAnsi="Times New Roman"/>
          <w:b w:val="0"/>
          <w:i w:val="0"/>
          <w:color w:val="000000"/>
          <w:sz w:val="24"/>
        </w:rPr>
        <w:t>Classes: empty, stand, sit, walk, run.</w:t>
      </w:r>
    </w:p>
    <w:p>
      <w:pPr>
        <w:spacing w:after="80" w:before="0"/>
      </w:pPr>
      <w:r>
        <w:rPr>
          <w:rFonts w:ascii="Times New Roman" w:hAnsi="Times New Roman"/>
          <w:b w:val="0"/>
          <w:i w:val="0"/>
          <w:color w:val="000000"/>
          <w:sz w:val="24"/>
        </w:rPr>
        <w:t>Two weak-link configurations were excluded because the radio link had degraded past its usable range (see Figure 5).</w:t>
      </w:r>
    </w:p>
    <w:p>
      <w:pPr>
        <w:spacing w:after="80" w:before="200"/>
      </w:pPr>
      <w:r>
        <w:rPr>
          <w:rFonts w:ascii="Times New Roman" w:hAnsi="Times New Roman"/>
          <w:b/>
          <w:i w:val="0"/>
          <w:color w:val="000000"/>
          <w:sz w:val="26"/>
        </w:rPr>
        <w:t>Key Discoveries</w:t>
      </w:r>
    </w:p>
    <w:p>
      <w:pPr>
        <w:pStyle w:val="ListBullet"/>
        <w:spacing w:after="40"/>
      </w:pPr>
      <w:r>
        <w:rPr>
          <w:rFonts w:ascii="Times New Roman" w:hAnsi="Times New Roman"/>
          <w:b w:val="0"/>
          <w:i w:val="0"/>
          <w:color w:val="000000"/>
          <w:sz w:val="24"/>
        </w:rPr>
        <w:t>Occupancy detection is portable. Presence (empty vs. occupied) holds up when the model is dropped into a placement it never trained on (0.79 balanced accuracy held-out, ~0.97 when calibrated on-site).</w:t>
      </w:r>
    </w:p>
    <w:p>
      <w:pPr>
        <w:pStyle w:val="ListBullet"/>
        <w:spacing w:after="40"/>
      </w:pPr>
      <w:r>
        <w:rPr>
          <w:rFonts w:ascii="Times New Roman" w:hAnsi="Times New Roman"/>
          <w:b w:val="0"/>
          <w:i w:val="0"/>
          <w:color w:val="000000"/>
          <w:sz w:val="24"/>
        </w:rPr>
        <w:t>Fine activity needs on-site calibration. Activity classification is excellent when calibrated at the location it runs (0.78 balanced) but falls to 0.42 across unseen placements. A short empty-room baseline recovers it.</w:t>
      </w:r>
    </w:p>
    <w:p>
      <w:pPr>
        <w:pStyle w:val="ListBullet"/>
        <w:spacing w:after="40"/>
      </w:pPr>
      <w:r>
        <w:rPr>
          <w:rFonts w:ascii="Times New Roman" w:hAnsi="Times New Roman"/>
          <w:b w:val="0"/>
          <w:i w:val="0"/>
          <w:color w:val="000000"/>
          <w:sz w:val="24"/>
        </w:rPr>
        <w:t>Link quality, not the room, drives generalization. Strong links (RSSI &gt;= ~-52 dBm) generalize across placements; weak links do not. This explained an earlier failure in a large open room.</w:t>
      </w:r>
    </w:p>
    <w:p>
      <w:pPr>
        <w:pStyle w:val="ListBullet"/>
        <w:spacing w:after="40"/>
      </w:pPr>
      <w:r>
        <w:rPr>
          <w:rFonts w:ascii="Times New Roman" w:hAnsi="Times New Roman"/>
          <w:b w:val="0"/>
          <w:i w:val="0"/>
          <w:color w:val="000000"/>
          <w:sz w:val="24"/>
        </w:rPr>
        <w:t>A single link has a hard range limit of ~120 inches (~10 ft). Beyond that, signal strength falls below ~-60 dBm and packets drop heavily.</w:t>
      </w:r>
    </w:p>
    <w:p>
      <w:pPr>
        <w:pStyle w:val="ListBullet"/>
        <w:spacing w:after="40"/>
      </w:pPr>
      <w:r>
        <w:rPr>
          <w:rFonts w:ascii="Times New Roman" w:hAnsi="Times New Roman"/>
          <w:b w:val="0"/>
          <w:i w:val="0"/>
          <w:color w:val="000000"/>
          <w:sz w:val="24"/>
        </w:rPr>
        <w:t>The long-block recording protocol fixed the chronically weak classes. Recording each activity as one continuous 2-minute block gives balanced, clean data and raises stand, sit, and run recall substantially on-site.</w:t>
      </w:r>
    </w:p>
    <w:p>
      <w:pPr>
        <w:spacing w:after="80" w:before="200"/>
      </w:pPr>
      <w:r>
        <w:rPr>
          <w:rFonts w:ascii="Times New Roman" w:hAnsi="Times New Roman"/>
          <w:b/>
          <w:i w:val="0"/>
          <w:color w:val="000000"/>
          <w:sz w:val="26"/>
        </w:rPr>
        <w:t>Results</w:t>
      </w:r>
    </w:p>
    <w:p>
      <w:pPr>
        <w:spacing w:before="160" w:after="40"/>
        <w:jc w:val="center"/>
      </w:pPr>
      <w:r>
        <w:drawing>
          <wp:inline xmlns:a="http://schemas.openxmlformats.org/drawingml/2006/main" xmlns:pic="http://schemas.openxmlformats.org/drawingml/2006/picture">
            <wp:extent cx="5303520" cy="4691575"/>
            <wp:docPr id="1" name="Picture 1"/>
            <wp:cNvGraphicFramePr>
              <a:graphicFrameLocks noChangeAspect="1"/>
            </wp:cNvGraphicFramePr>
            <a:graphic>
              <a:graphicData uri="http://schemas.openxmlformats.org/drawingml/2006/picture">
                <pic:pic>
                  <pic:nvPicPr>
                    <pic:cNvPr id="0" name="fig1_confusion_5class.png"/>
                    <pic:cNvPicPr/>
                  </pic:nvPicPr>
                  <pic:blipFill>
                    <a:blip r:embed="rId9"/>
                    <a:stretch>
                      <a:fillRect/>
                    </a:stretch>
                  </pic:blipFill>
                  <pic:spPr>
                    <a:xfrm>
                      <a:off x="0" y="0"/>
                      <a:ext cx="5303520" cy="4691575"/>
                    </a:xfrm>
                    <a:prstGeom prst="rect"/>
                  </pic:spPr>
                </pic:pic>
              </a:graphicData>
            </a:graphic>
          </wp:inline>
        </w:drawing>
      </w:r>
    </w:p>
    <w:p>
      <w:pPr>
        <w:spacing w:after="200" w:before="0"/>
        <w:jc w:val="center"/>
      </w:pPr>
      <w:r>
        <w:rPr>
          <w:rFonts w:ascii="Times New Roman" w:hAnsi="Times New Roman"/>
          <w:b w:val="0"/>
          <w:i/>
          <w:color w:val="000000"/>
          <w:sz w:val="20"/>
        </w:rPr>
        <w:t>Figure 1. Activity confusion matrix (cross-placement, held-out). Rows are the true activity and sum to 100%. Empty is reliably identified (83%); stand/sit confuse with each other and run is largely absorbed into walk.</w:t>
      </w:r>
    </w:p>
    <w:p>
      <w:pPr>
        <w:spacing w:before="160" w:after="40"/>
        <w:jc w:val="center"/>
      </w:pPr>
      <w:r>
        <w:drawing>
          <wp:inline xmlns:a="http://schemas.openxmlformats.org/drawingml/2006/main" xmlns:pic="http://schemas.openxmlformats.org/drawingml/2006/picture">
            <wp:extent cx="5303520" cy="3598817"/>
            <wp:docPr id="2" name="Picture 2"/>
            <wp:cNvGraphicFramePr>
              <a:graphicFrameLocks noChangeAspect="1"/>
            </wp:cNvGraphicFramePr>
            <a:graphic>
              <a:graphicData uri="http://schemas.openxmlformats.org/drawingml/2006/picture">
                <pic:pic>
                  <pic:nvPicPr>
                    <pic:cNvPr id="0" name="fig2_recall_5class.png"/>
                    <pic:cNvPicPr/>
                  </pic:nvPicPr>
                  <pic:blipFill>
                    <a:blip r:embed="rId10"/>
                    <a:stretch>
                      <a:fillRect/>
                    </a:stretch>
                  </pic:blipFill>
                  <pic:spPr>
                    <a:xfrm>
                      <a:off x="0" y="0"/>
                      <a:ext cx="5303520" cy="3598817"/>
                    </a:xfrm>
                    <a:prstGeom prst="rect"/>
                  </pic:spPr>
                </pic:pic>
              </a:graphicData>
            </a:graphic>
          </wp:inline>
        </w:drawing>
      </w:r>
    </w:p>
    <w:p>
      <w:pPr>
        <w:spacing w:after="200" w:before="0"/>
        <w:jc w:val="center"/>
      </w:pPr>
      <w:r>
        <w:rPr>
          <w:rFonts w:ascii="Times New Roman" w:hAnsi="Times New Roman"/>
          <w:b w:val="0"/>
          <w:i/>
          <w:color w:val="000000"/>
          <w:sz w:val="20"/>
        </w:rPr>
        <w:t>Figure 2. Per-activity recall (cross-placement). Empty (0.83) and walk (0.55) transfer well; stand (0.31), sit (0.30) and run (0.10) are the weak classes when generalizing to a new placement.</w:t>
      </w:r>
    </w:p>
    <w:p>
      <w:pPr>
        <w:spacing w:before="160" w:after="40"/>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fig3_perinstall_vs_crossplacement.png"/>
                    <pic:cNvPicPr/>
                  </pic:nvPicPr>
                  <pic:blipFill>
                    <a:blip r:embed="rId11"/>
                    <a:stretch>
                      <a:fillRect/>
                    </a:stretch>
                  </pic:blipFill>
                  <pic:spPr>
                    <a:xfrm>
                      <a:off x="0" y="0"/>
                      <a:ext cx="5303520" cy="3788229"/>
                    </a:xfrm>
                    <a:prstGeom prst="rect"/>
                  </pic:spPr>
                </pic:pic>
              </a:graphicData>
            </a:graphic>
          </wp:inline>
        </w:drawing>
      </w:r>
    </w:p>
    <w:p>
      <w:pPr>
        <w:spacing w:after="200" w:before="0"/>
        <w:jc w:val="center"/>
      </w:pPr>
      <w:r>
        <w:rPr>
          <w:rFonts w:ascii="Times New Roman" w:hAnsi="Times New Roman"/>
          <w:b w:val="0"/>
          <w:i/>
          <w:color w:val="000000"/>
          <w:sz w:val="20"/>
        </w:rPr>
        <w:t>Figure 3. Per-install vs. cross-placement. Presence stays strong either way (0.97 -&gt; 0.79), so occupancy is portable. Activity is excellent on-site (0.78) but drops to 0.42 across unseen placements.</w:t>
      </w:r>
    </w:p>
    <w:p>
      <w:pPr>
        <w:spacing w:before="160" w:after="40"/>
        <w:jc w:val="center"/>
      </w:pPr>
      <w:r>
        <w:drawing>
          <wp:inline xmlns:a="http://schemas.openxmlformats.org/drawingml/2006/main" xmlns:pic="http://schemas.openxmlformats.org/drawingml/2006/picture">
            <wp:extent cx="5303520" cy="4798423"/>
            <wp:docPr id="4" name="Picture 4"/>
            <wp:cNvGraphicFramePr>
              <a:graphicFrameLocks noChangeAspect="1"/>
            </wp:cNvGraphicFramePr>
            <a:graphic>
              <a:graphicData uri="http://schemas.openxmlformats.org/drawingml/2006/picture">
                <pic:pic>
                  <pic:nvPicPr>
                    <pic:cNvPr id="0" name="fig4_confusion_presence.png"/>
                    <pic:cNvPicPr/>
                  </pic:nvPicPr>
                  <pic:blipFill>
                    <a:blip r:embed="rId12"/>
                    <a:stretch>
                      <a:fillRect/>
                    </a:stretch>
                  </pic:blipFill>
                  <pic:spPr>
                    <a:xfrm>
                      <a:off x="0" y="0"/>
                      <a:ext cx="5303520" cy="4798423"/>
                    </a:xfrm>
                    <a:prstGeom prst="rect"/>
                  </pic:spPr>
                </pic:pic>
              </a:graphicData>
            </a:graphic>
          </wp:inline>
        </w:drawing>
      </w:r>
    </w:p>
    <w:p>
      <w:pPr>
        <w:spacing w:after="200" w:before="0"/>
        <w:jc w:val="center"/>
      </w:pPr>
      <w:r>
        <w:rPr>
          <w:rFonts w:ascii="Times New Roman" w:hAnsi="Times New Roman"/>
          <w:b w:val="0"/>
          <w:i/>
          <w:color w:val="000000"/>
          <w:sz w:val="20"/>
        </w:rPr>
        <w:t>Figure 4. Presence confusion matrix (empty vs. occupied). Occupied rooms are caught almost always; the residual error is occasionally calling a truly empty room occupied, driven by a motionless person.</w:t>
      </w:r>
    </w:p>
    <w:p>
      <w:pPr>
        <w:spacing w:before="160" w:after="40"/>
        <w:jc w:val="center"/>
      </w:pPr>
      <w:r>
        <w:drawing>
          <wp:inline xmlns:a="http://schemas.openxmlformats.org/drawingml/2006/main" xmlns:pic="http://schemas.openxmlformats.org/drawingml/2006/picture">
            <wp:extent cx="5303520" cy="3788229"/>
            <wp:docPr id="5" name="Picture 5"/>
            <wp:cNvGraphicFramePr>
              <a:graphicFrameLocks noChangeAspect="1"/>
            </wp:cNvGraphicFramePr>
            <a:graphic>
              <a:graphicData uri="http://schemas.openxmlformats.org/drawingml/2006/picture">
                <pic:pic>
                  <pic:nvPicPr>
                    <pic:cNvPr id="0" name="fig5_link_range.png"/>
                    <pic:cNvPicPr/>
                  </pic:nvPicPr>
                  <pic:blipFill>
                    <a:blip r:embed="rId13"/>
                    <a:stretch>
                      <a:fillRect/>
                    </a:stretch>
                  </pic:blipFill>
                  <pic:spPr>
                    <a:xfrm>
                      <a:off x="0" y="0"/>
                      <a:ext cx="5303520" cy="3788229"/>
                    </a:xfrm>
                    <a:prstGeom prst="rect"/>
                  </pic:spPr>
                </pic:pic>
              </a:graphicData>
            </a:graphic>
          </wp:inline>
        </w:drawing>
      </w:r>
    </w:p>
    <w:p>
      <w:pPr>
        <w:spacing w:after="200" w:before="0"/>
        <w:jc w:val="center"/>
      </w:pPr>
      <w:r>
        <w:rPr>
          <w:rFonts w:ascii="Times New Roman" w:hAnsi="Times New Roman"/>
          <w:b w:val="0"/>
          <w:i/>
          <w:color w:val="000000"/>
          <w:sz w:val="20"/>
        </w:rPr>
        <w:t>Figure 5. Link range limit. Below ~120 inches the link is strong and the model generalizes (green); beyond ~120-125 inches RSSI drops below ~-60 dBm, packets drop, and performance collapses (red).</w:t>
      </w:r>
    </w:p>
    <w:p>
      <w:pPr>
        <w:spacing w:before="160" w:after="40"/>
        <w:jc w:val="center"/>
      </w:pPr>
      <w:r>
        <w:drawing>
          <wp:inline xmlns:a="http://schemas.openxmlformats.org/drawingml/2006/main" xmlns:pic="http://schemas.openxmlformats.org/drawingml/2006/picture">
            <wp:extent cx="5303520" cy="4691575"/>
            <wp:docPr id="6" name="Picture 6"/>
            <wp:cNvGraphicFramePr>
              <a:graphicFrameLocks noChangeAspect="1"/>
            </wp:cNvGraphicFramePr>
            <a:graphic>
              <a:graphicData uri="http://schemas.openxmlformats.org/drawingml/2006/picture">
                <pic:pic>
                  <pic:nvPicPr>
                    <pic:cNvPr id="0" name="fig6_confusion_blocks.png"/>
                    <pic:cNvPicPr/>
                  </pic:nvPicPr>
                  <pic:blipFill>
                    <a:blip r:embed="rId14"/>
                    <a:stretch>
                      <a:fillRect/>
                    </a:stretch>
                  </pic:blipFill>
                  <pic:spPr>
                    <a:xfrm>
                      <a:off x="0" y="0"/>
                      <a:ext cx="5303520" cy="4691575"/>
                    </a:xfrm>
                    <a:prstGeom prst="rect"/>
                  </pic:spPr>
                </pic:pic>
              </a:graphicData>
            </a:graphic>
          </wp:inline>
        </w:drawing>
      </w:r>
    </w:p>
    <w:p>
      <w:pPr>
        <w:spacing w:after="200" w:before="0"/>
        <w:jc w:val="center"/>
      </w:pPr>
      <w:r>
        <w:rPr>
          <w:rFonts w:ascii="Times New Roman" w:hAnsi="Times New Roman"/>
          <w:b w:val="0"/>
          <w:i/>
          <w:color w:val="000000"/>
          <w:sz w:val="20"/>
        </w:rPr>
        <w:t>Figure 6. Activity confusion, long-block protocol, per-install (calibrated on-site). The diagonal is strong across the board (stand 92%, sit 90%, run 73%, empty 81%); the only notable confusion is walk vs. run. Balanced accuracy 0.81.</w:t>
      </w:r>
    </w:p>
    <w:p>
      <w:pPr>
        <w:spacing w:after="80" w:before="200"/>
      </w:pPr>
      <w:r>
        <w:rPr>
          <w:rFonts w:ascii="Times New Roman" w:hAnsi="Times New Roman"/>
          <w:b/>
          <w:i w:val="0"/>
          <w:color w:val="000000"/>
          <w:sz w:val="26"/>
        </w:rPr>
        <w:t>What This Means</w:t>
      </w:r>
    </w:p>
    <w:p>
      <w:pPr>
        <w:spacing w:after="120" w:before="0"/>
      </w:pPr>
      <w:r>
        <w:rPr>
          <w:rFonts w:ascii="Times New Roman" w:hAnsi="Times New Roman"/>
          <w:b w:val="0"/>
          <w:i w:val="0"/>
          <w:color w:val="000000"/>
          <w:sz w:val="24"/>
        </w:rPr>
        <w:t>The single-link characterization is essentially complete. One antenna sees the room from a single geometry, which is enough to answer "is someone present?" robustly and across placements, and enough to classify activities well when calibrated on-site. The same single viewpoint is what limits cross-placement activity transfer, causes the stand-vs-sit and run-vs-walk confusions, and makes a motionless person hard to separate from an empty room.</w:t>
      </w:r>
    </w:p>
    <w:p>
      <w:pPr>
        <w:spacing w:after="80" w:before="200"/>
      </w:pPr>
      <w:r>
        <w:rPr>
          <w:rFonts w:ascii="Times New Roman" w:hAnsi="Times New Roman"/>
          <w:b/>
          <w:i w:val="0"/>
          <w:color w:val="000000"/>
          <w:sz w:val="26"/>
        </w:rPr>
        <w:t>Deployment Guidance</w:t>
      </w:r>
    </w:p>
    <w:p>
      <w:pPr>
        <w:pStyle w:val="ListBullet"/>
        <w:spacing w:after="40"/>
      </w:pPr>
      <w:r>
        <w:rPr>
          <w:rFonts w:ascii="Times New Roman" w:hAnsi="Times New Roman"/>
          <w:b w:val="0"/>
          <w:i w:val="0"/>
          <w:color w:val="000000"/>
          <w:sz w:val="24"/>
        </w:rPr>
        <w:t>Keep the two nodes within ~120 inches and verify RSSI is at least ~-55 dBm before recording.</w:t>
      </w:r>
    </w:p>
    <w:p>
      <w:pPr>
        <w:pStyle w:val="ListBullet"/>
        <w:spacing w:after="40"/>
      </w:pPr>
      <w:r>
        <w:rPr>
          <w:rFonts w:ascii="Times New Roman" w:hAnsi="Times New Roman"/>
          <w:b w:val="0"/>
          <w:i w:val="0"/>
          <w:color w:val="000000"/>
          <w:sz w:val="24"/>
        </w:rPr>
        <w:t>Record a short empty-room baseline (~90 seconds) at each install; it is required for reliable activity and recommended for presence.</w:t>
      </w:r>
    </w:p>
    <w:p>
      <w:pPr>
        <w:pStyle w:val="ListBullet"/>
        <w:spacing w:after="40"/>
      </w:pPr>
      <w:r>
        <w:rPr>
          <w:rFonts w:ascii="Times New Roman" w:hAnsi="Times New Roman"/>
          <w:b w:val="0"/>
          <w:i w:val="0"/>
          <w:color w:val="000000"/>
          <w:sz w:val="24"/>
        </w:rPr>
        <w:t>Use the long-block recording protocol for activity data collection.</w:t>
      </w:r>
    </w:p>
    <w:p>
      <w:pPr>
        <w:spacing w:after="80" w:before="200"/>
      </w:pPr>
      <w:r>
        <w:rPr>
          <w:rFonts w:ascii="Times New Roman" w:hAnsi="Times New Roman"/>
          <w:b/>
          <w:i w:val="0"/>
          <w:color w:val="000000"/>
          <w:sz w:val="26"/>
        </w:rPr>
        <w:t>Next Steps</w:t>
      </w:r>
    </w:p>
    <w:p>
      <w:pPr>
        <w:pStyle w:val="ListBullet"/>
        <w:spacing w:after="40"/>
      </w:pPr>
      <w:r>
        <w:rPr>
          <w:rFonts w:ascii="Times New Roman" w:hAnsi="Times New Roman"/>
          <w:b w:val="0"/>
          <w:i w:val="0"/>
          <w:color w:val="000000"/>
          <w:sz w:val="24"/>
        </w:rPr>
        <w:t>Add a second and third receiver. Independent viewpoints directly target coverage, cross-placement activity transfer, and the fine-activity confusions. The spare hardware is on hand.</w:t>
      </w:r>
    </w:p>
    <w:p>
      <w:pPr>
        <w:pStyle w:val="ListBullet"/>
        <w:spacing w:after="40"/>
      </w:pPr>
      <w:r>
        <w:rPr>
          <w:rFonts w:ascii="Times New Roman" w:hAnsi="Times New Roman"/>
          <w:b w:val="0"/>
          <w:i w:val="0"/>
          <w:color w:val="000000"/>
          <w:sz w:val="24"/>
        </w:rPr>
        <w:t>Validate the multi-receiver capture path (access point as receiver plus a promiscuous sniffer on the transmitter's unicast frames), then re-run this analysis with two and three viewpoints.</w:t>
      </w:r>
    </w:p>
    <w:p>
      <w:pPr>
        <w:pStyle w:val="ListBullet"/>
        <w:spacing w:after="40"/>
      </w:pPr>
      <w:r>
        <w:rPr>
          <w:rFonts w:ascii="Times New Roman" w:hAnsi="Times New Roman"/>
          <w:b w:val="0"/>
          <w:i w:val="0"/>
          <w:color w:val="000000"/>
          <w:sz w:val="24"/>
        </w:rPr>
        <w:t>Extend beyond one subject to add cross-subject generalization and formal confidence intervals.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