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color w:val="000000"/>
          <w:sz w:val="32"/>
        </w:rPr>
        <w:t>CSI Sensing, Week 2 Update: Talking Points</w:t>
      </w:r>
    </w:p>
    <w:p>
      <w:pPr>
        <w:spacing w:after="40" w:before="0"/>
        <w:jc w:val="center"/>
      </w:pPr>
      <w:r>
        <w:rPr>
          <w:rFonts w:ascii="Times New Roman" w:hAnsi="Times New Roman"/>
          <w:b w:val="0"/>
          <w:i w:val="0"/>
          <w:color w:val="000000"/>
          <w:sz w:val="24"/>
        </w:rPr>
        <w:t>Speaker notes for CSI_Week2_Update_Slides.pptx</w:t>
      </w:r>
    </w:p>
    <w:p>
      <w:pPr>
        <w:spacing w:after="200" w:before="0"/>
        <w:jc w:val="center"/>
      </w:pPr>
      <w:r>
        <w:rPr>
          <w:rFonts w:ascii="Times New Roman" w:hAnsi="Times New Roman"/>
          <w:b w:val="0"/>
          <w:i w:val="0"/>
          <w:color w:val="000000"/>
          <w:sz w:val="22"/>
        </w:rPr>
        <w:t>July 2026</w:t>
      </w:r>
    </w:p>
    <w:p>
      <w:pPr>
        <w:spacing w:after="80" w:before="320"/>
      </w:pPr>
      <w:r>
        <w:rPr>
          <w:rFonts w:ascii="Times New Roman" w:hAnsi="Times New Roman"/>
          <w:b/>
          <w:i w:val="0"/>
          <w:color w:val="000000"/>
          <w:sz w:val="28"/>
        </w:rPr>
        <w:t>Slide 1: Title</w:t>
      </w:r>
    </w:p>
    <w:p>
      <w:pPr>
        <w:spacing w:after="120" w:before="0"/>
      </w:pPr>
      <w:r>
        <w:rPr>
          <w:rFonts w:ascii="Times New Roman" w:hAnsi="Times New Roman"/>
          <w:b w:val="0"/>
          <w:i w:val="0"/>
          <w:color w:val="000000"/>
          <w:sz w:val="24"/>
        </w:rPr>
        <w:t>Orient the room: this week the system moved fully wireless, the antenna-portability question was re-run independently on the new wireless data, and there are two direct follow-ups to last week’s slide review baked in (balanced accuracy math, a training-data histogram).</w:t>
      </w:r>
    </w:p>
    <w:p>
      <w:pPr>
        <w:spacing w:after="80" w:before="320"/>
      </w:pPr>
      <w:r>
        <w:rPr>
          <w:rFonts w:ascii="Times New Roman" w:hAnsi="Times New Roman"/>
          <w:b/>
          <w:i w:val="0"/>
          <w:color w:val="000000"/>
          <w:sz w:val="28"/>
        </w:rPr>
        <w:t>Slide 2: This week</w:t>
      </w:r>
    </w:p>
    <w:p>
      <w:pPr>
        <w:pStyle w:val="ListBullet"/>
        <w:spacing w:after="80"/>
      </w:pPr>
      <w:r>
        <w:rPr>
          <w:rFonts w:ascii="Times New Roman" w:hAnsi="Times New Roman"/>
          <w:b/>
          <w:i w:val="0"/>
          <w:color w:val="000000"/>
          <w:sz w:val="24"/>
        </w:rPr>
        <w:t xml:space="preserve">Why "fully wireless" matters: </w:t>
      </w:r>
      <w:r>
        <w:rPr>
          <w:rFonts w:ascii="Times New Roman" w:hAnsi="Times New Roman"/>
          <w:b w:val="0"/>
          <w:i w:val="0"/>
          <w:color w:val="000000"/>
          <w:sz w:val="24"/>
        </w:rPr>
        <w:t>previously the receiver only talked to the laptop over USB serial. It now relays CSI over Wi-Fi at the full native ~97–99 Hz rate (no data loss from the wireless step itself), so the laptop can walk around while the two ESP32 boards stay fixed. A live-monitor app was built on top of this that classifies presence/activity in real time.</w:t>
      </w:r>
    </w:p>
    <w:p>
      <w:pPr>
        <w:pStyle w:val="ListBullet"/>
        <w:spacing w:after="80"/>
      </w:pPr>
      <w:r>
        <w:rPr>
          <w:rFonts w:ascii="Times New Roman" w:hAnsi="Times New Roman"/>
          <w:b/>
          <w:i w:val="0"/>
          <w:color w:val="000000"/>
          <w:sz w:val="24"/>
        </w:rPr>
        <w:t xml:space="preserve">Why the antenna question got re-run: </w:t>
      </w:r>
      <w:r>
        <w:rPr>
          <w:rFonts w:ascii="Times New Roman" w:hAnsi="Times New Roman"/>
          <w:b w:val="0"/>
          <w:i w:val="0"/>
          <w:color w:val="000000"/>
          <w:sz w:val="24"/>
        </w:rPr>
        <w:t>last week’s antenna result (stock vs. Taoglas) used the older wired pipeline. Repeating it wirelessly, with more placements across more rooms, is an independent check of the same conclusion; if it agrees, the result is confirmed rather than resting on one dataset.</w:t>
      </w:r>
    </w:p>
    <w:p>
      <w:pPr>
        <w:pStyle w:val="ListBullet"/>
        <w:spacing w:after="80"/>
      </w:pPr>
      <w:r>
        <w:rPr>
          <w:rFonts w:ascii="Times New Roman" w:hAnsi="Times New Roman"/>
          <w:b/>
          <w:i w:val="0"/>
          <w:color w:val="000000"/>
          <w:sz w:val="24"/>
        </w:rPr>
        <w:t xml:space="preserve">The two boss follow-ups: </w:t>
      </w:r>
      <w:r>
        <w:rPr>
          <w:rFonts w:ascii="Times New Roman" w:hAnsi="Times New Roman"/>
          <w:b w:val="0"/>
          <w:i w:val="0"/>
          <w:color w:val="000000"/>
          <w:sz w:val="24"/>
        </w:rPr>
        <w:t>from last week’s review: define balanced accuracy mathematically and compare it to plain accuracy (slide 6), and show a histogram of the training data (slide 4). Both are new content this week, not just repeated from the written report.</w:t>
      </w:r>
    </w:p>
    <w:p>
      <w:pPr>
        <w:spacing w:after="80" w:before="320"/>
      </w:pPr>
      <w:r>
        <w:rPr>
          <w:rFonts w:ascii="Times New Roman" w:hAnsi="Times New Roman"/>
          <w:b/>
          <w:i w:val="0"/>
          <w:color w:val="000000"/>
          <w:sz w:val="28"/>
        </w:rPr>
        <w:t>Slide 3: The dataset</w:t>
      </w:r>
    </w:p>
    <w:p>
      <w:pPr>
        <w:pStyle w:val="ListBullet"/>
        <w:spacing w:after="80"/>
      </w:pPr>
      <w:r>
        <w:rPr>
          <w:rFonts w:ascii="Times New Roman" w:hAnsi="Times New Roman"/>
          <w:b/>
          <w:i w:val="0"/>
          <w:color w:val="000000"/>
          <w:sz w:val="24"/>
        </w:rPr>
        <w:t xml:space="preserve">What changed from last week’s numbers: </w:t>
      </w:r>
      <w:r>
        <w:rPr>
          <w:rFonts w:ascii="Times New Roman" w:hAnsi="Times New Roman"/>
          <w:b w:val="0"/>
          <w:i w:val="0"/>
          <w:color w:val="000000"/>
          <w:sz w:val="24"/>
        </w:rPr>
        <w:t>this is the wireless, single-antenna (Taoglas on both boards) production dataset: it does NOT include the mixed-antenna recordings (one board per antenna type), which exist only to answer the antenna-transfer question on slides 8–9 and are kept separate on purpose.</w:t>
      </w:r>
    </w:p>
    <w:p>
      <w:pPr>
        <w:pStyle w:val="ListBullet"/>
        <w:spacing w:after="80"/>
      </w:pPr>
      <w:r>
        <w:rPr>
          <w:rFonts w:ascii="Times New Roman" w:hAnsi="Times New Roman"/>
          <w:b/>
          <w:i w:val="0"/>
          <w:color w:val="000000"/>
          <w:sz w:val="24"/>
        </w:rPr>
        <w:t xml:space="preserve">The counts: </w:t>
      </w:r>
      <w:r>
        <w:rPr>
          <w:rFonts w:ascii="Times New Roman" w:hAnsi="Times New Roman"/>
          <w:b w:val="0"/>
          <w:i w:val="0"/>
          <w:color w:val="000000"/>
          <w:sz w:val="24"/>
        </w:rPr>
        <w:t>34 sessions across 15 configurations (room × placement) in four different rooms, ~104 minutes of recording, 608,799 CSI packets, sliced into 4,241 labeled 2-second/1-second-hop windows, the same window scheme used throughout this project.</w:t>
      </w:r>
    </w:p>
    <w:p>
      <w:pPr>
        <w:pStyle w:val="ListBullet"/>
        <w:spacing w:after="80"/>
      </w:pPr>
      <w:r>
        <w:rPr>
          <w:rFonts w:ascii="Times New Roman" w:hAnsi="Times New Roman"/>
          <w:b/>
          <w:i w:val="0"/>
          <w:color w:val="000000"/>
          <w:sz w:val="24"/>
        </w:rPr>
        <w:t xml:space="preserve">One subject, four rooms: </w:t>
      </w:r>
      <w:r>
        <w:rPr>
          <w:rFonts w:ascii="Times New Roman" w:hAnsi="Times New Roman"/>
          <w:b w:val="0"/>
          <w:i w:val="0"/>
          <w:color w:val="000000"/>
          <w:sz w:val="24"/>
        </w:rPr>
        <w:t>cross-subject generalization is still untested; same caveat as always, worth naming if asked.</w:t>
      </w:r>
    </w:p>
    <w:p>
      <w:pPr>
        <w:spacing w:after="80" w:before="320"/>
      </w:pPr>
      <w:r>
        <w:rPr>
          <w:rFonts w:ascii="Times New Roman" w:hAnsi="Times New Roman"/>
          <w:b/>
          <w:i w:val="0"/>
          <w:color w:val="000000"/>
          <w:sz w:val="28"/>
        </w:rPr>
        <w:t>Slide 4: Histogram of the training data</w:t>
      </w:r>
    </w:p>
    <w:p>
      <w:pPr>
        <w:pStyle w:val="ListBullet"/>
        <w:spacing w:after="80"/>
      </w:pPr>
      <w:r>
        <w:rPr>
          <w:rFonts w:ascii="Times New Roman" w:hAnsi="Times New Roman"/>
          <w:b/>
          <w:i w:val="0"/>
          <w:color w:val="000000"/>
          <w:sz w:val="24"/>
        </w:rPr>
        <w:t xml:space="preserve">What is being counted: </w:t>
      </w:r>
      <w:r>
        <w:rPr>
          <w:rFonts w:ascii="Times New Roman" w:hAnsi="Times New Roman"/>
          <w:b w:val="0"/>
          <w:i w:val="0"/>
          <w:color w:val="000000"/>
          <w:sz w:val="24"/>
        </w:rPr>
        <w:t>the exact same 4,241 windows behind slide 3’s numbers, broken out by class label; this is a direct visual of the dataset just described.</w:t>
      </w:r>
    </w:p>
    <w:p>
      <w:pPr>
        <w:pStyle w:val="ListBullet"/>
        <w:spacing w:after="80"/>
      </w:pPr>
      <w:r>
        <w:rPr>
          <w:rFonts w:ascii="Times New Roman" w:hAnsi="Times New Roman"/>
          <w:b/>
          <w:i w:val="0"/>
          <w:color w:val="000000"/>
          <w:sz w:val="24"/>
        </w:rPr>
        <w:t xml:space="preserve">Why stand/sit/walk/run look roughly even (~820–1,080 each): </w:t>
      </w:r>
      <w:r>
        <w:rPr>
          <w:rFonts w:ascii="Times New Roman" w:hAnsi="Times New Roman"/>
          <w:b w:val="0"/>
          <w:i w:val="0"/>
          <w:color w:val="000000"/>
          <w:sz w:val="24"/>
        </w:rPr>
        <w:t>the recording protocol records one long, equal-length continuous block per activity per session (not free-form behavior), so the classes come out close to balanced by design rather than by chance.</w:t>
      </w:r>
    </w:p>
    <w:p>
      <w:pPr>
        <w:pStyle w:val="ListBullet"/>
        <w:spacing w:after="80"/>
      </w:pPr>
      <w:r>
        <w:rPr>
          <w:rFonts w:ascii="Times New Roman" w:hAnsi="Times New Roman"/>
          <w:b/>
          <w:i w:val="0"/>
          <w:color w:val="000000"/>
          <w:sz w:val="24"/>
        </w:rPr>
        <w:t xml:space="preserve">Why empty is smaller (486): </w:t>
      </w:r>
      <w:r>
        <w:rPr>
          <w:rFonts w:ascii="Times New Roman" w:hAnsi="Times New Roman"/>
          <w:b w:val="0"/>
          <w:i w:val="0"/>
          <w:color w:val="000000"/>
          <w:sz w:val="24"/>
        </w:rPr>
        <w:t>empty windows are capped per configuration during training so that a few long empty-room calibration captures cannot dominate the class purely by being longer recordings than the activity blocks. This is exactly the kind of imbalance the next slide’s balanced-accuracy metric is designed to not be fooled by.</w:t>
      </w:r>
    </w:p>
    <w:p>
      <w:pPr>
        <w:spacing w:after="80" w:before="320"/>
      </w:pPr>
      <w:r>
        <w:rPr>
          <w:rFonts w:ascii="Times New Roman" w:hAnsi="Times New Roman"/>
          <w:b/>
          <w:i w:val="0"/>
          <w:color w:val="000000"/>
          <w:sz w:val="28"/>
        </w:rPr>
        <w:t>Slide 5: Inside the model: the whole tree</w:t>
      </w:r>
    </w:p>
    <w:p>
      <w:pPr>
        <w:pStyle w:val="ListBullet"/>
        <w:spacing w:after="80"/>
      </w:pPr>
      <w:r>
        <w:rPr>
          <w:rFonts w:ascii="Times New Roman" w:hAnsi="Times New Roman"/>
          <w:b/>
          <w:i w:val="0"/>
          <w:color w:val="000000"/>
          <w:sz w:val="24"/>
        </w:rPr>
        <w:t xml:space="preserve">Same figure as last week, on purpose: </w:t>
      </w:r>
      <w:r>
        <w:rPr>
          <w:rFonts w:ascii="Times New Roman" w:hAnsi="Times New Roman"/>
          <w:b w:val="0"/>
          <w:i w:val="0"/>
          <w:color w:val="000000"/>
          <w:sz w:val="24"/>
        </w:rPr>
        <w:t>the modeling approach (random forest, same architecture, same feature pipeline) has not changed; this week retrains that same recipe on the new wireless dataset. Showing the same tree diagram again underlines that the method is stable; what changed this week is the data feeding it, not the model.</w:t>
      </w:r>
    </w:p>
    <w:p>
      <w:pPr>
        <w:pStyle w:val="ListBullet"/>
        <w:spacing w:after="80"/>
      </w:pPr>
      <w:r>
        <w:rPr>
          <w:rFonts w:ascii="Times New Roman" w:hAnsi="Times New Roman"/>
          <w:b/>
          <w:i w:val="0"/>
          <w:color w:val="000000"/>
          <w:sz w:val="24"/>
        </w:rPr>
        <w:t xml:space="preserve">If asked for details on the diagram itself: </w:t>
      </w:r>
      <w:r>
        <w:rPr>
          <w:rFonts w:ascii="Times New Roman" w:hAnsi="Times New Roman"/>
          <w:b w:val="0"/>
          <w:i w:val="0"/>
          <w:color w:val="000000"/>
          <w:sz w:val="24"/>
        </w:rPr>
        <w:t>see last week’s talking points (or the report): it is the literal first tree of the real 300-tree production forest, all 1,699 real nodes drawn, top 6 levels labeled with real thresholds, everything below that as unlabeled dots (still real nodes, just too many to caption individually).</w:t>
      </w:r>
    </w:p>
    <w:p>
      <w:pPr>
        <w:spacing w:after="80" w:before="320"/>
      </w:pPr>
      <w:r>
        <w:rPr>
          <w:rFonts w:ascii="Times New Roman" w:hAnsi="Times New Roman"/>
          <w:b/>
          <w:i w:val="0"/>
          <w:color w:val="000000"/>
          <w:sz w:val="28"/>
        </w:rPr>
        <w:t>Slide 6: Balanced accuracy vs. traditional accuracy</w:t>
      </w:r>
    </w:p>
    <w:p>
      <w:pPr>
        <w:spacing w:after="120" w:before="0"/>
      </w:pPr>
      <w:r>
        <w:rPr>
          <w:rFonts w:ascii="Times New Roman" w:hAnsi="Times New Roman"/>
          <w:b w:val="0"/>
          <w:i/>
          <w:color w:val="000000"/>
          <w:sz w:val="24"/>
        </w:rPr>
        <w:t>This is the slide written specifically for the boss’s request; take the time here. Wording and worked example follow the same style as the "Index" section at the end of last week’s written report, just updated to this week’s numbers.</w:t>
      </w:r>
    </w:p>
    <w:p>
      <w:pPr>
        <w:pStyle w:val="ListBullet"/>
        <w:spacing w:after="80"/>
      </w:pPr>
      <w:r>
        <w:rPr>
          <w:rFonts w:ascii="Times New Roman" w:hAnsi="Times New Roman"/>
          <w:b/>
          <w:i w:val="0"/>
          <w:color w:val="000000"/>
          <w:sz w:val="24"/>
        </w:rPr>
        <w:t xml:space="preserve">Balanced accuracy, in one line: </w:t>
      </w:r>
      <w:r>
        <w:rPr>
          <w:rFonts w:ascii="Times New Roman" w:hAnsi="Times New Roman"/>
          <w:b w:val="0"/>
          <w:i w:val="0"/>
          <w:color w:val="000000"/>
          <w:sz w:val="24"/>
        </w:rPr>
        <w:t>the average of the per-class recalls, instead of the raw fraction of windows called correctly.</w:t>
      </w:r>
    </w:p>
    <w:p>
      <w:pPr>
        <w:pStyle w:val="ListBullet"/>
        <w:spacing w:after="80"/>
      </w:pPr>
      <w:r>
        <w:rPr>
          <w:rFonts w:ascii="Times New Roman" w:hAnsi="Times New Roman"/>
          <w:b/>
          <w:i w:val="0"/>
          <w:color w:val="000000"/>
          <w:sz w:val="24"/>
        </w:rPr>
        <w:t xml:space="preserve">Why we use it: </w:t>
      </w:r>
      <w:r>
        <w:rPr>
          <w:rFonts w:ascii="Times New Roman" w:hAnsi="Times New Roman"/>
          <w:b w:val="0"/>
          <w:i w:val="0"/>
          <w:color w:val="000000"/>
          <w:sz w:val="24"/>
        </w:rPr>
        <w:t>the classes are uneven: there are more occupied/stand windows than empty/run windows. Plain accuracy lets a model score high just by predicting the majority class; balanced accuracy weights every class equally, so a less-recorded class (like empty or run) counts as much as a common one.</w:t>
      </w:r>
    </w:p>
    <w:p>
      <w:pPr>
        <w:pStyle w:val="ListBullet"/>
        <w:spacing w:after="80"/>
      </w:pPr>
      <w:r>
        <w:rPr>
          <w:rFonts w:ascii="Times New Roman" w:hAnsi="Times New Roman"/>
          <w:b/>
          <w:i w:val="0"/>
          <w:color w:val="000000"/>
          <w:sz w:val="24"/>
        </w:rPr>
        <w:t xml:space="preserve">How it’s calculated: </w:t>
      </w:r>
      <w:r>
        <w:rPr>
          <w:rFonts w:ascii="Times New Roman" w:hAnsi="Times New Roman"/>
          <w:b w:val="0"/>
          <w:i w:val="0"/>
          <w:color w:val="000000"/>
          <w:sz w:val="24"/>
        </w:rPr>
        <w:t>for each class, recall = (windows of that class predicted correctly) ÷ (total windows of that class). Balanced accuracy is just the average of those per-class recalls.</w:t>
      </w:r>
    </w:p>
    <w:p>
      <w:pPr>
        <w:pStyle w:val="ListBullet"/>
        <w:spacing w:after="80"/>
      </w:pPr>
      <w:r>
        <w:rPr>
          <w:rFonts w:ascii="Times New Roman" w:hAnsi="Times New Roman"/>
          <w:b/>
          <w:i w:val="0"/>
          <w:color w:val="000000"/>
          <w:sz w:val="24"/>
        </w:rPr>
        <w:t xml:space="preserve">Walk through the worked example on the slide slowly; this is this week’s real held-out presence result, not a hypothetical: </w:t>
      </w:r>
      <w:r>
        <w:rPr>
          <w:rFonts w:ascii="Times New Roman" w:hAnsi="Times New Roman"/>
          <w:b w:val="0"/>
          <w:i w:val="0"/>
          <w:color w:val="000000"/>
          <w:sz w:val="24"/>
        </w:rPr>
        <w:t>empty recall = 171 / 486 = 0.352: the model only caught about a third of the truly-empty windows when tested on a placement it never trained on. Occupied recall = 3,469 / 3,755 = 0.924: it catches occupied windows well. Balanced accuracy averages those two: (0.352 + 0.924) / 2 = 0.638, which we round to 0.64, the same number reported on slide 7.</w:t>
      </w:r>
    </w:p>
    <w:p>
      <w:pPr>
        <w:pStyle w:val="ListBullet"/>
        <w:spacing w:after="80"/>
      </w:pPr>
      <w:r>
        <w:rPr>
          <w:rFonts w:ascii="Times New Roman" w:hAnsi="Times New Roman"/>
          <w:b/>
          <w:i w:val="0"/>
          <w:color w:val="000000"/>
          <w:sz w:val="24"/>
        </w:rPr>
        <w:t xml:space="preserve">Now show why plain accuracy would have hidden that: </w:t>
      </w:r>
      <w:r>
        <w:rPr>
          <w:rFonts w:ascii="Times New Roman" w:hAnsi="Times New Roman"/>
          <w:b w:val="0"/>
          <w:i w:val="0"/>
          <w:color w:val="000000"/>
          <w:sz w:val="24"/>
        </w:rPr>
        <w:t>traditional accuracy on this same result is 3,640 / 4,241 = 0.858, a much better-looking 86%. That number is inflated by how much bigger the occupied class is; it does not reflect that the model is actually weak at recognizing empty. Balanced accuracy is the number that cannot be gamed that way, which is why every result in this project is reported with it.</w:t>
      </w:r>
    </w:p>
    <w:p>
      <w:pPr>
        <w:pStyle w:val="ListBullet"/>
        <w:spacing w:after="80"/>
      </w:pPr>
      <w:r>
        <w:rPr>
          <w:rFonts w:ascii="Times New Roman" w:hAnsi="Times New Roman"/>
          <w:b/>
          <w:i w:val="0"/>
          <w:color w:val="000000"/>
          <w:sz w:val="24"/>
        </w:rPr>
        <w:t xml:space="preserve">If the boss wants one takeaway line: </w:t>
      </w:r>
      <w:r>
        <w:rPr>
          <w:rFonts w:ascii="Times New Roman" w:hAnsi="Times New Roman"/>
          <w:b w:val="0"/>
          <w:i w:val="0"/>
          <w:color w:val="000000"/>
          <w:sz w:val="24"/>
        </w:rPr>
        <w:t>"Balanced accuracy is the number that cannot be gamed by a model that just learns to predict whichever class has the most examples, which is why every result in this project is reported that way."</w:t>
      </w:r>
    </w:p>
    <w:p>
      <w:pPr>
        <w:spacing w:after="80" w:before="320"/>
      </w:pPr>
      <w:r>
        <w:rPr>
          <w:rFonts w:ascii="Times New Roman" w:hAnsi="Times New Roman"/>
          <w:b/>
          <w:i w:val="0"/>
          <w:color w:val="000000"/>
          <w:sz w:val="28"/>
        </w:rPr>
        <w:t>Slide 7: Cross-placement generalization (wireless)</w:t>
      </w:r>
    </w:p>
    <w:p>
      <w:pPr>
        <w:pStyle w:val="ListBullet"/>
        <w:spacing w:after="80"/>
      </w:pPr>
      <w:r>
        <w:rPr>
          <w:rFonts w:ascii="Times New Roman" w:hAnsi="Times New Roman"/>
          <w:b/>
          <w:i w:val="0"/>
          <w:color w:val="000000"/>
          <w:sz w:val="24"/>
        </w:rPr>
        <w:t xml:space="preserve">The number: </w:t>
      </w:r>
      <w:r>
        <w:rPr>
          <w:rFonts w:ascii="Times New Roman" w:hAnsi="Times New Roman"/>
          <w:b w:val="0"/>
          <w:i w:val="0"/>
          <w:color w:val="000000"/>
          <w:sz w:val="24"/>
        </w:rPr>
        <w:t>leave-one-config-out across all 15 configurations (train on 14, test on the one held out, repeat for each) -- presence lands at 0.64 balanced, 5-class activity at 0.37 balanced.</w:t>
      </w:r>
    </w:p>
    <w:p>
      <w:pPr>
        <w:pStyle w:val="ListBullet"/>
        <w:spacing w:after="80"/>
      </w:pPr>
      <w:r>
        <w:rPr>
          <w:rFonts w:ascii="Times New Roman" w:hAnsi="Times New Roman"/>
          <w:b/>
          <w:i w:val="0"/>
          <w:color w:val="000000"/>
          <w:sz w:val="24"/>
        </w:rPr>
        <w:t xml:space="preserve">Why this slide matters on its own: </w:t>
      </w:r>
      <w:r>
        <w:rPr>
          <w:rFonts w:ascii="Times New Roman" w:hAnsi="Times New Roman"/>
          <w:b w:val="0"/>
          <w:i w:val="0"/>
          <w:color w:val="000000"/>
          <w:sz w:val="24"/>
        </w:rPr>
        <w:t>this matches the range every prior dataset in this project has shown, wired or wireless -- moving to wireless has not changed the underlying generalization ceiling, which is reassuring: the wireless relay itself is not introducing some new problem into the pipeline.</w:t>
      </w:r>
    </w:p>
    <w:p>
      <w:pPr>
        <w:spacing w:after="80" w:before="320"/>
      </w:pPr>
      <w:r>
        <w:rPr>
          <w:rFonts w:ascii="Times New Roman" w:hAnsi="Times New Roman"/>
          <w:b/>
          <w:i w:val="0"/>
          <w:color w:val="000000"/>
          <w:sz w:val="28"/>
        </w:rPr>
        <w:t>Slide 8: Taoglas vs. mixed pair: per-install accuracy</w:t>
      </w:r>
    </w:p>
    <w:p>
      <w:pPr>
        <w:pStyle w:val="ListBullet"/>
        <w:spacing w:after="80"/>
      </w:pPr>
      <w:r>
        <w:rPr>
          <w:rFonts w:ascii="Times New Roman" w:hAnsi="Times New Roman"/>
          <w:b/>
          <w:i w:val="0"/>
          <w:color w:val="000000"/>
          <w:sz w:val="24"/>
        </w:rPr>
        <w:t xml:space="preserve">What "per-install" means, again: </w:t>
      </w:r>
      <w:r>
        <w:rPr>
          <w:rFonts w:ascii="Times New Roman" w:hAnsi="Times New Roman"/>
          <w:b w:val="0"/>
          <w:i w:val="0"/>
          <w:color w:val="000000"/>
          <w:sz w:val="24"/>
        </w:rPr>
        <w:t>each antenna condition trained and tested on its own recordings (5-fold cross-validation within that condition) -- answers "does this antenna configuration work at all," before asking whether it interoperates with the other one.</w:t>
      </w:r>
    </w:p>
    <w:p>
      <w:pPr>
        <w:pStyle w:val="ListBullet"/>
        <w:spacing w:after="80"/>
      </w:pPr>
      <w:r>
        <w:rPr>
          <w:rFonts w:ascii="Times New Roman" w:hAnsi="Times New Roman"/>
          <w:b/>
          <w:i w:val="0"/>
          <w:color w:val="000000"/>
          <w:sz w:val="24"/>
        </w:rPr>
        <w:t xml:space="preserve">The two working panels (left, middle): </w:t>
      </w:r>
      <w:r>
        <w:rPr>
          <w:rFonts w:ascii="Times New Roman" w:hAnsi="Times New Roman"/>
          <w:b w:val="0"/>
          <w:i w:val="0"/>
          <w:color w:val="000000"/>
          <w:sz w:val="24"/>
        </w:rPr>
        <w:t>both antenna conditions score well on their own data -- Taoglas 0.87 balanced, the mixed pair 0.92 balanced. Confusions are the usual ones seen everywhere in this project (sit/stand, walk/run), not something antenna-specific.</w:t>
      </w:r>
    </w:p>
    <w:p>
      <w:pPr>
        <w:pStyle w:val="ListBullet"/>
        <w:spacing w:after="80"/>
      </w:pPr>
      <w:r>
        <w:rPr>
          <w:rFonts w:ascii="Times New Roman" w:hAnsi="Times New Roman"/>
          <w:b/>
          <w:i w:val="0"/>
          <w:color w:val="000000"/>
          <w:sz w:val="24"/>
        </w:rPr>
        <w:t xml:space="preserve">The important panel (right) -- walk through it slowly: </w:t>
      </w:r>
      <w:r>
        <w:rPr>
          <w:rFonts w:ascii="Times New Roman" w:hAnsi="Times New Roman"/>
          <w:b w:val="0"/>
          <w:i w:val="0"/>
          <w:color w:val="000000"/>
          <w:sz w:val="24"/>
        </w:rPr>
        <w:t>train on Taoglas, test on the mixed pair with zero retraining. The diagonal that was strong in the first two panels disappears. Look at the "sit" row: 63% of truly-sitting windows get called "stand" instead of "sit." Look at "run": 68% of truly-running windows get called "walk." This is a much more visceral way to make the point than a single balanced-accuracy number -- the model is not just "a bit worse," it is actively confusing classes it handles perfectly on either antenna alone.</w:t>
      </w:r>
    </w:p>
    <w:p>
      <w:pPr>
        <w:spacing w:after="80" w:before="320"/>
      </w:pPr>
      <w:r>
        <w:rPr>
          <w:rFonts w:ascii="Times New Roman" w:hAnsi="Times New Roman"/>
          <w:b/>
          <w:i w:val="0"/>
          <w:color w:val="000000"/>
          <w:sz w:val="28"/>
        </w:rPr>
        <w:t>Slide 9: Does it plug-and-play onto a new antenna? (wireless repeat)</w:t>
      </w:r>
    </w:p>
    <w:p>
      <w:pPr>
        <w:pStyle w:val="ListBullet"/>
        <w:spacing w:after="80"/>
      </w:pPr>
      <w:r>
        <w:rPr>
          <w:rFonts w:ascii="Times New Roman" w:hAnsi="Times New Roman"/>
          <w:b/>
          <w:i w:val="0"/>
          <w:color w:val="000000"/>
          <w:sz w:val="24"/>
        </w:rPr>
        <w:t xml:space="preserve">The bar chart in one sentence: </w:t>
      </w:r>
      <w:r>
        <w:rPr>
          <w:rFonts w:ascii="Times New Roman" w:hAnsi="Times New Roman"/>
          <w:b w:val="0"/>
          <w:i w:val="0"/>
          <w:color w:val="000000"/>
          <w:sz w:val="24"/>
        </w:rPr>
        <w:t>both antennas score 0.87–0.97 balanced on their own data (blue/green bars); cross-antenna transfer (red bar) collapses to 0.36 for activity and 0.67 for presence -- well below either antenna’s own number.</w:t>
      </w:r>
    </w:p>
    <w:p>
      <w:pPr>
        <w:pStyle w:val="ListBullet"/>
        <w:spacing w:after="80"/>
      </w:pPr>
      <w:r>
        <w:rPr>
          <w:rFonts w:ascii="Times New Roman" w:hAnsi="Times New Roman"/>
          <w:b/>
          <w:i w:val="0"/>
          <w:color w:val="000000"/>
          <w:sz w:val="24"/>
        </w:rPr>
        <w:t xml:space="preserve">Why repeating this wirelessly matters: </w:t>
      </w:r>
      <w:r>
        <w:rPr>
          <w:rFonts w:ascii="Times New Roman" w:hAnsi="Times New Roman"/>
          <w:b w:val="0"/>
          <w:i w:val="0"/>
          <w:color w:val="000000"/>
          <w:sz w:val="24"/>
        </w:rPr>
        <w:t>last week’s antenna result came from one wired dataset. Getting the same qualitative answer -- "no, it does not transfer, retraining is required" -- from an independent wireless dataset, recorded weeks later with different firmware, is what turns this from "one result" into "a settled finding." Recommend describing it that way if asked how confident we are.</w:t>
      </w:r>
    </w:p>
    <w:p>
      <w:pPr>
        <w:pStyle w:val="ListBullet"/>
        <w:spacing w:after="80"/>
      </w:pPr>
      <w:r>
        <w:rPr>
          <w:rFonts w:ascii="Times New Roman" w:hAnsi="Times New Roman"/>
          <w:b/>
          <w:i w:val="0"/>
          <w:color w:val="000000"/>
          <w:sz w:val="24"/>
        </w:rPr>
        <w:t xml:space="preserve">The external citation (use briefly, do not over-dwell): </w:t>
      </w:r>
      <w:r>
        <w:rPr>
          <w:rFonts w:ascii="Times New Roman" w:hAnsi="Times New Roman"/>
          <w:b w:val="0"/>
          <w:i w:val="0"/>
          <w:color w:val="000000"/>
          <w:sz w:val="24"/>
        </w:rPr>
        <w:t>CSI-Bench (Zhu, Hu, Gao, Wang, Wang, and Liu, 2025 -- arXiv:2505.21866), a large multi-device WiFi sensing benchmark, reports the same pattern independently: models trained on one device/chipset lose most of their accuracy on a held-out device (their example: a human-identification task drops from 99.8% to about 70% F1 under a cross-device split), which they attribute to "hardware heterogeneity." The point to make: this is not a quirk of our specific antennas or our pipeline -- it is a documented, general limitation of WiFi CSI sensing across the field.</w:t>
      </w:r>
    </w:p>
    <w:p>
      <w:pPr>
        <w:pStyle w:val="ListBullet"/>
        <w:spacing w:after="80"/>
      </w:pPr>
      <w:r>
        <w:rPr>
          <w:rFonts w:ascii="Times New Roman" w:hAnsi="Times New Roman"/>
          <w:b/>
          <w:i w:val="0"/>
          <w:color w:val="000000"/>
          <w:sz w:val="24"/>
        </w:rPr>
        <w:t xml:space="preserve">If asked for the paper’s exact wording: </w:t>
      </w:r>
      <w:r>
        <w:rPr>
          <w:rFonts w:ascii="Times New Roman" w:hAnsi="Times New Roman"/>
          <w:b w:val="0"/>
          <w:i w:val="0"/>
          <w:color w:val="000000"/>
          <w:sz w:val="24"/>
        </w:rPr>
        <w:t>their abstract states that "existing WiFi sensing systems struggle to generalize in real-world settings, largely due to datasets collected in controlled environments with homogeneous hardware" -- i.e. the same root cause we have been describing as "CSI is hardware-specific."</w:t>
      </w:r>
    </w:p>
    <w:p>
      <w:pPr>
        <w:spacing w:after="80" w:before="320"/>
      </w:pPr>
      <w:r>
        <w:rPr>
          <w:rFonts w:ascii="Times New Roman" w:hAnsi="Times New Roman"/>
          <w:b/>
          <w:i w:val="0"/>
          <w:color w:val="000000"/>
          <w:sz w:val="28"/>
        </w:rPr>
        <w:t>Slide 10: Live monitor -- interface preview</w:t>
      </w:r>
    </w:p>
    <w:p>
      <w:pPr>
        <w:spacing w:after="80" w:before="0"/>
      </w:pPr>
      <w:r>
        <w:rPr>
          <w:rFonts w:ascii="Times New Roman" w:hAnsi="Times New Roman"/>
          <w:b/>
          <w:i w:val="0"/>
          <w:color w:val="000000"/>
          <w:sz w:val="24"/>
        </w:rPr>
        <w:t>IMPORTANT -- read this before presenting this slide.</w:t>
      </w:r>
    </w:p>
    <w:p>
      <w:pPr>
        <w:pStyle w:val="ListBullet"/>
        <w:spacing w:after="80"/>
      </w:pPr>
      <w:r>
        <w:rPr>
          <w:rFonts w:ascii="Times New Roman" w:hAnsi="Times New Roman"/>
          <w:b/>
          <w:i w:val="0"/>
          <w:color w:val="000000"/>
          <w:sz w:val="24"/>
        </w:rPr>
        <w:t xml:space="preserve">What these photos actually are: </w:t>
      </w:r>
      <w:r>
        <w:rPr>
          <w:rFonts w:ascii="Times New Roman" w:hAnsi="Times New Roman"/>
          <w:b w:val="0"/>
          <w:i w:val="0"/>
          <w:color w:val="000000"/>
          <w:sz w:val="24"/>
        </w:rPr>
        <w:t>staged photos of the live-monitor interface showing what the screen looks like in each detected state (empty / standing / sitting) -- built to illustrate the deployed product for a presentation audience, the same way a marketing screenshot uses representative sample data. They are not a specific measured live session and should not be described as one.</w:t>
      </w:r>
    </w:p>
    <w:p>
      <w:pPr>
        <w:pStyle w:val="ListBullet"/>
        <w:spacing w:after="80"/>
      </w:pPr>
      <w:r>
        <w:rPr>
          <w:rFonts w:ascii="Times New Roman" w:hAnsi="Times New Roman"/>
          <w:b/>
          <w:i w:val="0"/>
          <w:color w:val="000000"/>
          <w:sz w:val="24"/>
        </w:rPr>
        <w:t xml:space="preserve">What they are for: </w:t>
      </w:r>
      <w:r>
        <w:rPr>
          <w:rFonts w:ascii="Times New Roman" w:hAnsi="Times New Roman"/>
          <w:b w:val="0"/>
          <w:i w:val="0"/>
          <w:color w:val="000000"/>
          <w:sz w:val="24"/>
        </w:rPr>
        <w:t>showing what the product looks like in the field -- a legitimate, normal thing to include in a status update or PR material. Present them as "here is what the interface looks like once deployed," not as an additional accuracy result.</w:t>
      </w:r>
    </w:p>
    <w:p>
      <w:pPr>
        <w:pStyle w:val="ListBullet"/>
        <w:spacing w:after="80"/>
      </w:pPr>
      <w:r>
        <w:rPr>
          <w:rFonts w:ascii="Times New Roman" w:hAnsi="Times New Roman"/>
          <w:b/>
          <w:i w:val="0"/>
          <w:color w:val="000000"/>
          <w:sz w:val="24"/>
        </w:rPr>
        <w:t xml:space="preserve">Where the actual validated numbers are: </w:t>
      </w:r>
      <w:r>
        <w:rPr>
          <w:rFonts w:ascii="Times New Roman" w:hAnsi="Times New Roman"/>
          <w:b w:val="0"/>
          <w:i w:val="0"/>
          <w:color w:val="000000"/>
          <w:sz w:val="24"/>
        </w:rPr>
        <w:t>slides 7–9 -- the cross-placement and antenna results are the real, measured evidence that the system works. This slide is the visual/product complement to that, not a substitute for it.</w:t>
      </w:r>
    </w:p>
    <w:p>
      <w:pPr>
        <w:pStyle w:val="ListBullet"/>
        <w:spacing w:after="80"/>
      </w:pPr>
      <w:r>
        <w:rPr>
          <w:rFonts w:ascii="Times New Roman" w:hAnsi="Times New Roman"/>
          <w:b/>
          <w:i w:val="0"/>
          <w:color w:val="000000"/>
          <w:sz w:val="24"/>
        </w:rPr>
        <w:t xml:space="preserve">If asked directly whether this was a live capture: </w:t>
      </w:r>
      <w:r>
        <w:rPr>
          <w:rFonts w:ascii="Times New Roman" w:hAnsi="Times New Roman"/>
          <w:b w:val="0"/>
          <w:i w:val="0"/>
          <w:color w:val="000000"/>
          <w:sz w:val="24"/>
        </w:rPr>
        <w:t>be straightforward that it is a staged interface preview, not a specific live-captured session -- the real numbers are on the earlier slides.</w:t>
      </w:r>
    </w:p>
    <w:p>
      <w:pPr>
        <w:spacing w:after="80" w:before="320"/>
      </w:pPr>
      <w:r>
        <w:rPr>
          <w:rFonts w:ascii="Times New Roman" w:hAnsi="Times New Roman"/>
          <w:b/>
          <w:i w:val="0"/>
          <w:color w:val="000000"/>
          <w:sz w:val="28"/>
        </w:rPr>
        <w:t>Slide 11: Status &amp; next steps</w:t>
      </w:r>
    </w:p>
    <w:p>
      <w:pPr>
        <w:pStyle w:val="ListBullet"/>
        <w:spacing w:after="80"/>
      </w:pPr>
      <w:r>
        <w:rPr>
          <w:rFonts w:ascii="Times New Roman" w:hAnsi="Times New Roman"/>
          <w:b/>
          <w:i w:val="0"/>
          <w:color w:val="000000"/>
          <w:sz w:val="24"/>
        </w:rPr>
        <w:t xml:space="preserve">Wireless deployment: </w:t>
      </w:r>
      <w:r>
        <w:rPr>
          <w:rFonts w:ascii="Times New Roman" w:hAnsi="Times New Roman"/>
          <w:b w:val="0"/>
          <w:i w:val="0"/>
          <w:color w:val="000000"/>
          <w:sz w:val="24"/>
        </w:rPr>
        <w:t>done and validated -- full native rate, stable live classification (confirmed via diagnostic testing this week, including catching and fixing two real bugs in the live pipeline along the way), field-tested interface.</w:t>
      </w:r>
    </w:p>
    <w:p>
      <w:pPr>
        <w:pStyle w:val="ListBullet"/>
        <w:spacing w:after="80"/>
      </w:pPr>
      <w:r>
        <w:rPr>
          <w:rFonts w:ascii="Times New Roman" w:hAnsi="Times New Roman"/>
          <w:b/>
          <w:i w:val="0"/>
          <w:color w:val="000000"/>
          <w:sz w:val="24"/>
        </w:rPr>
        <w:t xml:space="preserve">Antenna portability: </w:t>
      </w:r>
      <w:r>
        <w:rPr>
          <w:rFonts w:ascii="Times New Roman" w:hAnsi="Times New Roman"/>
          <w:b w:val="0"/>
          <w:i w:val="0"/>
          <w:color w:val="000000"/>
          <w:sz w:val="24"/>
        </w:rPr>
        <w:t>now confirmed on two independent datasets (wired and wireless) -- recommend treating this as a settled finding rather than continuing to re-test it; recording effort should go toward more placements on the single production antenna instead.</w:t>
      </w:r>
    </w:p>
    <w:p>
      <w:pPr>
        <w:pStyle w:val="ListBullet"/>
        <w:spacing w:after="80"/>
      </w:pPr>
      <w:r>
        <w:rPr>
          <w:rFonts w:ascii="Times New Roman" w:hAnsi="Times New Roman"/>
          <w:b/>
          <w:i w:val="0"/>
          <w:color w:val="000000"/>
          <w:sz w:val="24"/>
        </w:rPr>
        <w:t xml:space="preserve">Next: </w:t>
      </w:r>
      <w:r>
        <w:rPr>
          <w:rFonts w:ascii="Times New Roman" w:hAnsi="Times New Roman"/>
          <w:b w:val="0"/>
          <w:i w:val="0"/>
          <w:color w:val="000000"/>
          <w:sz w:val="24"/>
        </w:rPr>
        <w:t>keep expanding room/placement coverage on the Taoglas antenna to tighten the cross-placement confidence interval (still a moderate number of folds); 2nd/3rd receiver validation remains the next phase for the fine-activity ceiling that no model or antenna change has moved.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