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需求分析报告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的淘宝用户行为分析系统（LuckyAnJun 个人工作包）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编制人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项目周期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2026-06-18 至 2026-06-30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文档目的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用户与使用场景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业务范围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3.1 输入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3.2 输出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功能需求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4.1 数据准备需求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4.2 离线分析需求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FR-O15 严格同商品路径漏斗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FR-O16 逐小时流量与购买比例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FR-O17 热门类目 Top20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FR-O18 用户活跃天数分布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4.3 实时分析需求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4.4 异常预警规则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4.5 数据发布与展示需求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非功能需求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6. 指标定义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7. 数据与分析限制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8. 验收矩阵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9. 需求结论</w:t>
      </w:r>
    </w:p>
    <w:p>
      <w:r>
        <w:br w:type="page"/>
      </w:r>
    </w:p>
    <w:p>
      <w:pPr>
        <w:pStyle w:val="Heading1"/>
      </w:pPr>
      <w:r>
        <w:t>1. 文档目的</w:t>
      </w:r>
    </w:p>
    <w:p>
      <w:pPr>
        <w:widowControl/>
      </w:pPr>
      <w:r>
        <w:rPr>
          <w:rFonts w:ascii="Calibri" w:hAnsi="Calibri" w:eastAsia="Microsoft YaHei"/>
        </w:rPr>
        <w:t>本文将课程要求转换为可开发、可测试、可验收的需求，只覆盖 LuckyAnJun 负责的数据准备、4 个离线分析和 1 个实时分析。</w:t>
      </w:r>
    </w:p>
    <w:p>
      <w:pPr>
        <w:pStyle w:val="Heading1"/>
      </w:pPr>
      <w:r>
        <w:t>2. 用户与使用场景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17"/>
        <w:gridCol w:w="6209"/>
      </w:tblGrid>
      <w:tr>
        <w:trPr>
          <w:tblHeader w:val="true"/>
        </w:trPr>
        <w:tc>
          <w:tcPr>
            <w:tcW w:type="dxa" w:w="2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6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主要需求</w:t>
            </w:r>
          </w:p>
        </w:tc>
      </w:tr>
      <w:tr>
        <w:tc>
          <w:tcPr>
            <w:tcW w:type="dxa" w:w="2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任课教师/评审</w:t>
            </w:r>
          </w:p>
        </w:tc>
        <w:tc>
          <w:tcPr>
            <w:tcW w:type="dxa" w:w="6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检查 Spark 集群分析、4+1 功能、动态展示、文档和测试证据</w:t>
            </w:r>
          </w:p>
        </w:tc>
      </w:tr>
      <w:tr>
        <w:tc>
          <w:tcPr>
            <w:tcW w:type="dxa" w:w="2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项目演示者</w:t>
            </w:r>
          </w:p>
        </w:tc>
        <w:tc>
          <w:tcPr>
            <w:tcW w:type="dxa" w:w="6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快速展示离线结果，现场回放实时数据并说明指标变化</w:t>
            </w:r>
          </w:p>
        </w:tc>
      </w:tr>
      <w:tr>
        <w:tc>
          <w:tcPr>
            <w:tcW w:type="dxa" w:w="2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开发维护者</w:t>
            </w:r>
          </w:p>
        </w:tc>
        <w:tc>
          <w:tcPr>
            <w:tcW w:type="dxa" w:w="6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通过脚本重跑清洗、离线计算、MySQL 发布和实时任务</w:t>
            </w:r>
          </w:p>
        </w:tc>
      </w:tr>
      <w:tr>
        <w:tc>
          <w:tcPr>
            <w:tcW w:type="dxa" w:w="2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报表阅读者</w:t>
            </w:r>
          </w:p>
        </w:tc>
        <w:tc>
          <w:tcPr>
            <w:tcW w:type="dxa" w:w="6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查看漏斗、小时、类目、活跃度和实时告警的核心结论</w:t>
            </w:r>
          </w:p>
        </w:tc>
      </w:tr>
    </w:tbl>
    <w:p>
      <w:pPr>
        <w:spacing w:after="20"/>
      </w:pPr>
    </w:p>
    <w:p>
      <w:pPr>
        <w:pStyle w:val="Heading1"/>
      </w:pPr>
      <w:r>
        <w:t>3. 业务范围</w:t>
      </w:r>
    </w:p>
    <w:p>
      <w:pPr>
        <w:pStyle w:val="Heading2"/>
      </w:pPr>
      <w:r>
        <w:t>3.1 输入</w:t>
      </w:r>
    </w:p>
    <w:p>
      <w:pPr>
        <w:pStyle w:val="ListBullet"/>
      </w:pPr>
      <w:r>
        <w:rPr>
          <w:rFonts w:ascii="Calibri" w:hAnsi="Calibri" w:eastAsia="Microsoft YaHei"/>
        </w:rPr>
        <w:t>原始文件：</w:t>
      </w:r>
      <w:r>
        <w:rPr>
          <w:rFonts w:ascii="Consolas" w:hAnsi="Consolas" w:eastAsia="Microsoft YaHei"/>
        </w:rPr>
        <w:t>UserBehavior.csv</w:t>
      </w:r>
    </w:p>
    <w:p>
      <w:pPr>
        <w:pStyle w:val="ListBullet"/>
      </w:pPr>
      <w:r>
        <w:rPr>
          <w:rFonts w:ascii="Calibri" w:hAnsi="Calibri" w:eastAsia="Microsoft YaHei"/>
        </w:rPr>
        <w:t>原始字段：</w:t>
      </w:r>
      <w:r>
        <w:rPr>
          <w:rFonts w:ascii="Consolas" w:hAnsi="Consolas" w:eastAsia="Microsoft YaHei"/>
        </w:rPr>
        <w:t>user_id,item_id,category_id,behavior_type,timestamp</w:t>
      </w:r>
    </w:p>
    <w:p>
      <w:pPr>
        <w:pStyle w:val="ListBullet"/>
      </w:pPr>
      <w:r>
        <w:rPr>
          <w:rFonts w:ascii="Calibri" w:hAnsi="Calibri" w:eastAsia="Microsoft YaHei"/>
        </w:rPr>
        <w:t>合法行为：</w:t>
      </w:r>
      <w:r>
        <w:rPr>
          <w:rFonts w:ascii="Consolas" w:hAnsi="Consolas" w:eastAsia="Microsoft YaHei"/>
        </w:rPr>
        <w:t>pv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fav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cart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buy</w:t>
      </w:r>
    </w:p>
    <w:p>
      <w:pPr>
        <w:pStyle w:val="ListBullet"/>
      </w:pPr>
      <w:r>
        <w:rPr>
          <w:rFonts w:ascii="Calibri" w:hAnsi="Calibri" w:eastAsia="Microsoft YaHei"/>
        </w:rPr>
        <w:t>最终分析样本：约 300 MB，8,571,842 条截断输入记录</w:t>
      </w:r>
    </w:p>
    <w:p>
      <w:pPr>
        <w:pStyle w:val="ListBullet"/>
      </w:pPr>
      <w:r>
        <w:rPr>
          <w:rFonts w:ascii="Calibri" w:hAnsi="Calibri" w:eastAsia="Microsoft YaHei"/>
        </w:rPr>
        <w:t>有效事件日期：2017-11-25 至 2017-12-03，北京时间</w:t>
      </w:r>
    </w:p>
    <w:p>
      <w:pPr>
        <w:pStyle w:val="Heading2"/>
      </w:pPr>
      <w:r>
        <w:t>3.2 输出</w:t>
      </w:r>
    </w:p>
    <w:p>
      <w:pPr>
        <w:pStyle w:val="ListBullet"/>
      </w:pPr>
      <w:r>
        <w:rPr>
          <w:rFonts w:ascii="Calibri" w:hAnsi="Calibri" w:eastAsia="Microsoft YaHei"/>
        </w:rPr>
        <w:t>4 张离线结果表和对应报告 #15-#18。</w:t>
      </w:r>
    </w:p>
    <w:p>
      <w:pPr>
        <w:pStyle w:val="ListBullet"/>
      </w:pPr>
      <w:r>
        <w:rPr>
          <w:rFonts w:ascii="Calibri" w:hAnsi="Calibri" w:eastAsia="Microsoft YaHei"/>
        </w:rPr>
        <w:t>1 张实时 5 分钟窗口指标表和对应报告 #19。</w:t>
      </w:r>
    </w:p>
    <w:p>
      <w:pPr>
        <w:pStyle w:val="ListBullet"/>
      </w:pPr>
      <w:r>
        <w:rPr>
          <w:rFonts w:ascii="Calibri" w:hAnsi="Calibri" w:eastAsia="Microsoft YaHei"/>
        </w:rPr>
        <w:t>1 张实时内部批次表，用于幂等控制，不直接展示。</w:t>
      </w:r>
    </w:p>
    <w:p>
      <w:pPr>
        <w:pStyle w:val="ListBullet"/>
      </w:pPr>
      <w:r>
        <w:rPr>
          <w:rFonts w:ascii="Calibri" w:hAnsi="Calibri" w:eastAsia="Microsoft YaHei"/>
        </w:rPr>
        <w:t>动态 Web 页面、JSON 快照、测试和课程文档。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4.1 数据准备需求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5"/>
        <w:gridCol w:w="3896"/>
        <w:gridCol w:w="3565"/>
      </w:tblGrid>
      <w:tr>
        <w:trPr>
          <w:tblHeader w:val="true"/>
        </w:trP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FR-D01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系统应将原始大文件截取为课程允许的分析规模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输入样本在 200-500 MB 范围内</w:t>
            </w:r>
          </w:p>
        </w:tc>
      </w:tr>
      <w:t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FR-D02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系统应校验列数、类型、正数 ID、行为枚举和时间范围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非法记录被过滤并按原因统计</w:t>
            </w:r>
          </w:p>
        </w:tc>
      </w:tr>
      <w:t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FR-D03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系统应派生事件时间、日期、小时和星期字段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清洗结果包含 9 个字段</w:t>
            </w:r>
          </w:p>
        </w:tc>
      </w:tr>
      <w:t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FR-D04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系统应将清洗结果放入 HDFS/Hive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dwd_user_behavior_clean</w:t>
            </w:r>
            <w:r>
              <w:rPr>
                <w:rFonts w:ascii="Calibri" w:hAnsi="Calibri" w:eastAsia="Microsoft YaHei"/>
                <w:sz w:val="18"/>
              </w:rPr>
              <w:t xml:space="preserve"> 可查询</w:t>
            </w:r>
          </w:p>
        </w:tc>
      </w:tr>
      <w:tr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FR-D05</w:t>
            </w:r>
          </w:p>
        </w:tc>
        <w:tc>
          <w:tcPr>
            <w:tcW w:type="dxa" w:w="3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所有个人分析应读取统一清洗明细</w:t>
            </w:r>
          </w:p>
        </w:tc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个离线 SQL 均依赖 DWD 表</w:t>
            </w:r>
          </w:p>
        </w:tc>
      </w:tr>
    </w:tbl>
    <w:p>
      <w:pPr>
        <w:spacing w:after="20"/>
      </w:pPr>
    </w:p>
    <w:p>
      <w:pPr>
        <w:pStyle w:val="Heading2"/>
      </w:pPr>
      <w:r>
        <w:t>4.2 离线分析需求</w:t>
      </w:r>
    </w:p>
    <w:p>
      <w:pPr>
        <w:pStyle w:val="Heading3"/>
      </w:pPr>
      <w:r>
        <w:t>FR-O15 严格同商品路径漏斗</w:t>
      </w:r>
    </w:p>
    <w:p>
      <w:pPr>
        <w:widowControl/>
      </w:pPr>
      <w:r>
        <w:rPr>
          <w:rFonts w:ascii="Calibri" w:hAnsi="Calibri" w:eastAsia="Microsoft YaHei"/>
        </w:rPr>
        <w:t>系统应以“同一用户、同一商品、时间先后”为口径统计三个阶段：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浏览商品；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浏览后收藏或加购同一商品；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意向后购买同一商品。</w:t>
      </w:r>
    </w:p>
    <w:p>
      <w:pPr>
        <w:widowControl/>
      </w:pPr>
      <w:r>
        <w:rPr>
          <w:rFonts w:ascii="Calibri" w:hAnsi="Calibri" w:eastAsia="Microsoft YaHei"/>
        </w:rPr>
        <w:t xml:space="preserve">结果表为 </w:t>
      </w:r>
      <w:r>
        <w:rPr>
          <w:rFonts w:ascii="Consolas" w:hAnsi="Consolas" w:eastAsia="Microsoft YaHei"/>
        </w:rPr>
        <w:t>lb_funnel_item_path_stage</w:t>
      </w:r>
      <w:r>
        <w:rPr>
          <w:rFonts w:ascii="Calibri" w:hAnsi="Calibri" w:eastAsia="Microsoft YaHei"/>
        </w:rPr>
        <w:t>，必须按阶段顺序输出数量和相对首阶段转化率。不得把“周期内曾发生过行为”误写为严格路径。</w:t>
      </w:r>
    </w:p>
    <w:p>
      <w:pPr>
        <w:pStyle w:val="Heading3"/>
      </w:pPr>
      <w:r>
        <w:t>FR-O16 逐小时流量与购买比例</w:t>
      </w:r>
    </w:p>
    <w:p>
      <w:pPr>
        <w:widowControl/>
      </w:pPr>
      <w:r>
        <w:rPr>
          <w:rFonts w:ascii="Calibri" w:hAnsi="Calibri" w:eastAsia="Microsoft YaHei"/>
        </w:rPr>
        <w:t xml:space="preserve">系统应按 0-23 点聚合 PV、浏览用户、收藏、加购、购买、购买用户，并计算每小时购买用户数/浏览用户数。结果表为 </w:t>
      </w:r>
      <w:r>
        <w:rPr>
          <w:rFonts w:ascii="Consolas" w:hAnsi="Consolas" w:eastAsia="Microsoft YaHei"/>
        </w:rPr>
        <w:t>lb_time_hour_distribution</w:t>
      </w:r>
      <w:r>
        <w:rPr>
          <w:rFonts w:ascii="Calibri" w:hAnsi="Calibri" w:eastAsia="Microsoft YaHei"/>
        </w:rPr>
        <w:t>，页面核心图只展示 PV 和小时购买比例。</w:t>
      </w:r>
    </w:p>
    <w:p>
      <w:pPr>
        <w:pStyle w:val="Heading3"/>
      </w:pPr>
      <w:r>
        <w:t>FR-O17 热门类目 Top20</w:t>
      </w:r>
    </w:p>
    <w:p>
      <w:pPr>
        <w:widowControl/>
      </w:pPr>
      <w:r>
        <w:rPr>
          <w:rFonts w:ascii="Calibri" w:hAnsi="Calibri" w:eastAsia="Microsoft YaHei"/>
        </w:rPr>
        <w:t xml:space="preserve">系统应按类目聚合行为，以 PV 降序、购买次数和类目 ID 作为稳定排序条件，保留前 20 个类目。结果表为 </w:t>
      </w:r>
      <w:r>
        <w:rPr>
          <w:rFonts w:ascii="Consolas" w:hAnsi="Consolas" w:eastAsia="Microsoft YaHei"/>
        </w:rPr>
        <w:t>lb_category_topn</w:t>
      </w:r>
      <w:r>
        <w:rPr>
          <w:rFonts w:ascii="Calibri" w:hAnsi="Calibri" w:eastAsia="Microsoft YaHei"/>
        </w:rPr>
        <w:t>，核心图只展示 PV 和类目转化率。</w:t>
      </w:r>
    </w:p>
    <w:p>
      <w:pPr>
        <w:pStyle w:val="Heading3"/>
      </w:pPr>
      <w:r>
        <w:t>FR-O18 用户活跃天数分布</w:t>
      </w:r>
    </w:p>
    <w:p>
      <w:pPr>
        <w:widowControl/>
      </w:pPr>
      <w:r>
        <w:rPr>
          <w:rFonts w:ascii="Calibri" w:hAnsi="Calibri" w:eastAsia="Microsoft YaHei"/>
        </w:rPr>
        <w:t xml:space="preserve">系统应按用户统计 9 天周期内的活跃日期数、行为数、不同商品数和购买次数，再按活跃天数汇总用户数、占比和平均行为深度。结果表为 </w:t>
      </w:r>
      <w:r>
        <w:rPr>
          <w:rFonts w:ascii="Consolas" w:hAnsi="Consolas" w:eastAsia="Microsoft YaHei"/>
        </w:rPr>
        <w:t>lb_user_active_day_distribution</w:t>
      </w:r>
      <w:r>
        <w:rPr>
          <w:rFonts w:ascii="Calibri" w:hAnsi="Calibri" w:eastAsia="Microsoft YaHei"/>
        </w:rPr>
        <w:t>，横轴按 1-9 天递增。</w:t>
      </w:r>
    </w:p>
    <w:p>
      <w:pPr>
        <w:pStyle w:val="Heading2"/>
      </w:pPr>
      <w:r>
        <w:t>4.3 实时分析需求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0"/>
        <w:gridCol w:w="3702"/>
        <w:gridCol w:w="3784"/>
      </w:tblGrid>
      <w:tr>
        <w:trPr>
          <w:tblHeader w:val="true"/>
        </w:trP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FR-R01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历史用户行为应通过 Kafka 逐条回放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topic 可持续接收合法 JSON 消息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FR-R02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应过滤非四类行为和非法时间戳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输出仅含 </w:t>
            </w:r>
            <w:r>
              <w:rPr>
                <w:rFonts w:ascii="Consolas" w:hAnsi="Consolas" w:eastAsia="Microsoft YaHei"/>
                <w:sz w:val="18"/>
              </w:rPr>
              <w:t>pv/fav/cart/buy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FR-R03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应按 5 分钟事件时间窗口聚合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每行对应唯一 </w:t>
            </w:r>
            <w:r>
              <w:rPr>
                <w:rFonts w:ascii="Consolas" w:hAnsi="Consolas" w:eastAsia="Microsoft YaHei"/>
                <w:sz w:val="18"/>
              </w:rPr>
              <w:t>window_start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FR-R04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每个窗口只保留 PV、收藏、加购、购买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表中存在 </w:t>
            </w:r>
            <w:r>
              <w:rPr>
                <w:rFonts w:ascii="Consolas" w:hAnsi="Consolas" w:eastAsia="Microsoft YaHei"/>
                <w:sz w:val="18"/>
              </w:rPr>
              <w:t>pv/fav_cnt/cart_cnt/buy_cnt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FR-R05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系统应生成异常预警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支持突增、骤降、低流量、低转化、正常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FR-R06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重试不得重复累计同一微批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(checkpoint_key,batch_id)</w:t>
            </w:r>
            <w:r>
              <w:rPr>
                <w:rFonts w:ascii="Calibri" w:hAnsi="Calibri" w:eastAsia="Microsoft YaHei"/>
                <w:sz w:val="18"/>
              </w:rPr>
              <w:t xml:space="preserve"> 唯一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FR-R07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最新窗口应输出到 MySQL 和 JSON 快照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页面能读取最新结果</w:t>
            </w:r>
          </w:p>
        </w:tc>
      </w:tr>
      <w:tr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FR-R08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页面应定时刷新</w:t>
            </w:r>
          </w:p>
        </w:tc>
        <w:tc>
          <w:tcPr>
            <w:tcW w:type="dxa" w:w="3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默认每 5 秒刷新一次</w:t>
            </w:r>
          </w:p>
        </w:tc>
      </w:tr>
    </w:tbl>
    <w:p>
      <w:pPr>
        <w:spacing w:after="20"/>
      </w:pPr>
    </w:p>
    <w:p>
      <w:pPr>
        <w:pStyle w:val="Heading2"/>
      </w:pPr>
      <w:r>
        <w:t>4.4 异常预警规则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86"/>
        <w:gridCol w:w="4695"/>
        <w:gridCol w:w="1745"/>
      </w:tblGrid>
      <w:tr>
        <w:trPr>
          <w:tblHeader w:val="true"/>
        </w:trP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告警类型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判定条件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traffic_spike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上一窗口达到最低流量，且当前 PV 至少为上一窗口 2 倍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流量突增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traffic_drop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上一窗口达到最低流量，且当前 PV 小于上一窗口一半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流量骤降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low_traffic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当前 PV 低于可配置最低流量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低流量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low_conversion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buy_cnt / pv &lt; 1%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低转化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normal</w:t>
            </w:r>
          </w:p>
        </w:tc>
        <w:tc>
          <w:tcPr>
            <w:tcW w:type="dxa" w:w="46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以上条件均不满足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告警按表中顺序匹配；同一窗口只输出一个最高优先级状态。</w:t>
      </w:r>
    </w:p>
    <w:p>
      <w:pPr>
        <w:pStyle w:val="Heading2"/>
      </w:pPr>
      <w:r>
        <w:t>4.5 数据发布与展示需求</w:t>
      </w:r>
    </w:p>
    <w:p>
      <w:pPr>
        <w:pStyle w:val="ListBullet"/>
      </w:pPr>
      <w:r>
        <w:rPr>
          <w:rFonts w:ascii="Calibri" w:hAnsi="Calibri" w:eastAsia="Microsoft YaHei"/>
        </w:rPr>
        <w:t>离线发布只允许 4 张最终报表表，不发布中间分析表。</w:t>
      </w:r>
    </w:p>
    <w:p>
      <w:pPr>
        <w:pStyle w:val="ListBullet"/>
      </w:pPr>
      <w:r>
        <w:rPr>
          <w:rFonts w:ascii="Calibri" w:hAnsi="Calibri" w:eastAsia="Microsoft YaHei"/>
        </w:rPr>
        <w:t xml:space="preserve">发布时先写 </w:t>
      </w:r>
      <w:r>
        <w:rPr>
          <w:rFonts w:ascii="Consolas" w:hAnsi="Consolas" w:eastAsia="Microsoft YaHei"/>
        </w:rPr>
        <w:t>__staging</w:t>
      </w:r>
      <w:r>
        <w:rPr>
          <w:rFonts w:ascii="Calibri" w:hAnsi="Calibri" w:eastAsia="Microsoft YaHei"/>
        </w:rPr>
        <w:t>，核对 Hive 与 MySQL 行数一致，再替换正式表。</w:t>
      </w:r>
    </w:p>
    <w:p>
      <w:pPr>
        <w:pStyle w:val="ListBullet"/>
      </w:pPr>
      <w:r>
        <w:rPr>
          <w:rFonts w:ascii="Calibri" w:hAnsi="Calibri" w:eastAsia="Microsoft YaHei"/>
        </w:rPr>
        <w:t>Web 报告 #15-#19 每个报告只保留一张核心图。</w:t>
      </w:r>
    </w:p>
    <w:p>
      <w:pPr>
        <w:pStyle w:val="ListBullet"/>
      </w:pPr>
      <w:r>
        <w:rPr>
          <w:rFonts w:ascii="Calibri" w:hAnsi="Calibri" w:eastAsia="Microsoft YaHei"/>
        </w:rPr>
        <w:t>报告标题不得保留“一、二、三”等序号前缀。</w:t>
      </w:r>
    </w:p>
    <w:p>
      <w:pPr>
        <w:pStyle w:val="ListBullet"/>
      </w:pPr>
      <w:r>
        <w:rPr>
          <w:rFonts w:ascii="Calibri" w:hAnsi="Calibri" w:eastAsia="Microsoft YaHei"/>
        </w:rPr>
        <w:t>实时报告不得展示无关指标，必须明确“历史日志实时回放模拟”。</w:t>
      </w:r>
    </w:p>
    <w:p>
      <w:pPr>
        <w:pStyle w:val="Heading1"/>
      </w:pPr>
      <w:r>
        <w:t>5. 非功能需求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73"/>
        <w:gridCol w:w="1873"/>
        <w:gridCol w:w="5280"/>
      </w:tblGrid>
      <w:tr>
        <w:trPr>
          <w:tblHeader w:val="true"/>
        </w:trP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NFR-01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技术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数据分析必须提交到 Spark 服务，不使用 MapReduce 替代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NFR-02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数据规模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个人分析样本应在 200-500 MB，或不少于 15,000 条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NFR-03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报表必须由数据库或实时快照动态产生，不使用静态结果文件伪装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NFR-04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兼容性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核心代码应兼容 Spark 2.4.6、Scala 2.11.12、MySQL 5.7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NFR-05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正确性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比例字段统一保存为 0-1 小数，页面显示时再转百分比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NFR-06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可重复性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离线结果可覆盖重算，实时微批写入具有幂等控制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NFR-07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性能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小型结果表合并为少量分区后发布；实时触发间隔默认 10 秒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NFR-08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可维护性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表名、字段、脚本和运行步骤应有数据字典及运行手册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NFR-09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密码不得进入源码、Git 提交或交付报告</w:t>
            </w:r>
          </w:p>
        </w:tc>
      </w:tr>
      <w:tr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NFR-10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可追溯性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代码和文档提交到教师可访问的代码托管仓库</w:t>
            </w:r>
          </w:p>
        </w:tc>
      </w:tr>
    </w:tbl>
    <w:p>
      <w:pPr>
        <w:spacing w:after="20"/>
      </w:pPr>
    </w:p>
    <w:p>
      <w:pPr>
        <w:pStyle w:val="Heading1"/>
      </w:pPr>
      <w:r>
        <w:t>6. 指标定义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6"/>
        <w:gridCol w:w="6320"/>
      </w:tblGrid>
      <w:tr>
        <w:trPr>
          <w:tblHeader w:val="true"/>
        </w:trP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PV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behavior_type='pv'</w:t>
            </w:r>
            <w:r>
              <w:rPr>
                <w:rFonts w:ascii="Calibri" w:hAnsi="Calibri" w:eastAsia="Microsoft YaHei"/>
                <w:sz w:val="18"/>
              </w:rPr>
              <w:t xml:space="preserve"> 的行为次数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收藏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behavior_type='fav'</w:t>
            </w:r>
            <w:r>
              <w:rPr>
                <w:rFonts w:ascii="Calibri" w:hAnsi="Calibri" w:eastAsia="Microsoft YaHei"/>
                <w:sz w:val="18"/>
              </w:rPr>
              <w:t xml:space="preserve"> 的行为次数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加购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behavior_type='cart'</w:t>
            </w:r>
            <w:r>
              <w:rPr>
                <w:rFonts w:ascii="Calibri" w:hAnsi="Calibri" w:eastAsia="Microsoft YaHei"/>
                <w:sz w:val="18"/>
              </w:rPr>
              <w:t xml:space="preserve"> 的行为次数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behavior_type='buy'</w:t>
            </w:r>
            <w:r>
              <w:rPr>
                <w:rFonts w:ascii="Calibri" w:hAnsi="Calibri" w:eastAsia="Microsoft YaHei"/>
                <w:sz w:val="18"/>
              </w:rPr>
              <w:t xml:space="preserve"> 的行为次数，不等于订单金额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PV UV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发生浏览行为的去重用户数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 UV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发生购买行为的去重用户数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小时购买比例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每小时购买 UV / 每小时 PV UV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类目转化率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类目购买 UV / 类目 PV UV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用户占比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对应活跃天数的用户数 / 总用户数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漏斗转化率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当前阶段用户-商品对数 / 浏览阶段用户-商品对数</w:t>
            </w:r>
          </w:p>
        </w:tc>
      </w:tr>
    </w:tbl>
    <w:p>
      <w:pPr>
        <w:spacing w:after="20"/>
      </w:pPr>
    </w:p>
    <w:p>
      <w:pPr>
        <w:pStyle w:val="Heading1"/>
      </w:pPr>
      <w:r>
        <w:t>7. 数据与分析限制</w:t>
      </w:r>
    </w:p>
    <w:p>
      <w:pPr>
        <w:pStyle w:val="ListBullet"/>
      </w:pPr>
      <w:r>
        <w:rPr>
          <w:rFonts w:ascii="Calibri" w:hAnsi="Calibri" w:eastAsia="Microsoft YaHei"/>
        </w:rPr>
        <w:t xml:space="preserve">购买只表示数据中的 </w:t>
      </w:r>
      <w:r>
        <w:rPr>
          <w:rFonts w:ascii="Consolas" w:hAnsi="Consolas" w:eastAsia="Microsoft YaHei"/>
        </w:rPr>
        <w:t>buy</w:t>
      </w:r>
      <w:r>
        <w:rPr>
          <w:rFonts w:ascii="Calibri" w:hAnsi="Calibri" w:eastAsia="Microsoft YaHei"/>
        </w:rPr>
        <w:t xml:space="preserve"> 行为，不证明支付完成，也不包含退款。</w:t>
      </w:r>
    </w:p>
    <w:p>
      <w:pPr>
        <w:pStyle w:val="ListBullet"/>
      </w:pPr>
      <w:r>
        <w:rPr>
          <w:rFonts w:ascii="Calibri" w:hAnsi="Calibri" w:eastAsia="Microsoft YaHei"/>
        </w:rPr>
        <w:t>时间范围只有 9 天，不适合长期趋势或季节性结论。</w:t>
      </w:r>
    </w:p>
    <w:p>
      <w:pPr>
        <w:pStyle w:val="ListBullet"/>
      </w:pPr>
      <w:r>
        <w:rPr>
          <w:rFonts w:ascii="Calibri" w:hAnsi="Calibri" w:eastAsia="Microsoft YaHei"/>
        </w:rPr>
        <w:t>类目仅有脱敏 ID，不能解释具体类目名称。</w:t>
      </w:r>
    </w:p>
    <w:p>
      <w:pPr>
        <w:pStyle w:val="ListBullet"/>
      </w:pPr>
      <w:r>
        <w:rPr>
          <w:rFonts w:ascii="Calibri" w:hAnsi="Calibri" w:eastAsia="Microsoft YaHei"/>
        </w:rPr>
        <w:t>截断/抽样结果可能与全量数据分布不同。</w:t>
      </w:r>
    </w:p>
    <w:p>
      <w:pPr>
        <w:pStyle w:val="ListBullet"/>
      </w:pPr>
      <w:r>
        <w:rPr>
          <w:rFonts w:ascii="Calibri" w:hAnsi="Calibri" w:eastAsia="Microsoft YaHei"/>
        </w:rPr>
        <w:t>规则型告警用于教学演示，不等同于生产级统计异常检测。</w:t>
      </w:r>
    </w:p>
    <w:p>
      <w:pPr>
        <w:pStyle w:val="Heading1"/>
      </w:pPr>
      <w:r>
        <w:t>8. 验收矩阵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26"/>
        <w:gridCol w:w="4826"/>
        <w:gridCol w:w="1774"/>
      </w:tblGrid>
      <w:tr>
        <w:trPr>
          <w:tblHeader w:val="true"/>
        </w:trP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需求组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验收证据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数据准备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清洗脚本、数据字典、300 MB/8,571,842 条统计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个离线分析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 SQL/Scala 作业、4 张 MySQL 表、报告 #15-#18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 个实时分析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 回放、Structured Streaming、实时表、报告 #19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实时指标与告警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单元测试覆盖四项聚合和五种告警状态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动态页面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远程报告检查、实时页面 5 秒刷新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数据库收尾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仅保留 6 张项目 </w:t>
            </w:r>
            <w:r>
              <w:rPr>
                <w:rFonts w:ascii="Consolas" w:hAnsi="Consolas" w:eastAsia="Microsoft YaHei"/>
                <w:sz w:val="18"/>
              </w:rPr>
              <w:t>lb_*</w:t>
            </w:r>
            <w:r>
              <w:rPr>
                <w:rFonts w:ascii="Calibri" w:hAnsi="Calibri" w:eastAsia="Microsoft YaHei"/>
                <w:sz w:val="18"/>
              </w:rPr>
              <w:t xml:space="preserve"> 表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  <w:tr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4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凭据扫描无已知密码，文档未记录密码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满足</w:t>
            </w:r>
          </w:p>
        </w:tc>
      </w:tr>
    </w:tbl>
    <w:p>
      <w:pPr>
        <w:spacing w:after="20"/>
      </w:pPr>
    </w:p>
    <w:p>
      <w:pPr>
        <w:pStyle w:val="Heading1"/>
      </w:pPr>
      <w:r>
        <w:t>9. 需求结论</w:t>
      </w:r>
    </w:p>
    <w:p>
      <w:pPr>
        <w:widowControl/>
      </w:pPr>
      <w:r>
        <w:rPr>
          <w:rFonts w:ascii="Calibri" w:hAnsi="Calibri" w:eastAsia="Microsoft YaHei"/>
        </w:rPr>
        <w:t>需求边界清晰、数据字段能够支持、验收证据可获得。最终系统实现与本需求基线一致：4 个离线分析类型不同，实时分析只保留 PV、收藏、加购、购买和异常预警。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需求分析报告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