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2"/>
        </w:rPr>
        <w:t>2026 年第 6 学期 · Spark 项目收尾文档</w:t>
      </w:r>
    </w:p>
    <w:p>
      <w:pPr>
        <w:pStyle w:val="Title"/>
        <w:jc w:val="left"/>
      </w:pPr>
      <w:r>
        <w:t>单元测试报告</w:t>
      </w:r>
    </w:p>
    <w:p>
      <w:pPr>
        <w:pStyle w:val="Subtitle"/>
      </w:pPr>
      <w:r>
        <w:t>基于 Spark 的淘宝用户行为分析系统</w:t>
      </w:r>
    </w:p>
    <w:tbl>
      <w:tblPr>
        <w:tblStyle w:val="TableGrid"/>
        <w:tblW w:type="dxa" w:w="90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100"/>
        <w:gridCol w:w="692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项目名称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基于 Spark 的淘宝用户行为分析系统（LuckyAnJun 个人工作包）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测试负责人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LuckyAnJun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测试基线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66548a783784dc9bc1171a9cdcbf926a9c1529b5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测试日期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2026-06-29 至 2026-06-30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文档版本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sz w:val="20"/>
              </w:rPr>
              <w:t>编制日期</w:t>
            </w:r>
          </w:p>
        </w:tc>
        <w:tc>
          <w:tcPr>
            <w:tcW w:type="dxa" w:w="6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 w:val="0"/>
                <w:sz w:val="20"/>
              </w:rPr>
              <w:t>2026-06-30</w:t>
            </w:r>
          </w:p>
        </w:tc>
      </w:tr>
    </w:tbl>
    <w:p>
      <w:pPr>
        <w:spacing w:before="440" w:after="0"/>
      </w:pPr>
      <w:r>
        <w:rPr>
          <w:rFonts w:ascii="Calibri" w:hAnsi="Calibri" w:eastAsia="Microsoft YaHei"/>
          <w:i/>
          <w:color w:val="667085"/>
          <w:sz w:val="20"/>
        </w:rPr>
        <w:t>范围说明：本文件仅整理 LuckyAnJun 负责的数据准备、4 个离线分析、1 个实时分析及其验证材料。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1. 测试目的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2. 测试范围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2.1 包含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2.2 不包含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3. 测试环境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4. 单元测试设计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4.1 数据清洗规则用例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4.2 实时聚合用例</w:t>
      </w:r>
    </w:p>
    <w:p>
      <w:pPr>
        <w:spacing w:after="60"/>
        <w:ind w:left="397"/>
      </w:pPr>
      <w:r>
        <w:rPr>
          <w:rFonts w:ascii="Calibri" w:hAnsi="Calibri" w:eastAsia="Microsoft YaHei"/>
          <w:b w:val="0"/>
          <w:color w:val="1F2937"/>
          <w:sz w:val="20"/>
        </w:rPr>
        <w:t>4.3 异常预警用例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5. 离线分析验证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6. 数据库与页面验收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7. 缺陷与修复记录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8. 覆盖结论与剩余风险</w:t>
      </w:r>
    </w:p>
    <w:p>
      <w:pPr>
        <w:spacing w:after="60"/>
        <w:ind w:left="0"/>
      </w:pPr>
      <w:r>
        <w:rPr>
          <w:rFonts w:ascii="Calibri" w:hAnsi="Calibri" w:eastAsia="Microsoft YaHei"/>
          <w:b/>
          <w:color w:val="1F2937"/>
          <w:sz w:val="21"/>
        </w:rPr>
        <w:t>9. 测试结论</w:t>
      </w:r>
    </w:p>
    <w:p>
      <w:r>
        <w:br w:type="page"/>
      </w:r>
    </w:p>
    <w:p>
      <w:pPr>
        <w:pStyle w:val="Heading1"/>
      </w:pPr>
      <w:r>
        <w:t>1. 测试目的</w:t>
      </w:r>
    </w:p>
    <w:p>
      <w:pPr>
        <w:widowControl/>
      </w:pPr>
      <w:r>
        <w:rPr>
          <w:rFonts w:ascii="Calibri" w:hAnsi="Calibri" w:eastAsia="Microsoft YaHei"/>
        </w:rPr>
        <w:t>验证 LuckyAnJun 负责的数据清洗、4 个离线分析、实时窗口聚合、异常预警、MySQL 结果表和动态报表符合最终需求。报告区分单元级断言、静态/构建检查和集成验收，不把未执行的检查写成已通过。</w:t>
      </w:r>
    </w:p>
    <w:p>
      <w:pPr>
        <w:pStyle w:val="Heading1"/>
      </w:pPr>
      <w:r>
        <w:t>2. 测试范围</w:t>
      </w:r>
    </w:p>
    <w:p>
      <w:pPr>
        <w:pStyle w:val="Heading2"/>
      </w:pPr>
      <w:r>
        <w:t>2.1 包含</w:t>
      </w:r>
    </w:p>
    <w:p>
      <w:pPr>
        <w:pStyle w:val="ListBullet"/>
      </w:pPr>
      <w:r>
        <w:rPr>
          <w:rFonts w:ascii="Consolas" w:hAnsi="Consolas" w:eastAsia="Microsoft YaHei"/>
        </w:rPr>
        <w:t>clean_user_behavior.py</w:t>
      </w:r>
      <w:r>
        <w:rPr>
          <w:rFonts w:ascii="Calibri" w:hAnsi="Calibri" w:eastAsia="Microsoft YaHei"/>
        </w:rPr>
        <w:t xml:space="preserve"> 的字段和边界规则。</w:t>
      </w:r>
    </w:p>
    <w:p>
      <w:pPr>
        <w:pStyle w:val="ListBullet"/>
      </w:pPr>
      <w:r>
        <w:rPr>
          <w:rFonts w:ascii="Calibri" w:hAnsi="Calibri" w:eastAsia="Microsoft YaHei"/>
        </w:rPr>
        <w:t>4 个离线 SQL/Scala 作业的编译与 SQL 解析。</w:t>
      </w:r>
    </w:p>
    <w:p>
      <w:pPr>
        <w:pStyle w:val="ListBullet"/>
      </w:pPr>
      <w:r>
        <w:rPr>
          <w:rFonts w:ascii="Consolas" w:hAnsi="Consolas" w:eastAsia="Microsoft YaHei"/>
        </w:rPr>
        <w:t>UserBehaviorRealtimeJob</w:t>
      </w:r>
      <w:r>
        <w:rPr>
          <w:rFonts w:ascii="Calibri" w:hAnsi="Calibri" w:eastAsia="Microsoft YaHei"/>
        </w:rPr>
        <w:t xml:space="preserve"> 的 5 分钟窗口和四类行为聚合。</w:t>
      </w:r>
    </w:p>
    <w:p>
      <w:pPr>
        <w:pStyle w:val="ListBullet"/>
      </w:pPr>
      <w:r>
        <w:rPr>
          <w:rFonts w:ascii="Calibri" w:hAnsi="Calibri" w:eastAsia="Microsoft YaHei"/>
        </w:rPr>
        <w:t>五种告警状态判断。</w:t>
      </w:r>
    </w:p>
    <w:p>
      <w:pPr>
        <w:pStyle w:val="ListBullet"/>
      </w:pPr>
      <w:r>
        <w:rPr>
          <w:rFonts w:ascii="Calibri" w:hAnsi="Calibri" w:eastAsia="Microsoft YaHei"/>
        </w:rPr>
        <w:t>4 张离线表、1 张实时指标表和 1 张内部批次表。</w:t>
      </w:r>
    </w:p>
    <w:p>
      <w:pPr>
        <w:pStyle w:val="ListBullet"/>
      </w:pPr>
      <w:r>
        <w:rPr>
          <w:rFonts w:ascii="Calibri" w:hAnsi="Calibri" w:eastAsia="Microsoft YaHei"/>
        </w:rPr>
        <w:t>报告 #15-#19 的图表数量、字段范围和标题格式。</w:t>
      </w:r>
    </w:p>
    <w:p>
      <w:pPr>
        <w:pStyle w:val="Heading2"/>
      </w:pPr>
      <w:r>
        <w:t>2.2 不包含</w:t>
      </w:r>
    </w:p>
    <w:p>
      <w:pPr>
        <w:pStyle w:val="ListBullet"/>
      </w:pPr>
      <w:r>
        <w:rPr>
          <w:rFonts w:ascii="Calibri" w:hAnsi="Calibri" w:eastAsia="Microsoft YaHei"/>
        </w:rPr>
        <w:t>淘宝生产系统或真实实时接口。</w:t>
      </w:r>
    </w:p>
    <w:p>
      <w:pPr>
        <w:pStyle w:val="ListBullet"/>
      </w:pPr>
      <w:r>
        <w:rPr>
          <w:rFonts w:ascii="Calibri" w:hAnsi="Calibri" w:eastAsia="Microsoft YaHei"/>
        </w:rPr>
        <w:t>全量 3.5 GB 数据的性能压测。</w:t>
      </w:r>
    </w:p>
    <w:p>
      <w:pPr>
        <w:pStyle w:val="ListBullet"/>
      </w:pPr>
      <w:r>
        <w:rPr>
          <w:rFonts w:ascii="Calibri" w:hAnsi="Calibri" w:eastAsia="Microsoft YaHei"/>
        </w:rPr>
        <w:t>多天持续运行、灾备切换和高并发 Web 压测。</w:t>
      </w:r>
    </w:p>
    <w:p>
      <w:pPr>
        <w:pStyle w:val="ListBullet"/>
      </w:pPr>
      <w:r>
        <w:rPr>
          <w:rFonts w:ascii="Calibri" w:hAnsi="Calibri" w:eastAsia="Microsoft YaHei"/>
        </w:rPr>
        <w:t>其他组员代码和数据集。</w:t>
      </w:r>
    </w:p>
    <w:p>
      <w:pPr>
        <w:pStyle w:val="Heading1"/>
      </w:pPr>
      <w:r>
        <w:t>3. 测试环境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06"/>
        <w:gridCol w:w="6320"/>
      </w:tblGrid>
      <w:tr>
        <w:trPr>
          <w:tblHeader w:val="true"/>
        </w:trP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组件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版本/说明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Hadoop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2.9.2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Hive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2.3.7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Spark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2.4.6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Scala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2.11.12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Kafka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2.5.0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MySQL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5.7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JDK 目标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JVM 1.8 字节码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测试数据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dataset_test/UserBehavior.csv</w:t>
            </w:r>
            <w:r>
              <w:rPr>
                <w:rFonts w:ascii="Calibri" w:hAnsi="Calibri" w:eastAsia="Microsoft YaHei"/>
                <w:sz w:val="18"/>
              </w:rPr>
              <w:t>，30 条轻量记录</w:t>
            </w:r>
          </w:p>
        </w:tc>
      </w:tr>
      <w:tr>
        <w:tc>
          <w:tcPr>
            <w:tcW w:type="dxa" w:w="27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生产样本口径</w:t>
            </w:r>
          </w:p>
        </w:tc>
        <w:tc>
          <w:tcPr>
            <w:tcW w:type="dxa" w:w="6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300 MB，8,571,842 条截断输入</w:t>
            </w:r>
          </w:p>
        </w:tc>
      </w:tr>
    </w:tbl>
    <w:p>
      <w:pPr>
        <w:spacing w:after="20"/>
      </w:pPr>
    </w:p>
    <w:p>
      <w:pPr>
        <w:pStyle w:val="Heading1"/>
      </w:pPr>
      <w:r>
        <w:t>4. 单元测试设计</w:t>
      </w:r>
    </w:p>
    <w:p>
      <w:pPr>
        <w:pStyle w:val="Heading2"/>
      </w:pPr>
      <w:r>
        <w:t>4.1 数据清洗规则用例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78"/>
        <w:gridCol w:w="3432"/>
        <w:gridCol w:w="2636"/>
        <w:gridCol w:w="1480"/>
      </w:tblGrid>
      <w:tr>
        <w:trPr>
          <w:tblHeader w:val="true"/>
        </w:trPr>
        <w:tc>
          <w:tcPr>
            <w:tcW w:type="dxa" w:w="1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用例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输入特征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预期结果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1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UT-C01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5 列、正数 ID、合法行为、有效时间戳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输出 9 个字段并派生时间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UT-C02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列数不等于 5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sz w:val="18"/>
              </w:rPr>
              <w:t>bad_column_count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UT-C03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ID 或时间戳不可转换为整数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sz w:val="18"/>
              </w:rPr>
              <w:t>bad_type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UT-C04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任一 ID 小于等于 0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sz w:val="18"/>
              </w:rPr>
              <w:t>non_positive_id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UT-C05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行为不属于四种枚举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sz w:val="18"/>
              </w:rPr>
              <w:t>bad_behavior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UT-C06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时间戳小于等于 0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sz w:val="18"/>
              </w:rPr>
              <w:t>bad_timestamp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4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UT-C07</w:t>
            </w:r>
          </w:p>
        </w:tc>
        <w:tc>
          <w:tcPr>
            <w:tcW w:type="dxa" w:w="34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日期超出 2017-11-25 至 2017-12-03</w:t>
            </w:r>
          </w:p>
        </w:tc>
        <w:tc>
          <w:tcPr>
            <w:tcW w:type="dxa" w:w="2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返回 </w:t>
            </w:r>
            <w:r>
              <w:rPr>
                <w:rFonts w:ascii="Consolas" w:hAnsi="Consolas" w:eastAsia="Microsoft YaHei"/>
                <w:sz w:val="18"/>
              </w:rPr>
              <w:t>out_of_range_time</w:t>
            </w:r>
          </w:p>
        </w:tc>
        <w:tc>
          <w:tcPr>
            <w:tcW w:type="dxa" w:w="1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 xml:space="preserve">这些规则直接对应 </w:t>
      </w:r>
      <w:r>
        <w:rPr>
          <w:rFonts w:ascii="Consolas" w:hAnsi="Consolas" w:eastAsia="Microsoft YaHei"/>
        </w:rPr>
        <w:t>parse_row</w:t>
      </w:r>
      <w:r>
        <w:rPr>
          <w:rFonts w:ascii="Calibri" w:hAnsi="Calibri" w:eastAsia="Microsoft YaHei"/>
        </w:rPr>
        <w:t xml:space="preserve"> 的分支，且生产清洗输出会汇总各类跳过原因。</w:t>
      </w:r>
    </w:p>
    <w:p>
      <w:pPr>
        <w:pStyle w:val="Heading2"/>
      </w:pPr>
      <w:r>
        <w:t>4.2 实时聚合用例</w:t>
      </w:r>
    </w:p>
    <w:p>
      <w:pPr>
        <w:widowControl/>
      </w:pPr>
      <w:r>
        <w:rPr>
          <w:rFonts w:ascii="Calibri" w:hAnsi="Calibri" w:eastAsia="Microsoft YaHei"/>
        </w:rPr>
        <w:t>测试构造 6 条事件，全部落入同一个 5 分钟窗口：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707"/>
        <w:gridCol w:w="2707"/>
        <w:gridCol w:w="3612"/>
      </w:tblGrid>
      <w:tr>
        <w:trPr>
          <w:tblHeader w:val="true"/>
        </w:trPr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行为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输入数量</w:t>
            </w:r>
          </w:p>
        </w:tc>
        <w:tc>
          <w:tcPr>
            <w:tcW w:type="dxa" w:w="3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预期聚合</w:t>
            </w:r>
          </w:p>
        </w:tc>
      </w:tr>
      <w:tr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pv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3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pv=2</w:t>
            </w:r>
          </w:p>
        </w:tc>
      </w:tr>
      <w:tr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fav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3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fav_cnt=1</w:t>
            </w:r>
          </w:p>
        </w:tc>
      </w:tr>
      <w:tr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cart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1</w:t>
            </w:r>
          </w:p>
        </w:tc>
        <w:tc>
          <w:tcPr>
            <w:tcW w:type="dxa" w:w="3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cart_cnt=1</w:t>
            </w:r>
          </w:p>
        </w:tc>
      </w:tr>
      <w:tr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buy</w:t>
            </w:r>
          </w:p>
        </w:tc>
        <w:tc>
          <w:tcPr>
            <w:tcW w:type="dxa" w:w="27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3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8"/>
              </w:rPr>
              <w:t>buy_cnt=2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>测试断言窗口数量为 1，四个指标均等于预期值。</w:t>
      </w:r>
      <w:r>
        <w:rPr>
          <w:rFonts w:ascii="Consolas" w:hAnsi="Consolas" w:eastAsia="Microsoft YaHei"/>
        </w:rPr>
        <w:t>UserBehaviorRealtimeSmokeTest</w:t>
      </w:r>
      <w:r>
        <w:rPr>
          <w:rFonts w:ascii="Calibri" w:hAnsi="Calibri" w:eastAsia="Microsoft YaHei"/>
        </w:rPr>
        <w:t xml:space="preserve"> 执行通过。</w:t>
      </w:r>
    </w:p>
    <w:p>
      <w:pPr>
        <w:pStyle w:val="Heading2"/>
      </w:pPr>
      <w:r>
        <w:t>4.3 异常预警用例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195"/>
        <w:gridCol w:w="1195"/>
        <w:gridCol w:w="1195"/>
        <w:gridCol w:w="1374"/>
        <w:gridCol w:w="1195"/>
        <w:gridCol w:w="1671"/>
        <w:gridCol w:w="1201"/>
      </w:tblGrid>
      <w:tr>
        <w:trPr>
          <w:tblHeader w:val="true"/>
        </w:trPr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用例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当前 PV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购买</w:t>
            </w:r>
          </w:p>
        </w:tc>
        <w:tc>
          <w:tcPr>
            <w:tcW w:type="dxa" w:w="1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上一窗口 PV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最低流量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预期</w:t>
            </w:r>
          </w:p>
        </w:tc>
        <w:tc>
          <w:tcPr>
            <w:tcW w:type="dxa" w:w="1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</w:t>
            </w:r>
          </w:p>
        </w:tc>
      </w:tr>
      <w:tr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UT-A01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1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traffic_spike</w:t>
            </w:r>
          </w:p>
        </w:tc>
        <w:tc>
          <w:tcPr>
            <w:tcW w:type="dxa" w:w="1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通过</w:t>
            </w:r>
          </w:p>
        </w:tc>
      </w:tr>
      <w:tr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UT-A02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1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20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traffic_drop</w:t>
            </w:r>
          </w:p>
        </w:tc>
        <w:tc>
          <w:tcPr>
            <w:tcW w:type="dxa" w:w="1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通过</w:t>
            </w:r>
          </w:p>
        </w:tc>
      </w:tr>
      <w:tr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UT-A03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0</w:t>
            </w:r>
          </w:p>
        </w:tc>
        <w:tc>
          <w:tcPr>
            <w:tcW w:type="dxa" w:w="1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无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low_traffic</w:t>
            </w:r>
          </w:p>
        </w:tc>
        <w:tc>
          <w:tcPr>
            <w:tcW w:type="dxa" w:w="1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通过</w:t>
            </w:r>
          </w:p>
        </w:tc>
      </w:tr>
      <w:tr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UT-A04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200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1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150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low_conversion</w:t>
            </w:r>
          </w:p>
        </w:tc>
        <w:tc>
          <w:tcPr>
            <w:tcW w:type="dxa" w:w="1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通过</w:t>
            </w:r>
          </w:p>
        </w:tc>
      </w:tr>
      <w:tr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UT-A05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100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13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100</w:t>
            </w:r>
          </w:p>
        </w:tc>
        <w:tc>
          <w:tcPr>
            <w:tcW w:type="dxa" w:w="11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1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onsolas" w:hAnsi="Consolas" w:eastAsia="Microsoft YaHei"/>
                <w:sz w:val="17"/>
              </w:rPr>
              <w:t>normal</w:t>
            </w:r>
          </w:p>
        </w:tc>
        <w:tc>
          <w:tcPr>
            <w:tcW w:type="dxa" w:w="1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7"/>
              </w:rPr>
              <w:t>通过</w:t>
            </w:r>
          </w:p>
        </w:tc>
      </w:tr>
    </w:tbl>
    <w:p>
      <w:pPr>
        <w:spacing w:after="20"/>
      </w:pPr>
    </w:p>
    <w:p>
      <w:pPr>
        <w:pStyle w:val="Heading1"/>
      </w:pPr>
      <w:r>
        <w:t>5. 离线分析验证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85"/>
        <w:gridCol w:w="3094"/>
        <w:gridCol w:w="2058"/>
        <w:gridCol w:w="1389"/>
      </w:tblGrid>
      <w:tr>
        <w:trPr>
          <w:tblHeader w:val="true"/>
        </w:trPr>
        <w:tc>
          <w:tcPr>
            <w:tcW w:type="dxa" w:w="2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3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方法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预期</w:t>
            </w:r>
          </w:p>
        </w:tc>
        <w:tc>
          <w:tcPr>
            <w:tcW w:type="dxa" w:w="1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2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4 个分析作业编译</w:t>
            </w:r>
          </w:p>
        </w:tc>
        <w:tc>
          <w:tcPr>
            <w:tcW w:type="dxa" w:w="3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Spark 2.4.6/Scala 2.11 目标编译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无编译错误</w:t>
            </w:r>
          </w:p>
        </w:tc>
        <w:tc>
          <w:tcPr>
            <w:tcW w:type="dxa" w:w="1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2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全部主/测试 Scala 源码编译</w:t>
            </w:r>
          </w:p>
        </w:tc>
        <w:tc>
          <w:tcPr>
            <w:tcW w:type="dxa" w:w="3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编译 13 个 Scala 源文件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无编译错误</w:t>
            </w:r>
          </w:p>
        </w:tc>
        <w:tc>
          <w:tcPr>
            <w:tcW w:type="dxa" w:w="1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2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SQL 语法</w:t>
            </w:r>
          </w:p>
        </w:tc>
        <w:tc>
          <w:tcPr>
            <w:tcW w:type="dxa" w:w="3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Spark 3.5 Catalyst 解析生产和测试 SQL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29 条语句全部可解析</w:t>
            </w:r>
          </w:p>
        </w:tc>
        <w:tc>
          <w:tcPr>
            <w:tcW w:type="dxa" w:w="1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2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漏斗结果</w:t>
            </w:r>
          </w:p>
        </w:tc>
        <w:tc>
          <w:tcPr>
            <w:tcW w:type="dxa" w:w="3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查询正式表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3 行，阶段顺序 1-3</w:t>
            </w:r>
          </w:p>
        </w:tc>
        <w:tc>
          <w:tcPr>
            <w:tcW w:type="dxa" w:w="1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2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小时结果</w:t>
            </w:r>
          </w:p>
        </w:tc>
        <w:tc>
          <w:tcPr>
            <w:tcW w:type="dxa" w:w="3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查询正式表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24 行，小时 0-23</w:t>
            </w:r>
          </w:p>
        </w:tc>
        <w:tc>
          <w:tcPr>
            <w:tcW w:type="dxa" w:w="1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2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类目结果</w:t>
            </w:r>
          </w:p>
        </w:tc>
        <w:tc>
          <w:tcPr>
            <w:tcW w:type="dxa" w:w="3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查询正式表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20 行，排名 1-20</w:t>
            </w:r>
          </w:p>
        </w:tc>
        <w:tc>
          <w:tcPr>
            <w:tcW w:type="dxa" w:w="1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2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活跃结果</w:t>
            </w:r>
          </w:p>
        </w:tc>
        <w:tc>
          <w:tcPr>
            <w:tcW w:type="dxa" w:w="30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查询正式表</w:t>
            </w:r>
          </w:p>
        </w:tc>
        <w:tc>
          <w:tcPr>
            <w:tcW w:type="dxa" w:w="20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9 行，活跃天数 1-9</w:t>
            </w:r>
          </w:p>
        </w:tc>
        <w:tc>
          <w:tcPr>
            <w:tcW w:type="dxa" w:w="13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>离线分析属于 SQL 数据作业，当前自动化主要覆盖编译、SQL 解析、结果表结构和线上结果核对。完整业务数值以正式 MySQL 结果和动态报表为集成验收证据。</w:t>
      </w:r>
    </w:p>
    <w:p>
      <w:pPr>
        <w:pStyle w:val="Heading1"/>
      </w:pPr>
      <w:r>
        <w:t>6. 数据库与页面验收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583"/>
        <w:gridCol w:w="3464"/>
        <w:gridCol w:w="3979"/>
      </w:tblGrid>
      <w:tr>
        <w:trPr>
          <w:tblHeader w:val="true"/>
        </w:trPr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3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检查</w:t>
            </w:r>
          </w:p>
        </w:tc>
        <w:tc>
          <w:tcPr>
            <w:tcW w:type="dxa" w:w="3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验收结果</w:t>
            </w:r>
          </w:p>
        </w:tc>
      </w:tr>
      <w:tr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IT-01</w:t>
            </w:r>
          </w:p>
        </w:tc>
        <w:tc>
          <w:tcPr>
            <w:tcW w:type="dxa" w:w="3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 xml:space="preserve">数据库仅保留项目所需 </w:t>
            </w:r>
            <w:r>
              <w:rPr>
                <w:rFonts w:ascii="Consolas" w:hAnsi="Consolas" w:eastAsia="Microsoft YaHei"/>
                <w:sz w:val="18"/>
              </w:rPr>
              <w:t>lb_*</w:t>
            </w:r>
            <w:r>
              <w:rPr>
                <w:rFonts w:ascii="Calibri" w:hAnsi="Calibri" w:eastAsia="Microsoft YaHei"/>
                <w:sz w:val="18"/>
              </w:rPr>
              <w:t xml:space="preserve"> 表</w:t>
            </w:r>
          </w:p>
        </w:tc>
        <w:tc>
          <w:tcPr>
            <w:tcW w:type="dxa" w:w="3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通过：4 张离线 + 2 张实时</w:t>
            </w:r>
          </w:p>
        </w:tc>
      </w:tr>
      <w:tr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IT-02</w:t>
            </w:r>
          </w:p>
        </w:tc>
        <w:tc>
          <w:tcPr>
            <w:tcW w:type="dxa" w:w="3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实时指标表字段</w:t>
            </w:r>
          </w:p>
        </w:tc>
        <w:tc>
          <w:tcPr>
            <w:tcW w:type="dxa" w:w="3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通过：9 个请求/运行字段</w:t>
            </w:r>
          </w:p>
        </w:tc>
      </w:tr>
      <w:tr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IT-03</w:t>
            </w:r>
          </w:p>
        </w:tc>
        <w:tc>
          <w:tcPr>
            <w:tcW w:type="dxa" w:w="3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报告 #15-#19 均可加载</w:t>
            </w:r>
          </w:p>
        </w:tc>
        <w:tc>
          <w:tcPr>
            <w:tcW w:type="dxa" w:w="3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IT-04</w:t>
            </w:r>
          </w:p>
        </w:tc>
        <w:tc>
          <w:tcPr>
            <w:tcW w:type="dxa" w:w="3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每个报告只保留一张核心图</w:t>
            </w:r>
          </w:p>
        </w:tc>
        <w:tc>
          <w:tcPr>
            <w:tcW w:type="dxa" w:w="3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IT-05</w:t>
            </w:r>
          </w:p>
        </w:tc>
        <w:tc>
          <w:tcPr>
            <w:tcW w:type="dxa" w:w="3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报表文本无中文序号前缀</w:t>
            </w:r>
          </w:p>
        </w:tc>
        <w:tc>
          <w:tcPr>
            <w:tcW w:type="dxa" w:w="3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IT-06</w:t>
            </w:r>
          </w:p>
        </w:tc>
        <w:tc>
          <w:tcPr>
            <w:tcW w:type="dxa" w:w="3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报告 #19 只公开四项行为指标</w:t>
            </w:r>
          </w:p>
        </w:tc>
        <w:tc>
          <w:tcPr>
            <w:tcW w:type="dxa" w:w="3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通过：</w:t>
            </w:r>
            <w:r>
              <w:rPr>
                <w:rFonts w:ascii="Consolas" w:hAnsi="Consolas" w:eastAsia="Microsoft YaHei"/>
                <w:sz w:val="18"/>
              </w:rPr>
              <w:t>window_start,pv,fav_cnt,cart_cnt,buy_cnt</w:t>
            </w:r>
          </w:p>
        </w:tc>
      </w:tr>
      <w:tr>
        <w:tc>
          <w:tcPr>
            <w:tcW w:type="dxa" w:w="15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IT-07</w:t>
            </w:r>
          </w:p>
        </w:tc>
        <w:tc>
          <w:tcPr>
            <w:tcW w:type="dxa" w:w="3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凭据与陈旧字段扫描</w:t>
            </w:r>
          </w:p>
        </w:tc>
        <w:tc>
          <w:tcPr>
            <w:tcW w:type="dxa" w:w="3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通过：未发现已知连接密码或无关实时字段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Calibri" w:hAnsi="Calibri" w:eastAsia="Microsoft YaHei"/>
        </w:rPr>
        <w:t xml:space="preserve">对应持久化验证报告为 </w:t>
      </w:r>
      <w:r>
        <w:rPr>
          <w:rFonts w:ascii="Consolas" w:hAnsi="Consolas" w:eastAsia="Microsoft YaHei"/>
        </w:rPr>
        <w:t>ver_20260629_154510_f2b82eb3</w:t>
      </w:r>
      <w:r>
        <w:rPr>
          <w:rFonts w:ascii="Calibri" w:hAnsi="Calibri" w:eastAsia="Microsoft YaHei"/>
        </w:rPr>
        <w:t>，结果为 5 项通过、0 项失败、0 项阻塞。</w:t>
      </w:r>
    </w:p>
    <w:p>
      <w:pPr>
        <w:pStyle w:val="Heading1"/>
      </w:pPr>
      <w:r>
        <w:t>7. 缺陷与修复记录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573"/>
        <w:gridCol w:w="2319"/>
        <w:gridCol w:w="2725"/>
        <w:gridCol w:w="1409"/>
      </w:tblGrid>
      <w:tr>
        <w:trPr>
          <w:tblHeader w:val="true"/>
        </w:trPr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影响</w:t>
            </w:r>
          </w:p>
        </w:tc>
        <w:tc>
          <w:tcPr>
            <w:tcW w:type="dxa" w:w="27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修复</w:t>
            </w:r>
          </w:p>
        </w:tc>
        <w:tc>
          <w:tcPr>
            <w:tcW w:type="dxa" w:w="1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Microsoft YaHei"/>
                <w:b/>
                <w:color w:val="1F4D78"/>
                <w:sz w:val="18"/>
              </w:rPr>
              <w:t>回归结果</w:t>
            </w:r>
          </w:p>
        </w:tc>
      </w:tr>
      <w:tr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离线报告包含多个图，信息过多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答辩重点不清</w:t>
            </w:r>
          </w:p>
        </w:tc>
        <w:tc>
          <w:tcPr>
            <w:tcW w:type="dxa" w:w="27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每个报告只保留一张核心图</w:t>
            </w:r>
          </w:p>
        </w:tc>
        <w:tc>
          <w:tcPr>
            <w:tcW w:type="dxa" w:w="1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报表文本有“一、二”等序号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与最终展示要求不符</w:t>
            </w:r>
          </w:p>
        </w:tc>
        <w:tc>
          <w:tcPr>
            <w:tcW w:type="dxa" w:w="27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删除段落序号前缀</w:t>
            </w:r>
          </w:p>
        </w:tc>
        <w:tc>
          <w:tcPr>
            <w:tcW w:type="dxa" w:w="1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数据库存在 15 张无用表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表结构冗余、易误用</w:t>
            </w:r>
          </w:p>
        </w:tc>
        <w:tc>
          <w:tcPr>
            <w:tcW w:type="dxa" w:w="27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经确认删除，只保留 6 张项目表</w:t>
            </w:r>
          </w:p>
        </w:tc>
        <w:tc>
          <w:tcPr>
            <w:tcW w:type="dxa" w:w="1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实时报告包含无关分析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偏离需求</w:t>
            </w:r>
          </w:p>
        </w:tc>
        <w:tc>
          <w:tcPr>
            <w:tcW w:type="dxa" w:w="27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只保留四类行为和异常预警</w:t>
            </w:r>
          </w:p>
        </w:tc>
        <w:tc>
          <w:tcPr>
            <w:tcW w:type="dxa" w:w="1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通过</w:t>
            </w:r>
          </w:p>
        </w:tc>
      </w:tr>
      <w:tr>
        <w:tc>
          <w:tcPr>
            <w:tcW w:type="dxa" w:w="257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本地 Windows Hive NativeIO 不兼容</w:t>
            </w:r>
          </w:p>
        </w:tc>
        <w:tc>
          <w:tcPr>
            <w:tcW w:type="dxa" w:w="23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本地完整 Hive smoke 无法执行</w:t>
            </w:r>
          </w:p>
        </w:tc>
        <w:tc>
          <w:tcPr>
            <w:tcW w:type="dxa" w:w="27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改用兼容编译、SQL 解析、集群结果和线上报表联合验证</w:t>
            </w:r>
          </w:p>
        </w:tc>
        <w:tc>
          <w:tcPr>
            <w:tcW w:type="dxa" w:w="14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eastAsia="Microsoft YaHei"/>
                <w:sz w:val="18"/>
              </w:rPr>
              <w:t>已记录限制</w:t>
            </w:r>
          </w:p>
        </w:tc>
      </w:tr>
    </w:tbl>
    <w:p>
      <w:pPr>
        <w:spacing w:after="20"/>
      </w:pPr>
    </w:p>
    <w:p>
      <w:pPr>
        <w:pStyle w:val="Heading1"/>
      </w:pPr>
      <w:r>
        <w:t>8. 覆盖结论与剩余风险</w:t>
      </w:r>
    </w:p>
    <w:p>
      <w:pPr>
        <w:widowControl/>
      </w:pPr>
      <w:r>
        <w:rPr>
          <w:rFonts w:ascii="Calibri" w:hAnsi="Calibri" w:eastAsia="Microsoft YaHei"/>
        </w:rPr>
        <w:t xml:space="preserve">实时核心逻辑具有明确的输入输出断言，四类行为和五种告警状态全部覆盖。离线部分完成了兼容编译、29 条 SQL 解析、正式表行数和报表核对。Windows 本地 Hive smoke 曾因原生 Hadoop 库报 </w:t>
      </w:r>
      <w:r>
        <w:rPr>
          <w:rFonts w:ascii="Consolas" w:hAnsi="Consolas" w:eastAsia="Microsoft YaHei"/>
        </w:rPr>
        <w:t>NativeIO$POSIX.stat</w:t>
      </w:r>
      <w:r>
        <w:rPr>
          <w:rFonts w:ascii="Calibri" w:hAnsi="Calibri" w:eastAsia="Microsoft YaHei"/>
        </w:rPr>
        <w:t xml:space="preserve"> 阻塞，该问题属于本地运行环境限制，不是 SQL 解析或 Scala 编译失败；生产兼容环境和线上结果已提供替代证据。</w:t>
      </w:r>
    </w:p>
    <w:p>
      <w:pPr>
        <w:widowControl/>
      </w:pPr>
      <w:r>
        <w:rPr>
          <w:rFonts w:ascii="Calibri" w:hAnsi="Calibri" w:eastAsia="Microsoft YaHei"/>
        </w:rPr>
        <w:t>尚未覆盖的风险为多节点故障、长时间流式运行和全量数据性能。对本学期项目验收范围，现有测试结果满足交付条件。</w:t>
      </w:r>
    </w:p>
    <w:p>
      <w:pPr>
        <w:pStyle w:val="Heading1"/>
      </w:pPr>
      <w:r>
        <w:t>9. 测试结论</w:t>
      </w:r>
    </w:p>
    <w:p>
      <w:pPr>
        <w:widowControl/>
      </w:pPr>
      <w:r>
        <w:rPr>
          <w:rFonts w:ascii="Calibri" w:hAnsi="Calibri" w:eastAsia="Microsoft YaHei"/>
        </w:rPr>
        <w:t>LuckyAnJun 个人工作包测试结论为“通过”。最终代码可编译，离线 SQL 可解析，实时聚合和告警断言通过，数据库和动态报表结构与需求一致，未发现阻止提交的缺陷。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667085"/>
        <w:sz w:val="18"/>
      </w:rPr>
      <w:t>Spark 项目设计  |  LuckyAnJun 个人工作包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Microsoft YaHei"/>
      <w:b w:val="0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720" w:hanging="360"/>
      <w:contextualSpacing/>
    </w:pPr>
    <w:rPr>
      <w:rFonts w:ascii="Calibri" w:hAnsi="Calibri" w:eastAsia="Microsoft YaHei"/>
      <w:b w:val="0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单元测试报告</dc:title>
  <dc:subject>2026 年第 6 学期 Spark 项目收尾文档</dc:subject>
  <dc:creator>LuckyAnJun</dc:creator>
  <cp:keywords>Spark, UserBehavior, LuckyAnJun, 项目文档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