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0633" w14:textId="5A1CF0AE" w:rsidR="00111727" w:rsidRDefault="00111727">
      <w:r>
        <w:t xml:space="preserve">During Milestone 3, I, as well as other members, work extensively during the brainstorm phase to determine our pipeline. I suggested the data ingestion approach and wrote about it in the Design paper. In addition to data ingestion, I also wrote about the Page Rank algorithm portion of the paper. This included the diagram for it as well. </w:t>
      </w:r>
    </w:p>
    <w:sectPr w:rsidR="00111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27"/>
    <w:rsid w:val="00111727"/>
    <w:rsid w:val="0011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4073"/>
  <w15:chartTrackingRefBased/>
  <w15:docId w15:val="{8869CFCB-EE05-4C25-A0ED-F76A2C64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Bundu, Vanday</dc:creator>
  <cp:keywords/>
  <dc:description/>
  <cp:lastModifiedBy>Vanday Bundu</cp:lastModifiedBy>
  <cp:revision>2</cp:revision>
  <dcterms:created xsi:type="dcterms:W3CDTF">2023-10-28T02:32:00Z</dcterms:created>
  <dcterms:modified xsi:type="dcterms:W3CDTF">2023-12-15T04:33:00Z</dcterms:modified>
</cp:coreProperties>
</file>