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Memo — NVIDIA Corporation (NVDA)</w:t>
      </w:r>
    </w:p>
    <w:p>
      <w:pPr>
        <w:pStyle w:val="Heading1"/>
      </w:pPr>
      <w:r>
        <w:t>Assessment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Assessment Type</w:t>
            </w:r>
          </w:p>
        </w:tc>
        <w:tc>
          <w:tcPr>
            <w:tcW w:type="dxa" w:w="4320"/>
          </w:tcPr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2026-03-26 21:26:19 UTC</w:t>
            </w:r>
          </w:p>
        </w:tc>
      </w:tr>
      <w:tr>
        <w:tc>
          <w:tcPr>
            <w:tcW w:type="dxa" w:w="4320"/>
          </w:tcPr>
          <w:p>
            <w:r>
              <w:t>Completed At</w:t>
            </w:r>
          </w:p>
        </w:tc>
        <w:tc>
          <w:tcPr>
            <w:tcW w:type="dxa" w:w="4320"/>
          </w:tcPr>
          <w:p>
            <w:r>
              <w:t>2026-03-26 21:26:44 UTC</w:t>
            </w:r>
          </w:p>
        </w:tc>
      </w:tr>
    </w:tbl>
    <w:p>
      <w:pPr>
        <w:pStyle w:val="Heading1"/>
      </w:pPr>
      <w:r>
        <w:t>Org-AI-R 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Org-AI-R Score</w:t>
            </w:r>
          </w:p>
        </w:tc>
        <w:tc>
          <w:tcPr>
            <w:tcW w:type="dxa" w:w="4320"/>
          </w:tcPr>
          <w:p>
            <w:r>
              <w:t>85.5</w:t>
            </w:r>
          </w:p>
        </w:tc>
      </w:tr>
      <w:tr>
        <w:tc>
          <w:tcPr>
            <w:tcW w:type="dxa" w:w="4320"/>
          </w:tcPr>
          <w:p>
            <w:r>
              <w:t>VR Score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HR Score</w:t>
            </w:r>
          </w:p>
        </w:tc>
        <w:tc>
          <w:tcPr>
            <w:tcW w:type="dxa" w:w="4320"/>
          </w:tcPr>
          <w:p>
            <w:r>
              <w:t>99.6</w:t>
            </w:r>
          </w:p>
        </w:tc>
      </w:tr>
      <w:tr>
        <w:tc>
          <w:tcPr>
            <w:tcW w:type="dxa" w:w="4320"/>
          </w:tcPr>
          <w:p>
            <w:r>
              <w:t>Synergy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t>HITL Approval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Requires Approval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exercise_auto_approve</w:t>
            </w:r>
          </w:p>
        </w:tc>
      </w:tr>
    </w:tbl>
    <w:p>
      <w:pPr>
        <w:pStyle w:val="Heading1"/>
      </w:pPr>
      <w:r>
        <w:t>Evidence Justifications</w:t>
      </w:r>
    </w:p>
    <w:p>
      <w:pPr>
        <w:pStyle w:val="Heading2"/>
      </w:pPr>
      <w:r>
        <w:t>Data Infrastructure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Evidence Strength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</w:tbl>
    <w:p>
      <w:r>
        <w:t>Evaluates cloud data-platform maturity, ETL pipeline sophistication, data-lake / warehouse architecture, and readiness to serve ML workloads.</w:t>
      </w:r>
    </w:p>
    <w:p>
      <w:pPr>
        <w:pStyle w:val="Heading2"/>
      </w:pPr>
      <w:r>
        <w:t>Talent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88.7</w:t>
            </w:r>
          </w:p>
        </w:tc>
      </w:tr>
      <w:tr>
        <w:tc>
          <w:tcPr>
            <w:tcW w:type="dxa" w:w="4320"/>
          </w:tcPr>
          <w:p>
            <w:r>
              <w:t>Evidence Strength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</w:tbl>
    <w:p>
      <w:r>
        <w:t>Measures AI/ML hiring velocity, engineering density, retention signals, and technical bench strength across data-science and AI roles.</w:t>
      </w:r>
    </w:p>
    <w:p>
      <w:pPr>
        <w:pStyle w:val="Heading2"/>
      </w:pPr>
      <w:r>
        <w:t>Use Case Portfolio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88.6</w:t>
            </w:r>
          </w:p>
        </w:tc>
      </w:tr>
      <w:tr>
        <w:tc>
          <w:tcPr>
            <w:tcW w:type="dxa" w:w="4320"/>
          </w:tcPr>
          <w:p>
            <w:r>
              <w:t>Evidence Strength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</w:tbl>
    <w:p>
      <w:r>
        <w:t>Catalogues live AI/ML applications, product integrations, revenue-generating models, and automation initiatives across business lines.</w:t>
      </w:r>
    </w:p>
    <w:p>
      <w:pPr>
        <w:pStyle w:val="Heading1"/>
      </w:pPr>
      <w:r>
        <w:t>Value Creation Plan</w:t>
      </w:r>
    </w:p>
    <w:p>
      <w:pPr>
        <w:pStyle w:val="ListBullet"/>
      </w:pPr>
      <w:r>
        <w:rPr>
          <w:b/>
        </w:rPr>
        <w:t xml:space="preserve">Target Org Air: </w:t>
      </w:r>
      <w:r>
        <w:t>80.0</w:t>
      </w:r>
    </w:p>
    <w:p>
      <w:pPr>
        <w:pStyle w:val="ListBullet"/>
      </w:pPr>
      <w:r>
        <w:rPr>
          <w:b/>
        </w:rPr>
        <w:t xml:space="preserve">Gap Count: </w:t>
      </w:r>
      <w:r>
        <w:t>0</w:t>
      </w:r>
    </w:p>
    <w:p>
      <w:pPr>
        <w:pStyle w:val="ListBullet"/>
      </w:pPr>
      <w:r>
        <w:rPr>
          <w:b/>
        </w:rPr>
        <w:t xml:space="preserve">Top Priority: </w:t>
      </w:r>
      <w:r>
        <w:t>Low</w:t>
      </w:r>
    </w:p>
    <w:p>
      <w:pPr>
        <w:pStyle w:val="ListBullet"/>
      </w:pPr>
      <w:r>
        <w:rPr>
          <w:b/>
        </w:rPr>
        <w:t xml:space="preserve">Estimated Investment: </w:t>
      </w:r>
      <w:r>
        <w:t>$50K – $150K</w:t>
      </w:r>
    </w:p>
    <w:p>
      <w:pPr>
        <w:pStyle w:val="ListBullet"/>
      </w:pPr>
      <w:r>
        <w:rPr>
          <w:b/>
        </w:rPr>
        <w:t xml:space="preserve">Projected Ebitda Pct: </w:t>
      </w:r>
      <w:r>
        <w:t>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