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March 26, 2026</w:t>
      </w:r>
    </w:p>
    <w:p/>
    <w:p>
      <w:r>
        <w:t>To Our Limited Partners,</w:t>
      </w:r>
    </w:p>
    <w:p/>
    <w:p>
      <w:r>
        <w:rPr>
          <w:b/>
        </w:rPr>
        <w:t>Re: Portfolio Update — NVIDIA Corporation (NVDA)</w:t>
      </w:r>
    </w:p>
    <w:p/>
    <w:p>
      <w:r>
        <w:t>We are pleased to provide you with an update on our due diligence assessment of NVIDIA Corporation. The following letter summarises the key findings from our Org-AI-R evaluation and our forward-looking value creation thesis.</w:t>
      </w:r>
    </w:p>
    <w:p/>
    <w:p>
      <w:pPr>
        <w:pStyle w:val="Heading1"/>
      </w:pPr>
      <w:r>
        <w:t>Org-AI-R Assessment</w:t>
      </w:r>
    </w:p>
    <w:tbl>
      <w:tblPr>
        <w:tblStyle w:val="LightList-Accent1"/>
        <w:tblW w:type="auto" w:w="0"/>
        <w:tblLook w:firstColumn="1" w:firstRow="1" w:lastColumn="0" w:lastRow="0" w:noHBand="0" w:noVBand="1" w:val="04A0"/>
      </w:tblPr>
      <w:tblGrid>
        <w:gridCol w:w="4320"/>
        <w:gridCol w:w="4320"/>
      </w:tblGrid>
      <w:tr>
        <w:tc>
          <w:tcPr>
            <w:tcW w:type="dxa" w:w="4320"/>
          </w:tcPr>
          <w:p>
            <w:r>
              <w:t>Org-AI-R Score</w:t>
            </w:r>
          </w:p>
        </w:tc>
        <w:tc>
          <w:tcPr>
            <w:tcW w:type="dxa" w:w="4320"/>
          </w:tcPr>
          <w:p>
            <w:r>
              <w:t>85.5</w:t>
            </w:r>
          </w:p>
        </w:tc>
      </w:tr>
      <w:tr>
        <w:tc>
          <w:tcPr>
            <w:tcW w:type="dxa" w:w="4320"/>
          </w:tcPr>
          <w:p>
            <w:r>
              <w:t>Value Readiness (VR)</w:t>
            </w:r>
          </w:p>
        </w:tc>
        <w:tc>
          <w:tcPr>
            <w:tcW w:type="dxa" w:w="4320"/>
          </w:tcPr>
          <w:p>
            <w:r>
              <w:t>78.0</w:t>
            </w:r>
          </w:p>
        </w:tc>
      </w:tr>
      <w:tr>
        <w:tc>
          <w:tcPr>
            <w:tcW w:type="dxa" w:w="4320"/>
          </w:tcPr>
          <w:p>
            <w:r>
              <w:t>Human Readiness (HR)</w:t>
            </w:r>
          </w:p>
        </w:tc>
        <w:tc>
          <w:tcPr>
            <w:tcW w:type="dxa" w:w="4320"/>
          </w:tcPr>
          <w:p>
            <w:r>
              <w:t>99.6</w:t>
            </w:r>
          </w:p>
        </w:tc>
      </w:tr>
      <w:tr>
        <w:tc>
          <w:tcPr>
            <w:tcW w:type="dxa" w:w="4320"/>
          </w:tcPr>
          <w:p>
            <w:r>
              <w:t>Synergy Score</w:t>
            </w:r>
          </w:p>
        </w:tc>
        <w:tc>
          <w:tcPr>
            <w:tcW w:type="dxa" w:w="4320"/>
          </w:tcPr>
          <w:p>
            <w:r>
              <w:t>N/A</w:t>
            </w:r>
          </w:p>
        </w:tc>
      </w:tr>
    </w:tbl>
    <w:p/>
    <w:p>
      <w:pPr>
        <w:pStyle w:val="Heading2"/>
      </w:pPr>
      <w:r>
        <w:t>Investment Thesis</w:t>
      </w:r>
    </w:p>
    <w:p>
      <w:r>
        <w:t>With an Org-AI-R score of 85.5, the company demonstrates exceptional organisational AI readiness. We have high conviction in its ability to deploy AI at scale, accelerate margin expansion, and sustain competitive differentiation over our investment horizon.</w:t>
      </w:r>
    </w:p>
    <w:p/>
    <w:p>
      <w:pPr>
        <w:pStyle w:val="Heading1"/>
      </w:pPr>
      <w:r>
        <w:t>Key Findings</w:t>
      </w:r>
    </w:p>
    <w:p>
      <w:pPr>
        <w:pStyle w:val="Heading2"/>
      </w:pPr>
      <w:r>
        <w:t>Regulatory &amp; Market Intelligence</w:t>
      </w:r>
    </w:p>
    <w:p>
      <w:pPr>
        <w:pStyle w:val="ListBullet"/>
      </w:pPr>
      <w:r>
        <w:rPr>
          <w:b/>
        </w:rPr>
        <w:t xml:space="preserve">[technology_hiring] </w:t>
      </w:r>
      <w:r>
        <w:t>Manager, Government Accounting and Compliance</w:t>
      </w:r>
    </w:p>
    <w:p>
      <w:pPr>
        <w:pStyle w:val="ListBullet"/>
      </w:pPr>
      <w:r>
        <w:rPr>
          <w:b/>
        </w:rPr>
        <w:t xml:space="preserve">[technology_hiring] </w:t>
      </w:r>
      <w:r>
        <w:t>Senior Scientist, Synthetic Data and Privacy</w:t>
      </w:r>
    </w:p>
    <w:p>
      <w:pPr>
        <w:pStyle w:val="ListBullet"/>
      </w:pPr>
      <w:r>
        <w:rPr>
          <w:b/>
        </w:rPr>
        <w:t xml:space="preserve">[digital_presence] </w:t>
      </w:r>
      <w:r>
        <w:t>Tech Marker: CUDA</w:t>
      </w:r>
    </w:p>
    <w:p>
      <w:pPr>
        <w:pStyle w:val="ListBullet"/>
      </w:pPr>
      <w:r>
        <w:rPr>
          <w:b/>
        </w:rPr>
        <w:t xml:space="preserve">[technology_hiring] </w:t>
      </w:r>
      <w:r>
        <w:t>Developer Technology Engineer, CPU Performance - New College Grad 2026</w:t>
      </w:r>
    </w:p>
    <w:p>
      <w:pPr>
        <w:pStyle w:val="ListBullet"/>
      </w:pPr>
      <w:r>
        <w:rPr>
          <w:b/>
        </w:rPr>
        <w:t xml:space="preserve">[digital_presence] </w:t>
      </w:r>
      <w:r>
        <w:t>Tech Marker: KERAS</w:t>
      </w:r>
    </w:p>
    <w:p>
      <w:r>
        <w:t>Dimensions assessed: data_infrastructure, ai_governance, technology_stack.</w:t>
      </w:r>
    </w:p>
    <w:p/>
    <w:p>
      <w:pPr>
        <w:pStyle w:val="Heading2"/>
      </w:pPr>
      <w:r>
        <w:t>Capability Assessment by Dimension</w:t>
      </w:r>
    </w:p>
    <w:p>
      <w:pPr>
        <w:pStyle w:val="ListBullet"/>
      </w:pPr>
      <w:r>
        <w:rPr>
          <w:b/>
        </w:rPr>
        <w:t xml:space="preserve">Data Infrastructure: </w:t>
      </w:r>
      <w:r>
        <w:t>Score 75.0 | Evidence strength: strong</w:t>
      </w:r>
    </w:p>
    <w:p>
      <w:pPr>
        <w:pStyle w:val="ListBullet"/>
      </w:pPr>
      <w:r>
        <w:rPr>
          <w:b/>
        </w:rPr>
        <w:t xml:space="preserve">Talent: </w:t>
      </w:r>
      <w:r>
        <w:t>Score 88.7 | Evidence strength: strong</w:t>
      </w:r>
    </w:p>
    <w:p>
      <w:pPr>
        <w:pStyle w:val="ListBullet"/>
      </w:pPr>
      <w:r>
        <w:rPr>
          <w:b/>
        </w:rPr>
        <w:t xml:space="preserve">Use Case Portfolio: </w:t>
      </w:r>
      <w:r>
        <w:t>Score 88.6 | Evidence strength: strong</w:t>
      </w:r>
    </w:p>
    <w:p/>
    <w:p>
      <w:pPr>
        <w:pStyle w:val="Heading1"/>
      </w:pPr>
      <w:r>
        <w:t>Value Creation Highlights</w:t>
      </w:r>
    </w:p>
    <w:p>
      <w:pPr>
        <w:pStyle w:val="ListBullet"/>
      </w:pPr>
      <w:r>
        <w:rPr>
          <w:b/>
        </w:rPr>
        <w:t xml:space="preserve">Target Org Air: </w:t>
      </w:r>
      <w:r>
        <w:t>80.0</w:t>
      </w:r>
    </w:p>
    <w:p>
      <w:pPr>
        <w:pStyle w:val="ListBullet"/>
      </w:pPr>
      <w:r>
        <w:rPr>
          <w:b/>
        </w:rPr>
        <w:t xml:space="preserve">Gap Count: </w:t>
      </w:r>
      <w:r>
        <w:t>0</w:t>
      </w:r>
    </w:p>
    <w:p>
      <w:pPr>
        <w:pStyle w:val="ListBullet"/>
      </w:pPr>
      <w:r>
        <w:rPr>
          <w:b/>
        </w:rPr>
        <w:t xml:space="preserve">Top Priority: </w:t>
      </w:r>
      <w:r>
        <w:t>Low</w:t>
      </w:r>
    </w:p>
    <w:p>
      <w:pPr>
        <w:pStyle w:val="ListBullet"/>
      </w:pPr>
      <w:r>
        <w:rPr>
          <w:b/>
        </w:rPr>
        <w:t xml:space="preserve">Estimated Investment: </w:t>
      </w:r>
      <w:r>
        <w:t>$50K – $150K</w:t>
      </w:r>
    </w:p>
    <w:p>
      <w:pPr>
        <w:pStyle w:val="ListBullet"/>
      </w:pPr>
      <w:r>
        <w:rPr>
          <w:b/>
        </w:rPr>
        <w:t xml:space="preserve">Projected Ebitda Pct: </w:t>
      </w:r>
      <w:r>
        <w:t>0.0</w:t>
      </w:r>
    </w:p>
    <w:p/>
    <w:p>
      <w:pPr>
        <w:pStyle w:val="Heading1"/>
      </w:pPr>
      <w:r>
        <w:t>Investment Committee Governance</w:t>
      </w:r>
    </w:p>
    <w:p>
      <w:r>
        <w:t>This investment required escalated Investment Committee review. Approval status: approved. Reviewed by: exercise_auto_approve.</w:t>
      </w:r>
    </w:p>
    <w:p/>
    <w:p>
      <w:r>
        <w:t>We remain committed to rigorous, data-driven evaluation of every portfolio company and will continue to update you as our assessment progresses. Please do not hesitate to contact your relationship manager should you have any questions regarding this update.</w:t>
      </w:r>
    </w:p>
    <w:p/>
    <w:p>
      <w:r>
        <w:t>Yours sincerely,</w:t>
      </w:r>
    </w:p>
    <w:p/>
    <w:p>
      <w:r>
        <w:t>The Investment Team</w:t>
      </w:r>
    </w:p>
    <w:p>
      <w:r>
        <w:t>PE Org-AI-R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