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5001" w14:textId="77777777" w:rsidR="00CA0EB7" w:rsidRPr="00CA0EB7" w:rsidRDefault="00CA0EB7" w:rsidP="00CA0EB7">
      <w:pPr>
        <w:pStyle w:val="Heading1"/>
        <w:jc w:val="center"/>
      </w:pPr>
      <w:r w:rsidRPr="00CA0EB7">
        <w:t>Golden Signal Validation Set</w:t>
      </w:r>
    </w:p>
    <w:p w14:paraId="28E84341" w14:textId="6FE21AE5" w:rsidR="00CA0EB7" w:rsidRPr="00CA0EB7" w:rsidRDefault="00CA0EB7" w:rsidP="00CA0EB7">
      <w:pPr>
        <w:rPr>
          <w:rFonts w:ascii="Times New Roman" w:hAnsi="Times New Roman" w:cs="Times New Roman"/>
        </w:rPr>
      </w:pPr>
      <w:proofErr w:type="spellStart"/>
      <w:r w:rsidRPr="00CA0EB7">
        <w:rPr>
          <w:rFonts w:ascii="Times New Roman" w:hAnsi="Times New Roman" w:cs="Times New Roman"/>
        </w:rPr>
        <w:t>MedSignal's</w:t>
      </w:r>
      <w:proofErr w:type="spellEnd"/>
      <w:r w:rsidRPr="00CA0EB7">
        <w:rPr>
          <w:rFonts w:ascii="Times New Roman" w:hAnsi="Times New Roman" w:cs="Times New Roman"/>
        </w:rPr>
        <w:t xml:space="preserve"> evaluation is grounded in a golden signal validation set of ten drug-reaction pairs for which the FDA issued verified regulatory actions between April 2023 and January 2024. These regulatory actions include both standalone Drug Safety Communications (DSCs) proactive public alerts issued by FDA and Safety Labeling Changes (</w:t>
      </w:r>
      <w:proofErr w:type="spellStart"/>
      <w:r w:rsidRPr="00CA0EB7">
        <w:rPr>
          <w:rFonts w:ascii="Times New Roman" w:hAnsi="Times New Roman" w:cs="Times New Roman"/>
        </w:rPr>
        <w:t>SrLCs</w:t>
      </w:r>
      <w:proofErr w:type="spellEnd"/>
      <w:r w:rsidRPr="00CA0EB7">
        <w:rPr>
          <w:rFonts w:ascii="Times New Roman" w:hAnsi="Times New Roman" w:cs="Times New Roman"/>
        </w:rPr>
        <w:t xml:space="preserve">), which represent formal FDA-mandated revisions to prescribing information based on </w:t>
      </w:r>
      <w:proofErr w:type="spellStart"/>
      <w:r w:rsidRPr="00CA0EB7">
        <w:rPr>
          <w:rFonts w:ascii="Times New Roman" w:hAnsi="Times New Roman" w:cs="Times New Roman"/>
        </w:rPr>
        <w:t>postmarket</w:t>
      </w:r>
      <w:proofErr w:type="spellEnd"/>
      <w:r w:rsidRPr="00CA0EB7">
        <w:rPr>
          <w:rFonts w:ascii="Times New Roman" w:hAnsi="Times New Roman" w:cs="Times New Roman"/>
        </w:rPr>
        <w:t xml:space="preserve"> adverse event evidence from FAERS. Both action types constitute confirmed pharmacovigilance ground truth: in each case the FDA reviewed adverse event data, determined a signal warranted regulatory action, and required manufacturers to update safety information accordingly. The ten pairs were selected because their associated signals are present in 2023 FAERS data and because the FDA regulatory action date provides a precise benchmark for measuring detection lead </w:t>
      </w:r>
      <w:proofErr w:type="gramStart"/>
      <w:r w:rsidRPr="00CA0EB7">
        <w:rPr>
          <w:rFonts w:ascii="Times New Roman" w:hAnsi="Times New Roman" w:cs="Times New Roman"/>
        </w:rPr>
        <w:t>time ,</w:t>
      </w:r>
      <w:proofErr w:type="gramEnd"/>
      <w:r w:rsidRPr="00CA0EB7">
        <w:rPr>
          <w:rFonts w:ascii="Times New Roman" w:hAnsi="Times New Roman" w:cs="Times New Roman"/>
        </w:rPr>
        <w:t xml:space="preserve"> the number of days between </w:t>
      </w:r>
      <w:proofErr w:type="spellStart"/>
      <w:r w:rsidRPr="00CA0EB7">
        <w:rPr>
          <w:rFonts w:ascii="Times New Roman" w:hAnsi="Times New Roman" w:cs="Times New Roman"/>
        </w:rPr>
        <w:t>MedSignal's</w:t>
      </w:r>
      <w:proofErr w:type="spellEnd"/>
      <w:r w:rsidRPr="00CA0EB7">
        <w:rPr>
          <w:rFonts w:ascii="Times New Roman" w:hAnsi="Times New Roman" w:cs="Times New Roman"/>
        </w:rPr>
        <w:t xml:space="preserve"> first flag above the PRR threshold and the date the FDA acted. The composition of this validation set may be revised as the project progresses; drugs may be added, removed, or substituted based on data availability, signal quality, and pipeline validation outcomes.</w:t>
      </w:r>
    </w:p>
    <w:tbl>
      <w:tblPr>
        <w:tblStyle w:val="GridTable2"/>
        <w:tblW w:w="9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170"/>
        <w:gridCol w:w="1350"/>
        <w:gridCol w:w="5281"/>
      </w:tblGrid>
      <w:tr w:rsidR="00CA0EB7" w:rsidRPr="00CA0EB7" w14:paraId="0DBDBB8D" w14:textId="77777777" w:rsidTr="00CA0EB7">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14:paraId="7168E695"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Drug</w:t>
            </w:r>
          </w:p>
        </w:tc>
        <w:tc>
          <w:tcPr>
            <w:tcW w:w="1170" w:type="dxa"/>
            <w:tcBorders>
              <w:top w:val="none" w:sz="0" w:space="0" w:color="auto"/>
              <w:left w:val="none" w:sz="0" w:space="0" w:color="auto"/>
              <w:bottom w:val="none" w:sz="0" w:space="0" w:color="auto"/>
              <w:right w:val="none" w:sz="0" w:space="0" w:color="auto"/>
            </w:tcBorders>
            <w:hideMark/>
          </w:tcPr>
          <w:p w14:paraId="6062D764" w14:textId="77777777" w:rsidR="00CA0EB7" w:rsidRPr="00CA0EB7" w:rsidRDefault="00CA0EB7" w:rsidP="00CA0EB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Reaction</w:t>
            </w:r>
          </w:p>
        </w:tc>
        <w:tc>
          <w:tcPr>
            <w:tcW w:w="1350" w:type="dxa"/>
            <w:tcBorders>
              <w:top w:val="none" w:sz="0" w:space="0" w:color="auto"/>
              <w:left w:val="none" w:sz="0" w:space="0" w:color="auto"/>
              <w:bottom w:val="none" w:sz="0" w:space="0" w:color="auto"/>
              <w:right w:val="none" w:sz="0" w:space="0" w:color="auto"/>
            </w:tcBorders>
            <w:hideMark/>
          </w:tcPr>
          <w:p w14:paraId="4AEDFB82" w14:textId="77777777" w:rsidR="00CA0EB7" w:rsidRPr="00CA0EB7" w:rsidRDefault="00CA0EB7" w:rsidP="00CA0EB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Flagged Date</w:t>
            </w:r>
          </w:p>
        </w:tc>
        <w:tc>
          <w:tcPr>
            <w:tcW w:w="5281" w:type="dxa"/>
            <w:tcBorders>
              <w:top w:val="none" w:sz="0" w:space="0" w:color="auto"/>
              <w:left w:val="none" w:sz="0" w:space="0" w:color="auto"/>
              <w:bottom w:val="none" w:sz="0" w:space="0" w:color="auto"/>
            </w:tcBorders>
            <w:hideMark/>
          </w:tcPr>
          <w:p w14:paraId="26D67E73" w14:textId="77777777" w:rsidR="00CA0EB7" w:rsidRPr="00CA0EB7" w:rsidRDefault="00CA0EB7" w:rsidP="00CA0EB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FDA Regulatory Action Link</w:t>
            </w:r>
          </w:p>
        </w:tc>
      </w:tr>
      <w:tr w:rsidR="00CA0EB7" w:rsidRPr="00CA0EB7" w14:paraId="5BD47252" w14:textId="77777777" w:rsidTr="00CA0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2D0C56C"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Dupixent (dupilumab)</w:t>
            </w:r>
          </w:p>
        </w:tc>
        <w:tc>
          <w:tcPr>
            <w:tcW w:w="1170" w:type="dxa"/>
            <w:hideMark/>
          </w:tcPr>
          <w:p w14:paraId="5E3298B9"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Skin fissures / eye inflammation</w:t>
            </w:r>
          </w:p>
        </w:tc>
        <w:tc>
          <w:tcPr>
            <w:tcW w:w="1350" w:type="dxa"/>
            <w:hideMark/>
          </w:tcPr>
          <w:p w14:paraId="5619DEE7"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January 2024</w:t>
            </w:r>
          </w:p>
        </w:tc>
        <w:tc>
          <w:tcPr>
            <w:tcW w:w="5281" w:type="dxa"/>
            <w:hideMark/>
          </w:tcPr>
          <w:p w14:paraId="39891AC3" w14:textId="7725AF5B"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hyperlink r:id="rId4" w:history="1">
              <w:r w:rsidRPr="00CA0EB7">
                <w:rPr>
                  <w:rStyle w:val="Hyperlink"/>
                  <w:rFonts w:ascii="Times New Roman" w:hAnsi="Times New Roman" w:cs="Times New Roman"/>
                  <w:sz w:val="22"/>
                  <w:szCs w:val="22"/>
                </w:rPr>
                <w:t>https://www.accessdata.fda.gov/drugsatfda_docs/label/2024/761055s064lbl.pdf</w:t>
              </w:r>
            </w:hyperlink>
          </w:p>
        </w:tc>
      </w:tr>
      <w:tr w:rsidR="00CA0EB7" w:rsidRPr="00CA0EB7" w14:paraId="07187130" w14:textId="77777777" w:rsidTr="00CA0EB7">
        <w:tc>
          <w:tcPr>
            <w:cnfStyle w:val="001000000000" w:firstRow="0" w:lastRow="0" w:firstColumn="1" w:lastColumn="0" w:oddVBand="0" w:evenVBand="0" w:oddHBand="0" w:evenHBand="0" w:firstRowFirstColumn="0" w:firstRowLastColumn="0" w:lastRowFirstColumn="0" w:lastRowLastColumn="0"/>
            <w:tcW w:w="1795" w:type="dxa"/>
            <w:hideMark/>
          </w:tcPr>
          <w:p w14:paraId="00329892"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Keppra (levetiracetam)</w:t>
            </w:r>
          </w:p>
        </w:tc>
        <w:tc>
          <w:tcPr>
            <w:tcW w:w="1170" w:type="dxa"/>
            <w:hideMark/>
          </w:tcPr>
          <w:p w14:paraId="3013D848"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Tonic-</w:t>
            </w:r>
            <w:proofErr w:type="spellStart"/>
            <w:r w:rsidRPr="00CA0EB7">
              <w:rPr>
                <w:rFonts w:ascii="Times New Roman" w:hAnsi="Times New Roman" w:cs="Times New Roman"/>
                <w:sz w:val="22"/>
                <w:szCs w:val="22"/>
              </w:rPr>
              <w:t>clonic</w:t>
            </w:r>
            <w:proofErr w:type="spellEnd"/>
            <w:r w:rsidRPr="00CA0EB7">
              <w:rPr>
                <w:rFonts w:ascii="Times New Roman" w:hAnsi="Times New Roman" w:cs="Times New Roman"/>
                <w:sz w:val="22"/>
                <w:szCs w:val="22"/>
              </w:rPr>
              <w:t xml:space="preserve"> seizure</w:t>
            </w:r>
          </w:p>
        </w:tc>
        <w:tc>
          <w:tcPr>
            <w:tcW w:w="1350" w:type="dxa"/>
            <w:hideMark/>
          </w:tcPr>
          <w:p w14:paraId="045D0154"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November 28, 2023</w:t>
            </w:r>
          </w:p>
        </w:tc>
        <w:tc>
          <w:tcPr>
            <w:tcW w:w="5281" w:type="dxa"/>
            <w:hideMark/>
          </w:tcPr>
          <w:p w14:paraId="7F0893BB" w14:textId="64683842"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5" w:history="1">
              <w:r w:rsidRPr="00CA0EB7">
                <w:rPr>
                  <w:rStyle w:val="Hyperlink"/>
                  <w:rFonts w:ascii="Times New Roman" w:hAnsi="Times New Roman" w:cs="Times New Roman"/>
                  <w:sz w:val="22"/>
                  <w:szCs w:val="22"/>
                </w:rPr>
                <w:t>https://www.fda.gov/safety/medical-product-safety-information/antiseizure-medicines-keppra-keppra-xr-elepsia-xr-spritam-levetiracetam-and-onfi-sympazan-clobazam</w:t>
              </w:r>
            </w:hyperlink>
          </w:p>
        </w:tc>
      </w:tr>
      <w:tr w:rsidR="00CA0EB7" w:rsidRPr="00CA0EB7" w14:paraId="3C1BA6B9" w14:textId="77777777" w:rsidTr="00CA0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FBAE27A" w14:textId="77777777" w:rsidR="00CA0EB7" w:rsidRPr="00CA0EB7" w:rsidRDefault="00CA0EB7" w:rsidP="00CA0EB7">
            <w:pPr>
              <w:spacing w:after="160" w:line="278" w:lineRule="auto"/>
              <w:rPr>
                <w:rFonts w:ascii="Times New Roman" w:hAnsi="Times New Roman" w:cs="Times New Roman"/>
                <w:sz w:val="22"/>
                <w:szCs w:val="22"/>
              </w:rPr>
            </w:pPr>
            <w:proofErr w:type="spellStart"/>
            <w:r w:rsidRPr="00CA0EB7">
              <w:rPr>
                <w:rFonts w:ascii="Times New Roman" w:hAnsi="Times New Roman" w:cs="Times New Roman"/>
                <w:sz w:val="22"/>
                <w:szCs w:val="22"/>
              </w:rPr>
              <w:t>Mounjaro</w:t>
            </w:r>
            <w:proofErr w:type="spellEnd"/>
            <w:r w:rsidRPr="00CA0EB7">
              <w:rPr>
                <w:rFonts w:ascii="Times New Roman" w:hAnsi="Times New Roman" w:cs="Times New Roman"/>
                <w:sz w:val="22"/>
                <w:szCs w:val="22"/>
              </w:rPr>
              <w:t xml:space="preserve"> (tirzepatide)</w:t>
            </w:r>
          </w:p>
        </w:tc>
        <w:tc>
          <w:tcPr>
            <w:tcW w:w="1170" w:type="dxa"/>
            <w:hideMark/>
          </w:tcPr>
          <w:p w14:paraId="4F8F4A52"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Hunger / injection site</w:t>
            </w:r>
          </w:p>
        </w:tc>
        <w:tc>
          <w:tcPr>
            <w:tcW w:w="1350" w:type="dxa"/>
            <w:hideMark/>
          </w:tcPr>
          <w:p w14:paraId="47230A20"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April 2023</w:t>
            </w:r>
          </w:p>
        </w:tc>
        <w:tc>
          <w:tcPr>
            <w:tcW w:w="5281" w:type="dxa"/>
            <w:hideMark/>
          </w:tcPr>
          <w:p w14:paraId="26483B67" w14:textId="18248E29"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hyperlink r:id="rId6" w:history="1">
              <w:r w:rsidRPr="00CA0EB7">
                <w:rPr>
                  <w:rStyle w:val="Hyperlink"/>
                  <w:rFonts w:ascii="Times New Roman" w:hAnsi="Times New Roman" w:cs="Times New Roman"/>
                  <w:sz w:val="22"/>
                  <w:szCs w:val="22"/>
                </w:rPr>
                <w:t>https://www.accessdata.fda.gov/drugsatfda_docs/label/2023/215866Orig1s002s006lbl.pdf</w:t>
              </w:r>
            </w:hyperlink>
          </w:p>
        </w:tc>
      </w:tr>
      <w:tr w:rsidR="00CA0EB7" w:rsidRPr="00CA0EB7" w14:paraId="2FBE99BE" w14:textId="77777777" w:rsidTr="00CA0EB7">
        <w:tc>
          <w:tcPr>
            <w:cnfStyle w:val="001000000000" w:firstRow="0" w:lastRow="0" w:firstColumn="1" w:lastColumn="0" w:oddVBand="0" w:evenVBand="0" w:oddHBand="0" w:evenHBand="0" w:firstRowFirstColumn="0" w:firstRowLastColumn="0" w:lastRowFirstColumn="0" w:lastRowLastColumn="0"/>
            <w:tcW w:w="1795" w:type="dxa"/>
            <w:hideMark/>
          </w:tcPr>
          <w:p w14:paraId="0BD7EBEA"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Ozempic (semaglutide)</w:t>
            </w:r>
          </w:p>
        </w:tc>
        <w:tc>
          <w:tcPr>
            <w:tcW w:w="1170" w:type="dxa"/>
            <w:hideMark/>
          </w:tcPr>
          <w:p w14:paraId="75822847"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Increased appetite / ileus</w:t>
            </w:r>
          </w:p>
        </w:tc>
        <w:tc>
          <w:tcPr>
            <w:tcW w:w="1350" w:type="dxa"/>
            <w:hideMark/>
          </w:tcPr>
          <w:p w14:paraId="1D501572"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September 20, 2023</w:t>
            </w:r>
          </w:p>
        </w:tc>
        <w:tc>
          <w:tcPr>
            <w:tcW w:w="5281" w:type="dxa"/>
            <w:hideMark/>
          </w:tcPr>
          <w:p w14:paraId="24536E63" w14:textId="1905FD46"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7" w:history="1">
              <w:r w:rsidRPr="00CA0EB7">
                <w:rPr>
                  <w:rStyle w:val="Hyperlink"/>
                  <w:rFonts w:ascii="Times New Roman" w:hAnsi="Times New Roman" w:cs="Times New Roman"/>
                  <w:sz w:val="22"/>
                  <w:szCs w:val="22"/>
                </w:rPr>
                <w:t>https://www.accessdata.fda.gov/drugsatfda_docs/label/2023/209637s020s021lbl.pdf</w:t>
              </w:r>
            </w:hyperlink>
          </w:p>
        </w:tc>
      </w:tr>
      <w:tr w:rsidR="00CA0EB7" w:rsidRPr="00CA0EB7" w14:paraId="0A5588BA" w14:textId="77777777" w:rsidTr="00CA0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E1CD654"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Jardiance (empagliflozin)</w:t>
            </w:r>
          </w:p>
        </w:tc>
        <w:tc>
          <w:tcPr>
            <w:tcW w:w="1170" w:type="dxa"/>
            <w:hideMark/>
          </w:tcPr>
          <w:p w14:paraId="73573937"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HbA1c increased</w:t>
            </w:r>
          </w:p>
        </w:tc>
        <w:tc>
          <w:tcPr>
            <w:tcW w:w="1350" w:type="dxa"/>
            <w:hideMark/>
          </w:tcPr>
          <w:p w14:paraId="743AF7FA"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September 2023</w:t>
            </w:r>
          </w:p>
        </w:tc>
        <w:tc>
          <w:tcPr>
            <w:tcW w:w="5281" w:type="dxa"/>
            <w:hideMark/>
          </w:tcPr>
          <w:p w14:paraId="15481B8C" w14:textId="3C2AC41C"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hyperlink r:id="rId8" w:history="1">
              <w:r w:rsidRPr="00CA0EB7">
                <w:rPr>
                  <w:rStyle w:val="Hyperlink"/>
                  <w:rFonts w:ascii="Times New Roman" w:hAnsi="Times New Roman" w:cs="Times New Roman"/>
                  <w:sz w:val="22"/>
                  <w:szCs w:val="22"/>
                </w:rPr>
                <w:t>https://www.accessdata.fda.gov/drugsatfda_docs/label/2023/204629s040lbl.pdf</w:t>
              </w:r>
            </w:hyperlink>
          </w:p>
        </w:tc>
      </w:tr>
      <w:tr w:rsidR="00CA0EB7" w:rsidRPr="00CA0EB7" w14:paraId="39B7DF67" w14:textId="77777777" w:rsidTr="00CA0EB7">
        <w:tc>
          <w:tcPr>
            <w:cnfStyle w:val="001000000000" w:firstRow="0" w:lastRow="0" w:firstColumn="1" w:lastColumn="0" w:oddVBand="0" w:evenVBand="0" w:oddHBand="0" w:evenHBand="0" w:firstRowFirstColumn="0" w:firstRowLastColumn="0" w:lastRowFirstColumn="0" w:lastRowLastColumn="0"/>
            <w:tcW w:w="1795" w:type="dxa"/>
            <w:hideMark/>
          </w:tcPr>
          <w:p w14:paraId="0E6B0A43"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lastRenderedPageBreak/>
              <w:t>Bupropion</w:t>
            </w:r>
          </w:p>
        </w:tc>
        <w:tc>
          <w:tcPr>
            <w:tcW w:w="1170" w:type="dxa"/>
            <w:hideMark/>
          </w:tcPr>
          <w:p w14:paraId="3B7552C7"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Seizure</w:t>
            </w:r>
          </w:p>
        </w:tc>
        <w:tc>
          <w:tcPr>
            <w:tcW w:w="1350" w:type="dxa"/>
            <w:hideMark/>
          </w:tcPr>
          <w:p w14:paraId="1EF57D1A"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May 11, 2023</w:t>
            </w:r>
          </w:p>
        </w:tc>
        <w:tc>
          <w:tcPr>
            <w:tcW w:w="5281" w:type="dxa"/>
            <w:hideMark/>
          </w:tcPr>
          <w:p w14:paraId="4ACD1BFF" w14:textId="65C13F4A" w:rsidR="00CA0EB7" w:rsidRPr="00DA0C24" w:rsidRDefault="004A6C62"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0C24">
              <w:rPr>
                <w:rFonts w:ascii="Times New Roman" w:hAnsi="Times New Roman" w:cs="Times New Roman"/>
              </w:rPr>
              <w:t xml:space="preserve">FDA </w:t>
            </w:r>
            <w:r w:rsidR="00DA0C24" w:rsidRPr="00DA0C24">
              <w:rPr>
                <w:rFonts w:ascii="Times New Roman" w:hAnsi="Times New Roman" w:cs="Times New Roman"/>
              </w:rPr>
              <w:t>not detected</w:t>
            </w:r>
            <w:r w:rsidR="00DA0C24">
              <w:rPr>
                <w:rFonts w:ascii="Times New Roman" w:hAnsi="Times New Roman" w:cs="Times New Roman"/>
              </w:rPr>
              <w:t xml:space="preserve"> </w:t>
            </w:r>
            <w:r w:rsidR="00DA0C24" w:rsidRPr="00DA0C24">
              <w:rPr>
                <w:rFonts w:ascii="Times New Roman" w:hAnsi="Times New Roman" w:cs="Times New Roman"/>
              </w:rPr>
              <w:t>(negative test case)</w:t>
            </w:r>
          </w:p>
        </w:tc>
      </w:tr>
      <w:tr w:rsidR="00CA0EB7" w:rsidRPr="00CA0EB7" w14:paraId="6B392E0B" w14:textId="77777777" w:rsidTr="00CA0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E023D1F" w14:textId="77777777" w:rsidR="00CA0EB7" w:rsidRPr="00CA0EB7" w:rsidRDefault="00CA0EB7" w:rsidP="00CA0EB7">
            <w:pPr>
              <w:spacing w:after="160" w:line="278" w:lineRule="auto"/>
              <w:rPr>
                <w:rFonts w:ascii="Times New Roman" w:hAnsi="Times New Roman" w:cs="Times New Roman"/>
                <w:sz w:val="22"/>
                <w:szCs w:val="22"/>
              </w:rPr>
            </w:pPr>
            <w:proofErr w:type="spellStart"/>
            <w:r w:rsidRPr="00CA0EB7">
              <w:rPr>
                <w:rFonts w:ascii="Times New Roman" w:hAnsi="Times New Roman" w:cs="Times New Roman"/>
                <w:sz w:val="22"/>
                <w:szCs w:val="22"/>
              </w:rPr>
              <w:t>Farxiga</w:t>
            </w:r>
            <w:proofErr w:type="spellEnd"/>
            <w:r w:rsidRPr="00CA0EB7">
              <w:rPr>
                <w:rFonts w:ascii="Times New Roman" w:hAnsi="Times New Roman" w:cs="Times New Roman"/>
                <w:sz w:val="22"/>
                <w:szCs w:val="22"/>
              </w:rPr>
              <w:t xml:space="preserve"> (dapagliflozin)</w:t>
            </w:r>
          </w:p>
        </w:tc>
        <w:tc>
          <w:tcPr>
            <w:tcW w:w="1170" w:type="dxa"/>
            <w:hideMark/>
          </w:tcPr>
          <w:p w14:paraId="16EFABC6"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GFR decreased</w:t>
            </w:r>
          </w:p>
        </w:tc>
        <w:tc>
          <w:tcPr>
            <w:tcW w:w="1350" w:type="dxa"/>
            <w:hideMark/>
          </w:tcPr>
          <w:p w14:paraId="039D98C9"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May 2023</w:t>
            </w:r>
          </w:p>
        </w:tc>
        <w:tc>
          <w:tcPr>
            <w:tcW w:w="5281" w:type="dxa"/>
            <w:hideMark/>
          </w:tcPr>
          <w:p w14:paraId="4FFAFFEE" w14:textId="06C05774"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hyperlink r:id="rId9" w:history="1">
              <w:r w:rsidRPr="00CA0EB7">
                <w:rPr>
                  <w:rStyle w:val="Hyperlink"/>
                  <w:rFonts w:ascii="Times New Roman" w:hAnsi="Times New Roman" w:cs="Times New Roman"/>
                  <w:sz w:val="22"/>
                  <w:szCs w:val="22"/>
                </w:rPr>
                <w:t>https://www.accessdata.fda.gov/drugsatfda_docs/label/2023/202293s026lbl.pdf</w:t>
              </w:r>
            </w:hyperlink>
          </w:p>
        </w:tc>
      </w:tr>
      <w:tr w:rsidR="00CA0EB7" w:rsidRPr="00CA0EB7" w14:paraId="516B68DE" w14:textId="77777777" w:rsidTr="00CA0EB7">
        <w:tc>
          <w:tcPr>
            <w:cnfStyle w:val="001000000000" w:firstRow="0" w:lastRow="0" w:firstColumn="1" w:lastColumn="0" w:oddVBand="0" w:evenVBand="0" w:oddHBand="0" w:evenHBand="0" w:firstRowFirstColumn="0" w:firstRowLastColumn="0" w:lastRowFirstColumn="0" w:lastRowLastColumn="0"/>
            <w:tcW w:w="1795" w:type="dxa"/>
            <w:hideMark/>
          </w:tcPr>
          <w:p w14:paraId="0BA83B02"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Metformin</w:t>
            </w:r>
          </w:p>
        </w:tc>
        <w:tc>
          <w:tcPr>
            <w:tcW w:w="1170" w:type="dxa"/>
            <w:hideMark/>
          </w:tcPr>
          <w:p w14:paraId="4FEC7B7D"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Diabetic ketoacidosis</w:t>
            </w:r>
          </w:p>
        </w:tc>
        <w:tc>
          <w:tcPr>
            <w:tcW w:w="1350" w:type="dxa"/>
            <w:hideMark/>
          </w:tcPr>
          <w:p w14:paraId="3E4A5A5A"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April 2023</w:t>
            </w:r>
          </w:p>
        </w:tc>
        <w:tc>
          <w:tcPr>
            <w:tcW w:w="5281" w:type="dxa"/>
            <w:hideMark/>
          </w:tcPr>
          <w:p w14:paraId="457916C5" w14:textId="7F9AF58E"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10" w:history="1">
              <w:r w:rsidRPr="00CA0EB7">
                <w:rPr>
                  <w:rStyle w:val="Hyperlink"/>
                  <w:rFonts w:ascii="Times New Roman" w:hAnsi="Times New Roman" w:cs="Times New Roman"/>
                  <w:sz w:val="22"/>
                  <w:szCs w:val="22"/>
                </w:rPr>
                <w:t>https://www.accessdata.fda.gov/drugsatfda_docs/label/2023/208026s024lbl.pdf</w:t>
              </w:r>
            </w:hyperlink>
          </w:p>
        </w:tc>
      </w:tr>
      <w:tr w:rsidR="00CA0EB7" w:rsidRPr="00CA0EB7" w14:paraId="4027CAF9" w14:textId="77777777" w:rsidTr="00CA0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0A2FCAB"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Gabapentin (</w:t>
            </w:r>
            <w:proofErr w:type="spellStart"/>
            <w:r w:rsidRPr="00CA0EB7">
              <w:rPr>
                <w:rFonts w:ascii="Times New Roman" w:hAnsi="Times New Roman" w:cs="Times New Roman"/>
                <w:sz w:val="22"/>
                <w:szCs w:val="22"/>
              </w:rPr>
              <w:t>Gralise</w:t>
            </w:r>
            <w:proofErr w:type="spellEnd"/>
            <w:r w:rsidRPr="00CA0EB7">
              <w:rPr>
                <w:rFonts w:ascii="Times New Roman" w:hAnsi="Times New Roman" w:cs="Times New Roman"/>
                <w:sz w:val="22"/>
                <w:szCs w:val="22"/>
              </w:rPr>
              <w:t>)</w:t>
            </w:r>
          </w:p>
        </w:tc>
        <w:tc>
          <w:tcPr>
            <w:tcW w:w="1170" w:type="dxa"/>
            <w:hideMark/>
          </w:tcPr>
          <w:p w14:paraId="27C3F4CE"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Cardiorespiratory arrest</w:t>
            </w:r>
          </w:p>
        </w:tc>
        <w:tc>
          <w:tcPr>
            <w:tcW w:w="1350" w:type="dxa"/>
            <w:hideMark/>
          </w:tcPr>
          <w:p w14:paraId="23933DA8" w14:textId="77777777"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April 2023</w:t>
            </w:r>
          </w:p>
        </w:tc>
        <w:tc>
          <w:tcPr>
            <w:tcW w:w="5281" w:type="dxa"/>
            <w:hideMark/>
          </w:tcPr>
          <w:p w14:paraId="62B1200F" w14:textId="65D561A1" w:rsidR="00CA0EB7" w:rsidRPr="00CA0EB7" w:rsidRDefault="00CA0EB7" w:rsidP="00CA0EB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hyperlink r:id="rId11" w:history="1">
              <w:r w:rsidRPr="00CA0EB7">
                <w:rPr>
                  <w:rStyle w:val="Hyperlink"/>
                  <w:rFonts w:ascii="Times New Roman" w:hAnsi="Times New Roman" w:cs="Times New Roman"/>
                  <w:sz w:val="22"/>
                  <w:szCs w:val="22"/>
                </w:rPr>
                <w:t>https://www.accessdata.fda.gov/drugsatfda_docs/label/2023/022544Orig1s029lbl.pdf</w:t>
              </w:r>
            </w:hyperlink>
          </w:p>
        </w:tc>
      </w:tr>
      <w:tr w:rsidR="00CA0EB7" w:rsidRPr="00CA0EB7" w14:paraId="66C6846E" w14:textId="77777777" w:rsidTr="00CA0EB7">
        <w:tc>
          <w:tcPr>
            <w:cnfStyle w:val="001000000000" w:firstRow="0" w:lastRow="0" w:firstColumn="1" w:lastColumn="0" w:oddVBand="0" w:evenVBand="0" w:oddHBand="0" w:evenHBand="0" w:firstRowFirstColumn="0" w:firstRowLastColumn="0" w:lastRowFirstColumn="0" w:lastRowLastColumn="0"/>
            <w:tcW w:w="1795" w:type="dxa"/>
            <w:hideMark/>
          </w:tcPr>
          <w:p w14:paraId="51A27F08" w14:textId="77777777" w:rsidR="00CA0EB7" w:rsidRPr="00CA0EB7" w:rsidRDefault="00CA0EB7" w:rsidP="00CA0EB7">
            <w:pPr>
              <w:spacing w:after="160" w:line="278" w:lineRule="auto"/>
              <w:rPr>
                <w:rFonts w:ascii="Times New Roman" w:hAnsi="Times New Roman" w:cs="Times New Roman"/>
                <w:sz w:val="22"/>
                <w:szCs w:val="22"/>
              </w:rPr>
            </w:pPr>
            <w:r w:rsidRPr="00CA0EB7">
              <w:rPr>
                <w:rFonts w:ascii="Times New Roman" w:hAnsi="Times New Roman" w:cs="Times New Roman"/>
                <w:sz w:val="22"/>
                <w:szCs w:val="22"/>
              </w:rPr>
              <w:t>Pregabalin (Lyrica)</w:t>
            </w:r>
          </w:p>
        </w:tc>
        <w:tc>
          <w:tcPr>
            <w:tcW w:w="1170" w:type="dxa"/>
            <w:hideMark/>
          </w:tcPr>
          <w:p w14:paraId="61F0482C"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Coma</w:t>
            </w:r>
          </w:p>
        </w:tc>
        <w:tc>
          <w:tcPr>
            <w:tcW w:w="1350" w:type="dxa"/>
            <w:hideMark/>
          </w:tcPr>
          <w:p w14:paraId="5A0D99E6" w14:textId="77777777"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A0EB7">
              <w:rPr>
                <w:rFonts w:ascii="Times New Roman" w:hAnsi="Times New Roman" w:cs="Times New Roman"/>
                <w:sz w:val="22"/>
                <w:szCs w:val="22"/>
              </w:rPr>
              <w:t>2023</w:t>
            </w:r>
          </w:p>
        </w:tc>
        <w:tc>
          <w:tcPr>
            <w:tcW w:w="5281" w:type="dxa"/>
            <w:hideMark/>
          </w:tcPr>
          <w:p w14:paraId="56D5E532" w14:textId="2EA668D0" w:rsidR="00CA0EB7" w:rsidRPr="00CA0EB7" w:rsidRDefault="00CA0EB7" w:rsidP="00CA0EB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12" w:history="1">
              <w:r w:rsidRPr="00CA0EB7">
                <w:rPr>
                  <w:rStyle w:val="Hyperlink"/>
                  <w:rFonts w:ascii="Times New Roman" w:hAnsi="Times New Roman" w:cs="Times New Roman"/>
                  <w:sz w:val="22"/>
                  <w:szCs w:val="22"/>
                </w:rPr>
                <w:t>https://www.accessdata.fda.gov/drugsatfda_docs/label/2024/021446s041,022488s018lbl.pdf</w:t>
              </w:r>
            </w:hyperlink>
          </w:p>
        </w:tc>
      </w:tr>
    </w:tbl>
    <w:p w14:paraId="7AE04BCB" w14:textId="77777777" w:rsidR="00C2305E" w:rsidRPr="00CA0EB7" w:rsidRDefault="00C2305E">
      <w:pPr>
        <w:rPr>
          <w:rFonts w:ascii="Times New Roman" w:hAnsi="Times New Roman" w:cs="Times New Roman"/>
        </w:rPr>
      </w:pPr>
    </w:p>
    <w:sectPr w:rsidR="00C2305E" w:rsidRPr="00CA0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EB7"/>
    <w:rsid w:val="00181AD5"/>
    <w:rsid w:val="004A6C62"/>
    <w:rsid w:val="00793122"/>
    <w:rsid w:val="00981A79"/>
    <w:rsid w:val="00C2305E"/>
    <w:rsid w:val="00CA0EB7"/>
    <w:rsid w:val="00DA0C24"/>
    <w:rsid w:val="00E90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9055"/>
  <w15:chartTrackingRefBased/>
  <w15:docId w15:val="{5CC58DE8-3F61-40B1-95FB-D18756311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EB7"/>
    <w:rPr>
      <w:rFonts w:eastAsiaTheme="majorEastAsia" w:cstheme="majorBidi"/>
      <w:color w:val="272727" w:themeColor="text1" w:themeTint="D8"/>
    </w:rPr>
  </w:style>
  <w:style w:type="paragraph" w:styleId="Title">
    <w:name w:val="Title"/>
    <w:basedOn w:val="Normal"/>
    <w:next w:val="Normal"/>
    <w:link w:val="TitleChar"/>
    <w:uiPriority w:val="10"/>
    <w:qFormat/>
    <w:rsid w:val="00CA0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EB7"/>
    <w:pPr>
      <w:spacing w:before="160"/>
      <w:jc w:val="center"/>
    </w:pPr>
    <w:rPr>
      <w:i/>
      <w:iCs/>
      <w:color w:val="404040" w:themeColor="text1" w:themeTint="BF"/>
    </w:rPr>
  </w:style>
  <w:style w:type="character" w:customStyle="1" w:styleId="QuoteChar">
    <w:name w:val="Quote Char"/>
    <w:basedOn w:val="DefaultParagraphFont"/>
    <w:link w:val="Quote"/>
    <w:uiPriority w:val="29"/>
    <w:rsid w:val="00CA0EB7"/>
    <w:rPr>
      <w:i/>
      <w:iCs/>
      <w:color w:val="404040" w:themeColor="text1" w:themeTint="BF"/>
    </w:rPr>
  </w:style>
  <w:style w:type="paragraph" w:styleId="ListParagraph">
    <w:name w:val="List Paragraph"/>
    <w:basedOn w:val="Normal"/>
    <w:uiPriority w:val="34"/>
    <w:qFormat/>
    <w:rsid w:val="00CA0EB7"/>
    <w:pPr>
      <w:ind w:left="720"/>
      <w:contextualSpacing/>
    </w:pPr>
  </w:style>
  <w:style w:type="character" w:styleId="IntenseEmphasis">
    <w:name w:val="Intense Emphasis"/>
    <w:basedOn w:val="DefaultParagraphFont"/>
    <w:uiPriority w:val="21"/>
    <w:qFormat/>
    <w:rsid w:val="00CA0EB7"/>
    <w:rPr>
      <w:i/>
      <w:iCs/>
      <w:color w:val="0F4761" w:themeColor="accent1" w:themeShade="BF"/>
    </w:rPr>
  </w:style>
  <w:style w:type="paragraph" w:styleId="IntenseQuote">
    <w:name w:val="Intense Quote"/>
    <w:basedOn w:val="Normal"/>
    <w:next w:val="Normal"/>
    <w:link w:val="IntenseQuoteChar"/>
    <w:uiPriority w:val="30"/>
    <w:qFormat/>
    <w:rsid w:val="00CA0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EB7"/>
    <w:rPr>
      <w:i/>
      <w:iCs/>
      <w:color w:val="0F4761" w:themeColor="accent1" w:themeShade="BF"/>
    </w:rPr>
  </w:style>
  <w:style w:type="character" w:styleId="IntenseReference">
    <w:name w:val="Intense Reference"/>
    <w:basedOn w:val="DefaultParagraphFont"/>
    <w:uiPriority w:val="32"/>
    <w:qFormat/>
    <w:rsid w:val="00CA0EB7"/>
    <w:rPr>
      <w:b/>
      <w:bCs/>
      <w:smallCaps/>
      <w:color w:val="0F4761" w:themeColor="accent1" w:themeShade="BF"/>
      <w:spacing w:val="5"/>
    </w:rPr>
  </w:style>
  <w:style w:type="table" w:styleId="GridTable2">
    <w:name w:val="Grid Table 2"/>
    <w:basedOn w:val="TableNormal"/>
    <w:uiPriority w:val="47"/>
    <w:rsid w:val="00CA0EB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CA0EB7"/>
    <w:rPr>
      <w:color w:val="467886" w:themeColor="hyperlink"/>
      <w:u w:val="single"/>
    </w:rPr>
  </w:style>
  <w:style w:type="character" w:styleId="UnresolvedMention">
    <w:name w:val="Unresolved Mention"/>
    <w:basedOn w:val="DefaultParagraphFont"/>
    <w:uiPriority w:val="99"/>
    <w:semiHidden/>
    <w:unhideWhenUsed/>
    <w:rsid w:val="00CA0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cessdata.fda.gov/drugsatfda_docs/label/2023/204629s040lbl.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ccessdata.fda.gov/drugsatfda_docs/label/2023/209637s020s021lbl.pdf" TargetMode="External"/><Relationship Id="rId12" Type="http://schemas.openxmlformats.org/officeDocument/2006/relationships/hyperlink" Target="https://www.accessdata.fda.gov/drugsatfda_docs/label/2024/021446s041,022488s018lbl.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cessdata.fda.gov/drugsatfda_docs/label/2023/215866Orig1s002s006lbl.pdf" TargetMode="External"/><Relationship Id="rId11" Type="http://schemas.openxmlformats.org/officeDocument/2006/relationships/hyperlink" Target="https://www.accessdata.fda.gov/drugsatfda_docs/label/2023/022544Orig1s029lbl.pdf" TargetMode="External"/><Relationship Id="rId5" Type="http://schemas.openxmlformats.org/officeDocument/2006/relationships/hyperlink" Target="https://www.fda.gov/safety/medical-product-safety-information/antiseizure-medicines-keppra-keppra-xr-elepsia-xr-spritam-levetiracetam-and-onfi-sympazan-clobazam" TargetMode="External"/><Relationship Id="rId10" Type="http://schemas.openxmlformats.org/officeDocument/2006/relationships/hyperlink" Target="https://www.accessdata.fda.gov/drugsatfda_docs/label/2023/208026s024lbl.pdf" TargetMode="External"/><Relationship Id="rId4" Type="http://schemas.openxmlformats.org/officeDocument/2006/relationships/hyperlink" Target="https://www.accessdata.fda.gov/drugsatfda_docs/label/2024/761055s064lbl.pdf" TargetMode="External"/><Relationship Id="rId9" Type="http://schemas.openxmlformats.org/officeDocument/2006/relationships/hyperlink" Target="https://www.accessdata.fda.gov/drugsatfda_docs/label/2023/202293s026lbl.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Ganpatrao Pradhan</dc:creator>
  <cp:keywords/>
  <dc:description/>
  <cp:lastModifiedBy>Prachi Pradhan</cp:lastModifiedBy>
  <cp:revision>3</cp:revision>
  <dcterms:created xsi:type="dcterms:W3CDTF">2026-04-23T01:26:00Z</dcterms:created>
  <dcterms:modified xsi:type="dcterms:W3CDTF">2026-04-23T03:29:00Z</dcterms:modified>
</cp:coreProperties>
</file>