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2626"/>
          <w:sz w:val="18"/>
        </w:rPr>
        <w:t>CONFIDENTIAL - FOR LIMITED PARTNERS ONLY</w:t>
      </w:r>
    </w:p>
    <w:p>
      <w:pPr>
        <w:pStyle w:val="Heading1"/>
        <w:jc w:val="center"/>
      </w:pPr>
      <w:r>
        <w:t>Quarterly LP Update: growth_fund_v</w:t>
      </w:r>
    </w:p>
    <w:p>
      <w:r>
        <w:t>Date: March 27, 2026</w:t>
      </w:r>
    </w:p>
    <w:p>
      <w:r>
        <w:t>Dear Limited Partners,</w:t>
      </w:r>
    </w:p>
    <w:p>
      <w:r>
        <w:t>We are pleased to share the quarterly AI Readiness update for growth_fund_v.</w:t>
      </w:r>
    </w:p>
    <w:p>
      <w:pPr>
        <w:pStyle w:val="Heading2"/>
      </w:pPr>
      <w:r>
        <w:t>Fund Performance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Fund-AI-R Score</w:t>
            </w:r>
          </w:p>
        </w:tc>
        <w:tc>
          <w:tcPr>
            <w:tcW w:type="dxa" w:w="4320"/>
          </w:tcPr>
          <w:p>
            <w:r>
              <w:t>62.3 / 100</w:t>
            </w:r>
          </w:p>
        </w:tc>
      </w:tr>
      <w:tr>
        <w:tc>
          <w:tcPr>
            <w:tcW w:type="dxa" w:w="4320"/>
          </w:tcPr>
          <w:p>
            <w:r>
              <w:t>Portfolio Companies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AI Leaders (&gt;=70)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 Laggards (&lt;50)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Portfolio Highlights</w:t>
      </w:r>
    </w:p>
    <w:p>
      <w:pPr>
        <w:pStyle w:val="ListBullet"/>
      </w:pPr>
      <w:r>
        <w:t>NVDA: Org-AI-R 84.9 (Leader)</w:t>
      </w:r>
    </w:p>
    <w:p>
      <w:pPr>
        <w:pStyle w:val="ListBullet"/>
      </w:pPr>
      <w:r>
        <w:t>JPM: Org-AI-R 66.8 (Developing)</w:t>
      </w:r>
    </w:p>
    <w:p>
      <w:pPr>
        <w:pStyle w:val="ListBullet"/>
      </w:pPr>
      <w:r>
        <w:t>CRM: Org-AI-R 61.5 (Developing)</w:t>
      </w:r>
    </w:p>
    <w:p>
      <w:pPr>
        <w:pStyle w:val="ListBullet"/>
      </w:pPr>
      <w:r>
        <w:t>GOOGL: Org-AI-R 60.2 (Developing)</w:t>
      </w:r>
    </w:p>
    <w:p>
      <w:pPr>
        <w:pStyle w:val="ListBullet"/>
      </w:pPr>
      <w:r>
        <w:t>WMT: Org-AI-R 60.0 (Developing)</w:t>
      </w:r>
    </w:p>
    <w:p>
      <w:pPr>
        <w:pStyle w:val="ListBullet"/>
      </w:pPr>
      <w:r>
        <w:t>ADP: Org-AI-R 54.3 (Developing)</w:t>
      </w:r>
    </w:p>
    <w:p>
      <w:pPr>
        <w:pStyle w:val="ListBullet"/>
      </w:pPr>
      <w:r>
        <w:t>UNH: Org-AI-R 48.1 (Laggard)</w:t>
      </w:r>
    </w:p>
    <w:p>
      <w:pPr>
        <w:pStyle w:val="Heading2"/>
      </w:pPr>
      <w:r>
        <w:t>Value Creation Outlook</w:t>
      </w:r>
    </w:p>
    <w:p>
      <w:r>
        <w:t>NVDA leads the portfolio at 84.9 Org-AI-R. Gap analysis identifies data infrastructure and talent as primary value levers.</w:t>
      </w:r>
    </w:p>
    <w:p>
      <w:pPr>
        <w:pStyle w:val="Heading2"/>
      </w:pPr>
      <w:r>
        <w:t>Outlook</w:t>
      </w:r>
    </w:p>
    <w:p>
      <w:r>
        <w:t>We remain confident in the fund's AI transformation trajectory. Our systematic Org-AI-R assessment methodology provides data-driven visibility into each portfolio company's AI readiness, enabling targeted value creation initiatives.</w:t>
      </w:r>
    </w:p>
    <w:p>
      <w:r>
        <w:br/>
        <w:br/>
        <w:t>Sincerely,</w:t>
        <w:br/>
        <w:t>Growth Fund V Management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