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Investment Committee Memo: JPM</w:t>
      </w:r>
    </w:p>
    <w:p>
      <w:r>
        <w:t>Date: March 23, 2026</w:t>
      </w:r>
    </w:p>
    <w:p>
      <w:r>
        <w:t>Prepared by: PE Org-AI-R Agentic Platform</w:t>
      </w:r>
    </w:p>
    <w:p>
      <w:pPr>
        <w:pStyle w:val="IntenseQuote"/>
      </w:pPr>
      <w:r>
        <w:t>CONFIDENTIAL</w:t>
      </w:r>
    </w:p>
    <w:p>
      <w:pPr>
        <w:pStyle w:val="Heading1"/>
      </w:pPr>
      <w:r>
        <w:t>Executive Summary</w:t>
      </w:r>
    </w:p>
    <w:p>
      <w:r>
        <w:t>JPM has an Org-AI-R score of 66.8, reflecting V^R of 67.3 and H^R of 72.4. Improvement opportunities identified across key dimensions.</w:t>
      </w:r>
    </w:p>
    <w:p>
      <w:pPr>
        <w:pStyle w:val="Heading1"/>
      </w:pPr>
      <w:r>
        <w:t>AI Readiness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Benchmark</w:t>
            </w:r>
          </w:p>
        </w:tc>
      </w:tr>
      <w:tr>
        <w:tc>
          <w:tcPr>
            <w:tcW w:type="dxa" w:w="2880"/>
          </w:tcPr>
          <w:p>
            <w:r>
              <w:t>Org-AI-R</w:t>
            </w:r>
          </w:p>
        </w:tc>
        <w:tc>
          <w:tcPr>
            <w:tcW w:type="dxa" w:w="2880"/>
          </w:tcPr>
          <w:p>
            <w:r>
              <w:t>66.8</w:t>
            </w:r>
          </w:p>
        </w:tc>
        <w:tc>
          <w:tcPr>
            <w:tcW w:type="dxa" w:w="2880"/>
          </w:tcPr>
          <w:p>
            <w:r>
              <w:t>65.0</w:t>
            </w:r>
          </w:p>
        </w:tc>
      </w:tr>
      <w:tr>
        <w:tc>
          <w:tcPr>
            <w:tcW w:type="dxa" w:w="2880"/>
          </w:tcPr>
          <w:p>
            <w:r>
              <w:t>V^R (Valuation Readiness)</w:t>
            </w:r>
          </w:p>
        </w:tc>
        <w:tc>
          <w:tcPr>
            <w:tcW w:type="dxa" w:w="2880"/>
          </w:tcPr>
          <w:p>
            <w:r>
              <w:t>67.3</w:t>
            </w:r>
          </w:p>
        </w:tc>
        <w:tc>
          <w:tcPr>
            <w:tcW w:type="dxa" w:w="2880"/>
          </w:tcPr>
          <w:p>
            <w:r>
              <w:t>60.0</w:t>
            </w:r>
          </w:p>
        </w:tc>
      </w:tr>
      <w:tr>
        <w:tc>
          <w:tcPr>
            <w:tcW w:type="dxa" w:w="2880"/>
          </w:tcPr>
          <w:p>
            <w:r>
              <w:t>H^R (Human Capital Risk)</w:t>
            </w:r>
          </w:p>
        </w:tc>
        <w:tc>
          <w:tcPr>
            <w:tcW w:type="dxa" w:w="2880"/>
          </w:tcPr>
          <w:p>
            <w:r>
              <w:t>72.4</w:t>
            </w:r>
          </w:p>
        </w:tc>
        <w:tc>
          <w:tcPr>
            <w:tcW w:type="dxa" w:w="2880"/>
          </w:tcPr>
          <w:p>
            <w:r>
              <w:t>60.0</w:t>
            </w:r>
          </w:p>
        </w:tc>
      </w:tr>
    </w:tbl>
    <w:p>
      <w:pPr>
        <w:pStyle w:val="Heading2"/>
      </w:pPr>
      <w:r>
        <w:t>Dimension 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Score</w:t>
            </w:r>
          </w:p>
        </w:tc>
      </w:tr>
      <w:tr>
        <w:tc>
          <w:tcPr>
            <w:tcW w:type="dxa" w:w="4320"/>
          </w:tcPr>
          <w:p>
            <w:r>
              <w:t>Data Infrastructure</w:t>
            </w:r>
          </w:p>
        </w:tc>
        <w:tc>
          <w:tcPr>
            <w:tcW w:type="dxa" w:w="4320"/>
          </w:tcPr>
          <w:p>
            <w:r>
              <w:t>72.2</w:t>
            </w:r>
          </w:p>
        </w:tc>
      </w:tr>
      <w:tr>
        <w:tc>
          <w:tcPr>
            <w:tcW w:type="dxa" w:w="4320"/>
          </w:tcPr>
          <w:p>
            <w:r>
              <w:t>Ai Governance</w:t>
            </w:r>
          </w:p>
        </w:tc>
        <w:tc>
          <w:tcPr>
            <w:tcW w:type="dxa" w:w="4320"/>
          </w:tcPr>
          <w:p>
            <w:r>
              <w:t>81.4</w:t>
            </w:r>
          </w:p>
        </w:tc>
      </w:tr>
      <w:tr>
        <w:tc>
          <w:tcPr>
            <w:tcW w:type="dxa" w:w="4320"/>
          </w:tcPr>
          <w:p>
            <w:r>
              <w:t>Technology Stack</w:t>
            </w:r>
          </w:p>
        </w:tc>
        <w:tc>
          <w:tcPr>
            <w:tcW w:type="dxa" w:w="4320"/>
          </w:tcPr>
          <w:p>
            <w:r>
              <w:t>76.0</w:t>
            </w:r>
          </w:p>
        </w:tc>
      </w:tr>
      <w:tr>
        <w:tc>
          <w:tcPr>
            <w:tcW w:type="dxa" w:w="4320"/>
          </w:tcPr>
          <w:p>
            <w:r>
              <w:t>Talent Skills</w:t>
            </w:r>
          </w:p>
        </w:tc>
        <w:tc>
          <w:tcPr>
            <w:tcW w:type="dxa" w:w="4320"/>
          </w:tcPr>
          <w:p>
            <w:r>
              <w:t>49.7</w:t>
            </w:r>
          </w:p>
        </w:tc>
      </w:tr>
      <w:tr>
        <w:tc>
          <w:tcPr>
            <w:tcW w:type="dxa" w:w="4320"/>
          </w:tcPr>
          <w:p>
            <w:r>
              <w:t>Leadership Vision</w:t>
            </w:r>
          </w:p>
        </w:tc>
        <w:tc>
          <w:tcPr>
            <w:tcW w:type="dxa" w:w="4320"/>
          </w:tcPr>
          <w:p>
            <w:r>
              <w:t>77.4</w:t>
            </w:r>
          </w:p>
        </w:tc>
      </w:tr>
      <w:tr>
        <w:tc>
          <w:tcPr>
            <w:tcW w:type="dxa" w:w="4320"/>
          </w:tcPr>
          <w:p>
            <w:r>
              <w:t>Use Case Portfolio</w:t>
            </w:r>
          </w:p>
        </w:tc>
        <w:tc>
          <w:tcPr>
            <w:tcW w:type="dxa" w:w="4320"/>
          </w:tcPr>
          <w:p>
            <w:r>
              <w:t>78.3</w:t>
            </w:r>
          </w:p>
        </w:tc>
      </w:tr>
      <w:tr>
        <w:tc>
          <w:tcPr>
            <w:tcW w:type="dxa" w:w="4320"/>
          </w:tcPr>
          <w:p>
            <w:r>
              <w:t>Culture Change</w:t>
            </w:r>
          </w:p>
        </w:tc>
        <w:tc>
          <w:tcPr>
            <w:tcW w:type="dxa" w:w="4320"/>
          </w:tcPr>
          <w:p>
            <w:r>
              <w:t>55.9</w:t>
            </w:r>
          </w:p>
        </w:tc>
      </w:tr>
    </w:tbl>
    <w:p>
      <w:pPr>
        <w:pStyle w:val="Heading1"/>
      </w:pPr>
      <w:r>
        <w:t>Gap Analysis &amp; 100-Day Plan</w:t>
      </w:r>
    </w:p>
    <w:p>
      <w:r>
        <w:t>No gap analysis data available.</w:t>
      </w:r>
    </w:p>
    <w:p>
      <w:pPr>
        <w:pStyle w:val="Heading1"/>
      </w:pPr>
      <w:r>
        <w:t>EBITDA Impact Projection</w:t>
      </w:r>
    </w:p>
    <w:p>
      <w:r>
        <w:t>Base case EBITDA improvement: N/A | Risk-adjusted: N/A</w:t>
      </w:r>
    </w:p>
    <w:p>
      <w:pPr>
        <w:pStyle w:val="Heading1"/>
      </w:pPr>
      <w:r>
        <w:t>IC Recommendation</w:t>
      </w:r>
    </w:p>
    <w:p>
      <w:pPr>
        <w:pStyle w:val="IntenseQuote"/>
      </w:pPr>
      <w:r>
        <w:t>Recommendation: PROCEED WITH MONITORING — address top 2 dimension gaps within 90 days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