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LP Update — PE-FUND-I</w:t>
      </w:r>
    </w:p>
    <w:p>
      <w:r>
        <w:t>Dear Limited Partners,</w:t>
      </w:r>
    </w:p>
    <w:p/>
    <w:p>
      <w:r>
        <w:t>We are pleased to share the quarterly AI Readiness update for PE-FUND-I.</w:t>
      </w:r>
    </w:p>
    <w:p/>
    <w:p>
      <w:pPr>
        <w:pStyle w:val="Heading2"/>
      </w:pPr>
      <w:r>
        <w:t>Fund Performance Summary</w:t>
      </w:r>
    </w:p>
    <w:p>
      <w:r>
        <w:t>────────────────────────────────────────</w:t>
      </w:r>
    </w:p>
    <w:p>
      <w:r>
        <w:t>Fund-AI-R Score:     59.5 / 100</w:t>
      </w:r>
    </w:p>
    <w:p>
      <w:r>
        <w:t>Portfolio Companies: 5</w:t>
      </w:r>
    </w:p>
    <w:p>
      <w:r>
        <w:t>AI Leaders (≥70):    1</w:t>
      </w:r>
    </w:p>
    <w:p>
      <w:r>
        <w:t>AI Laggards (&lt;50):   2</w:t>
      </w:r>
    </w:p>
    <w:p/>
    <w:p>
      <w:pPr>
        <w:pStyle w:val="Heading2"/>
      </w:pPr>
      <w:r>
        <w:t>Portfolio Highlights</w:t>
      </w:r>
    </w:p>
    <w:p>
      <w:r>
        <w:t>────────────────────────────────────────</w:t>
      </w:r>
    </w:p>
    <w:p>
      <w:r>
        <w:t xml:space="preserve">  • NVDA: Org-AI-R 84.9 (Leader)</w:t>
      </w:r>
    </w:p>
    <w:p>
      <w:r>
        <w:t xml:space="preserve">  • JPM: Org-AI-R 66.8 (Developing)</w:t>
      </w:r>
    </w:p>
    <w:p>
      <w:r>
        <w:t xml:space="preserve">  • WMT: Org-AI-R 60.0 (Developing)</w:t>
      </w:r>
    </w:p>
    <w:p>
      <w:r>
        <w:t xml:space="preserve">  • GE: Org-AI-R 46.6 (Developing)</w:t>
      </w:r>
    </w:p>
    <w:p>
      <w:r>
        <w:t xml:space="preserve">  • DG: Org-AI-R 38.9 (Developing)</w:t>
      </w:r>
    </w:p>
    <w:p/>
    <w:p>
      <w:pPr>
        <w:pStyle w:val="Heading2"/>
      </w:pPr>
      <w:r>
        <w:t>Value Creation Pipeline</w:t>
      </w:r>
    </w:p>
    <w:p>
      <w:r>
        <w:t>────────────────────────────────────────</w:t>
      </w:r>
    </w:p>
    <w:p>
      <w:r>
        <w:t xml:space="preserve">  • NVDA leads the portfolio at 84.9 Org-AI-R. Gap analysis identifies data infrastructure and talent as primary value levers.</w:t>
      </w:r>
    </w:p>
    <w:p/>
    <w:p>
      <w:r>
        <w:t>Our agentic due diligence platform continues to surface actionable insights</w:t>
      </w:r>
    </w:p>
    <w:p>
      <w:r>
        <w:t>across the portfolio. The Org-AI-R framework identifies specific improvement</w:t>
      </w:r>
    </w:p>
    <w:p>
      <w:r>
        <w:t>vectors for each company, enabling precise capital deployment decisions.</w:t>
      </w:r>
    </w:p>
    <w:p/>
    <w:p>
      <w:r>
        <w:t>We remain committed to driving AI-readiness across the portfolio and look</w:t>
      </w:r>
    </w:p>
    <w:p>
      <w:r>
        <w:t>forward to sharing further progress in our next update.</w:t>
      </w:r>
    </w:p>
    <w:p/>
    <w:p>
      <w:r>
        <w:t>Sincerely,</w:t>
      </w:r>
    </w:p>
    <w:p>
      <w:r>
        <w:t>The Investment Team</w:t>
      </w:r>
    </w:p>
    <w:p>
      <w:pPr>
        <w:pStyle w:val="Heading2"/>
      </w:pPr>
      <w:r>
        <w:t>Pe-Fund-I</w:t>
      </w:r>
    </w:p>
    <w:p>
      <w:r>
        <w:t>March 23,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