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E25" w:rsidRDefault="00E504BF" w:rsidP="00E504BF">
      <w:pPr>
        <w:pStyle w:val="MDPI22heading2"/>
        <w:ind w:left="0"/>
        <w:rPr>
          <w:rFonts w:ascii="Helvatica" w:eastAsiaTheme="minorHAnsi" w:hAnsi="Helvatica" w:cstheme="minorBidi"/>
          <w:b/>
          <w:i w:val="0"/>
          <w:noProof w:val="0"/>
          <w:snapToGrid/>
          <w:color w:val="auto"/>
          <w:sz w:val="24"/>
          <w:szCs w:val="24"/>
          <w:lang w:val="en-GB" w:eastAsia="en-US" w:bidi="ar-SA"/>
        </w:rPr>
      </w:pPr>
      <w:r w:rsidRPr="00435E25">
        <w:rPr>
          <w:rFonts w:ascii="Helvatica" w:eastAsiaTheme="minorHAnsi" w:hAnsi="Helvatica" w:cstheme="minorBidi"/>
          <w:b/>
          <w:i w:val="0"/>
          <w:noProof w:val="0"/>
          <w:snapToGrid/>
          <w:color w:val="auto"/>
          <w:sz w:val="24"/>
          <w:szCs w:val="24"/>
          <w:lang w:val="en-GB" w:eastAsia="en-US" w:bidi="ar-SA"/>
        </w:rPr>
        <w:t xml:space="preserve">Supplementary </w:t>
      </w:r>
      <w:r w:rsidR="00435E25" w:rsidRPr="00435E25">
        <w:rPr>
          <w:rFonts w:ascii="Helvatica" w:eastAsiaTheme="minorHAnsi" w:hAnsi="Helvatica" w:cstheme="minorBidi"/>
          <w:b/>
          <w:i w:val="0"/>
          <w:noProof w:val="0"/>
          <w:snapToGrid/>
          <w:color w:val="auto"/>
          <w:sz w:val="24"/>
          <w:szCs w:val="24"/>
          <w:lang w:val="en-GB" w:eastAsia="en-US" w:bidi="ar-SA"/>
        </w:rPr>
        <w:t>materials</w:t>
      </w:r>
      <w:r w:rsidR="00435E25">
        <w:rPr>
          <w:rFonts w:ascii="Helvatica" w:eastAsiaTheme="minorHAnsi" w:hAnsi="Helvatica" w:cstheme="minorBidi"/>
          <w:b/>
          <w:i w:val="0"/>
          <w:noProof w:val="0"/>
          <w:snapToGrid/>
          <w:color w:val="auto"/>
          <w:sz w:val="24"/>
          <w:szCs w:val="24"/>
          <w:lang w:val="en-GB" w:eastAsia="en-US" w:bidi="ar-SA"/>
        </w:rPr>
        <w:t xml:space="preserve"> 1 </w:t>
      </w:r>
    </w:p>
    <w:p w:rsidR="00E504BF" w:rsidRPr="00566AF8" w:rsidRDefault="00E504BF" w:rsidP="00566AF8">
      <w:pPr>
        <w:rPr>
          <w:rFonts w:ascii="Helvatica" w:hAnsi="Helvatica"/>
          <w:b/>
          <w:sz w:val="24"/>
          <w:szCs w:val="24"/>
        </w:rPr>
      </w:pPr>
      <w:r w:rsidRPr="00566AF8">
        <w:rPr>
          <w:rFonts w:ascii="Helvatica" w:hAnsi="Helvatica"/>
          <w:b/>
          <w:sz w:val="24"/>
          <w:szCs w:val="24"/>
        </w:rPr>
        <w:t>CER, OUR and cell biomass estimation</w:t>
      </w:r>
    </w:p>
    <w:p w:rsidR="00566AF8" w:rsidRDefault="00566AF8" w:rsidP="00E504BF">
      <w:pPr>
        <w:pStyle w:val="MDPI31text"/>
        <w:ind w:left="0"/>
        <w:rPr>
          <w:rFonts w:ascii="Helvatica" w:eastAsiaTheme="minorHAnsi" w:hAnsi="Helvatica" w:cstheme="minorBidi"/>
          <w:snapToGrid/>
          <w:color w:val="auto"/>
          <w:sz w:val="24"/>
          <w:szCs w:val="24"/>
          <w:lang w:val="en-GB" w:eastAsia="en-US" w:bidi="ar-SA"/>
        </w:rPr>
      </w:pPr>
    </w:p>
    <w:p w:rsidR="00E504BF" w:rsidRPr="00435E25" w:rsidRDefault="00E504BF" w:rsidP="00E504BF">
      <w:pPr>
        <w:pStyle w:val="MDPI31text"/>
        <w:ind w:left="0"/>
        <w:rPr>
          <w:rFonts w:ascii="Helvatica" w:eastAsiaTheme="minorHAnsi" w:hAnsi="Helvatica" w:cstheme="minorBidi"/>
          <w:snapToGrid/>
          <w:color w:val="auto"/>
          <w:sz w:val="24"/>
          <w:szCs w:val="24"/>
          <w:lang w:val="en-GB" w:eastAsia="en-US" w:bidi="ar-SA"/>
        </w:rPr>
      </w:pPr>
      <w:r w:rsidRPr="00435E25">
        <w:rPr>
          <w:rFonts w:ascii="Helvatica" w:eastAsiaTheme="minorHAnsi" w:hAnsi="Helvatica" w:cstheme="minorBidi"/>
          <w:snapToGrid/>
          <w:color w:val="auto"/>
          <w:sz w:val="24"/>
          <w:szCs w:val="24"/>
          <w:lang w:val="en-GB" w:eastAsia="en-US" w:bidi="ar-SA"/>
        </w:rPr>
        <w:t>Carbon evolution rate (CER) and oxygen uptake rate (OUR) were estimated using the O</w:t>
      </w:r>
      <w:r w:rsidRPr="00435E25">
        <w:rPr>
          <w:rFonts w:ascii="Helvatica" w:eastAsiaTheme="minorHAnsi" w:hAnsi="Helvatica" w:cstheme="minorBidi"/>
          <w:snapToGrid/>
          <w:color w:val="auto"/>
          <w:sz w:val="24"/>
          <w:szCs w:val="24"/>
          <w:vertAlign w:val="subscript"/>
          <w:lang w:val="en-GB" w:eastAsia="en-US" w:bidi="ar-SA"/>
        </w:rPr>
        <w:t>2</w:t>
      </w:r>
      <w:r w:rsidRPr="00435E25">
        <w:rPr>
          <w:rFonts w:ascii="Helvatica" w:eastAsiaTheme="minorHAnsi" w:hAnsi="Helvatica" w:cstheme="minorBidi"/>
          <w:snapToGrid/>
          <w:color w:val="auto"/>
          <w:sz w:val="24"/>
          <w:szCs w:val="24"/>
          <w:lang w:val="en-GB" w:eastAsia="en-US" w:bidi="ar-SA"/>
        </w:rPr>
        <w:t>/CO</w:t>
      </w:r>
      <w:r w:rsidRPr="00435E25">
        <w:rPr>
          <w:rFonts w:ascii="Helvatica" w:eastAsiaTheme="minorHAnsi" w:hAnsi="Helvatica" w:cstheme="minorBidi"/>
          <w:snapToGrid/>
          <w:color w:val="auto"/>
          <w:sz w:val="24"/>
          <w:szCs w:val="24"/>
          <w:vertAlign w:val="subscript"/>
          <w:lang w:val="en-GB" w:eastAsia="en-US" w:bidi="ar-SA"/>
        </w:rPr>
        <w:t>2</w:t>
      </w:r>
      <w:r w:rsidRPr="00435E25">
        <w:rPr>
          <w:rFonts w:ascii="Helvatica" w:eastAsiaTheme="minorHAnsi" w:hAnsi="Helvatica" w:cstheme="minorBidi"/>
          <w:snapToGrid/>
          <w:color w:val="auto"/>
          <w:sz w:val="24"/>
          <w:szCs w:val="24"/>
          <w:lang w:val="en-GB" w:eastAsia="en-US" w:bidi="ar-SA"/>
        </w:rPr>
        <w:t xml:space="preserve"> </w:t>
      </w:r>
      <w:proofErr w:type="spellStart"/>
      <w:r w:rsidRPr="00435E25">
        <w:rPr>
          <w:rFonts w:ascii="Helvatica" w:eastAsiaTheme="minorHAnsi" w:hAnsi="Helvatica" w:cstheme="minorBidi"/>
          <w:snapToGrid/>
          <w:color w:val="auto"/>
          <w:sz w:val="24"/>
          <w:szCs w:val="24"/>
          <w:lang w:val="en-GB" w:eastAsia="en-US" w:bidi="ar-SA"/>
        </w:rPr>
        <w:t>analyzer</w:t>
      </w:r>
      <w:proofErr w:type="spellEnd"/>
      <w:r w:rsidRPr="00435E25">
        <w:rPr>
          <w:rFonts w:ascii="Helvatica" w:eastAsiaTheme="minorHAnsi" w:hAnsi="Helvatica" w:cstheme="minorBidi"/>
          <w:snapToGrid/>
          <w:color w:val="auto"/>
          <w:sz w:val="24"/>
          <w:szCs w:val="24"/>
          <w:lang w:val="en-GB" w:eastAsia="en-US" w:bidi="ar-SA"/>
        </w:rPr>
        <w:t xml:space="preserve"> and calculated using the following formulas:</w:t>
      </w:r>
    </w:p>
    <w:tbl>
      <w:tblPr>
        <w:tblW w:w="7859" w:type="dxa"/>
        <w:tblInd w:w="851" w:type="dxa"/>
        <w:tblCellMar>
          <w:left w:w="0" w:type="dxa"/>
          <w:right w:w="0" w:type="dxa"/>
        </w:tblCellMar>
        <w:tblLook w:val="04A0" w:firstRow="1" w:lastRow="0" w:firstColumn="1" w:lastColumn="0" w:noHBand="0" w:noVBand="1"/>
      </w:tblPr>
      <w:tblGrid>
        <w:gridCol w:w="7428"/>
        <w:gridCol w:w="431"/>
      </w:tblGrid>
      <w:tr w:rsidR="00E504BF" w:rsidRPr="00435E25" w:rsidTr="00E504BF">
        <w:tc>
          <w:tcPr>
            <w:tcW w:w="7428" w:type="dxa"/>
            <w:hideMark/>
          </w:tcPr>
          <w:p w:rsidR="00E504BF" w:rsidRPr="00435E25" w:rsidRDefault="00E504BF" w:rsidP="00E504BF">
            <w:pPr>
              <w:pStyle w:val="MDPI39equation"/>
              <w:ind w:left="-2468"/>
              <w:rPr>
                <w:rFonts w:ascii="Helvatica" w:eastAsiaTheme="minorHAnsi" w:hAnsi="Helvatica" w:cstheme="minorBidi"/>
                <w:snapToGrid/>
                <w:color w:val="auto"/>
                <w:sz w:val="24"/>
                <w:szCs w:val="24"/>
                <w:lang w:val="en-GB" w:eastAsia="en-US" w:bidi="ar-SA"/>
              </w:rPr>
            </w:pPr>
            <m:oMathPara>
              <m:oMath>
                <m:r>
                  <m:rPr>
                    <m:sty m:val="p"/>
                  </m:rPr>
                  <w:rPr>
                    <w:rFonts w:ascii="Cambria Math" w:eastAsiaTheme="minorHAnsi" w:hAnsi="Cambria Math" w:cstheme="minorBidi"/>
                    <w:snapToGrid/>
                    <w:color w:val="auto"/>
                    <w:sz w:val="24"/>
                    <w:szCs w:val="24"/>
                    <w:lang w:val="en-GB" w:eastAsia="en-US" w:bidi="ar-SA"/>
                  </w:rPr>
                  <m:t xml:space="preserve">CER= </m:t>
                </m:r>
                <m:f>
                  <m:fPr>
                    <m:ctrlPr>
                      <w:rPr>
                        <w:rFonts w:ascii="Cambria Math" w:eastAsiaTheme="minorHAnsi" w:hAnsi="Cambria Math" w:cstheme="minorBidi"/>
                        <w:snapToGrid/>
                        <w:color w:val="auto"/>
                        <w:sz w:val="24"/>
                        <w:szCs w:val="24"/>
                        <w:lang w:val="en-GB" w:eastAsia="en-US" w:bidi="ar-SA"/>
                      </w:rPr>
                    </m:ctrlPr>
                  </m:fPr>
                  <m:num>
                    <m:sSub>
                      <m:sSubPr>
                        <m:ctrlPr>
                          <w:rPr>
                            <w:rFonts w:ascii="Cambria Math" w:eastAsiaTheme="minorHAnsi" w:hAnsi="Cambria Math" w:cstheme="minorBidi"/>
                            <w:snapToGrid/>
                            <w:color w:val="auto"/>
                            <w:sz w:val="24"/>
                            <w:szCs w:val="24"/>
                            <w:lang w:val="en-GB" w:eastAsia="en-US" w:bidi="ar-SA"/>
                          </w:rPr>
                        </m:ctrlPr>
                      </m:sSubPr>
                      <m:e>
                        <m:r>
                          <w:rPr>
                            <w:rFonts w:ascii="Cambria Math" w:eastAsiaTheme="minorHAnsi" w:hAnsi="Cambria Math" w:cstheme="minorBidi"/>
                            <w:snapToGrid/>
                            <w:color w:val="auto"/>
                            <w:sz w:val="24"/>
                            <w:szCs w:val="24"/>
                            <w:lang w:val="en-GB" w:eastAsia="en-US" w:bidi="ar-SA"/>
                          </w:rPr>
                          <m:t>F</m:t>
                        </m:r>
                      </m:e>
                      <m:sub>
                        <m:r>
                          <w:rPr>
                            <w:rFonts w:ascii="Cambria Math" w:eastAsiaTheme="minorHAnsi" w:hAnsi="Cambria Math" w:cstheme="minorBidi"/>
                            <w:snapToGrid/>
                            <w:color w:val="auto"/>
                            <w:sz w:val="24"/>
                            <w:szCs w:val="24"/>
                            <w:lang w:val="en-GB" w:eastAsia="en-US" w:bidi="ar-SA"/>
                          </w:rPr>
                          <m:t>air</m:t>
                        </m:r>
                      </m:sub>
                    </m:sSub>
                    <m:r>
                      <m:rPr>
                        <m:sty m:val="p"/>
                      </m:rPr>
                      <w:rPr>
                        <w:rFonts w:ascii="Cambria Math" w:eastAsiaTheme="minorHAnsi" w:hAnsi="Cambria Math" w:cstheme="minorBidi"/>
                        <w:snapToGrid/>
                        <w:color w:val="auto"/>
                        <w:sz w:val="24"/>
                        <w:szCs w:val="24"/>
                        <w:lang w:val="en-GB" w:eastAsia="en-US" w:bidi="ar-SA"/>
                      </w:rPr>
                      <m:t>*</m:t>
                    </m:r>
                    <m:r>
                      <w:rPr>
                        <w:rFonts w:ascii="Cambria Math" w:eastAsiaTheme="minorHAnsi" w:hAnsi="Cambria Math" w:cstheme="minorBidi"/>
                        <w:snapToGrid/>
                        <w:color w:val="auto"/>
                        <w:sz w:val="24"/>
                        <w:szCs w:val="24"/>
                        <w:lang w:val="en-GB" w:eastAsia="en-US" w:bidi="ar-SA"/>
                      </w:rPr>
                      <m:t>P</m:t>
                    </m:r>
                  </m:num>
                  <m:den>
                    <m:r>
                      <w:rPr>
                        <w:rFonts w:ascii="Cambria Math" w:eastAsiaTheme="minorHAnsi" w:hAnsi="Cambria Math" w:cstheme="minorBidi"/>
                        <w:snapToGrid/>
                        <w:color w:val="auto"/>
                        <w:sz w:val="24"/>
                        <w:szCs w:val="24"/>
                        <w:lang w:val="en-GB" w:eastAsia="en-US" w:bidi="ar-SA"/>
                      </w:rPr>
                      <m:t>V</m:t>
                    </m:r>
                    <m:r>
                      <m:rPr>
                        <m:sty m:val="p"/>
                      </m:rPr>
                      <w:rPr>
                        <w:rFonts w:ascii="Cambria Math" w:eastAsiaTheme="minorHAnsi" w:hAnsi="Cambria Math" w:cstheme="minorBidi"/>
                        <w:snapToGrid/>
                        <w:color w:val="auto"/>
                        <w:sz w:val="24"/>
                        <w:szCs w:val="24"/>
                        <w:lang w:val="en-GB" w:eastAsia="en-US" w:bidi="ar-SA"/>
                      </w:rPr>
                      <m:t>*</m:t>
                    </m:r>
                    <m:r>
                      <w:rPr>
                        <w:rFonts w:ascii="Cambria Math" w:eastAsiaTheme="minorHAnsi" w:hAnsi="Cambria Math" w:cstheme="minorBidi"/>
                        <w:snapToGrid/>
                        <w:color w:val="auto"/>
                        <w:sz w:val="24"/>
                        <w:szCs w:val="24"/>
                        <w:lang w:val="en-GB" w:eastAsia="en-US" w:bidi="ar-SA"/>
                      </w:rPr>
                      <m:t>R</m:t>
                    </m:r>
                    <m:r>
                      <m:rPr>
                        <m:sty m:val="p"/>
                      </m:rPr>
                      <w:rPr>
                        <w:rFonts w:ascii="Cambria Math" w:eastAsiaTheme="minorHAnsi" w:hAnsi="Cambria Math" w:cstheme="minorBidi"/>
                        <w:snapToGrid/>
                        <w:color w:val="auto"/>
                        <w:sz w:val="24"/>
                        <w:szCs w:val="24"/>
                        <w:lang w:val="en-GB" w:eastAsia="en-US" w:bidi="ar-SA"/>
                      </w:rPr>
                      <m:t>*</m:t>
                    </m:r>
                    <m:r>
                      <w:rPr>
                        <w:rFonts w:ascii="Cambria Math" w:eastAsiaTheme="minorHAnsi" w:hAnsi="Cambria Math" w:cstheme="minorBidi"/>
                        <w:snapToGrid/>
                        <w:color w:val="auto"/>
                        <w:sz w:val="24"/>
                        <w:szCs w:val="24"/>
                        <w:lang w:val="en-GB" w:eastAsia="en-US" w:bidi="ar-SA"/>
                      </w:rPr>
                      <m:t>T</m:t>
                    </m:r>
                  </m:den>
                </m:f>
                <m:r>
                  <m:rPr>
                    <m:sty m:val="p"/>
                  </m:rPr>
                  <w:rPr>
                    <w:rFonts w:ascii="Cambria Math" w:eastAsiaTheme="minorHAnsi" w:hAnsi="Cambria Math" w:cstheme="minorBidi"/>
                    <w:snapToGrid/>
                    <w:color w:val="auto"/>
                    <w:sz w:val="24"/>
                    <w:szCs w:val="24"/>
                    <w:lang w:val="en-GB" w:eastAsia="en-US" w:bidi="ar-SA"/>
                  </w:rPr>
                  <m:t>*</m:t>
                </m:r>
                <m:d>
                  <m:dPr>
                    <m:ctrlPr>
                      <w:rPr>
                        <w:rFonts w:ascii="Cambria Math" w:eastAsiaTheme="minorHAnsi" w:hAnsi="Cambria Math" w:cstheme="minorBidi"/>
                        <w:snapToGrid/>
                        <w:color w:val="auto"/>
                        <w:sz w:val="24"/>
                        <w:szCs w:val="24"/>
                        <w:lang w:val="en-GB" w:eastAsia="en-US" w:bidi="ar-SA"/>
                      </w:rPr>
                    </m:ctrlPr>
                  </m:dPr>
                  <m:e>
                    <m:f>
                      <m:fPr>
                        <m:ctrlPr>
                          <w:rPr>
                            <w:rFonts w:ascii="Cambria Math" w:eastAsiaTheme="minorHAnsi" w:hAnsi="Cambria Math" w:cstheme="minorBidi"/>
                            <w:snapToGrid/>
                            <w:color w:val="auto"/>
                            <w:sz w:val="24"/>
                            <w:szCs w:val="24"/>
                            <w:lang w:val="en-GB" w:eastAsia="en-US" w:bidi="ar-SA"/>
                          </w:rPr>
                        </m:ctrlPr>
                      </m:fPr>
                      <m:num>
                        <m:r>
                          <m:rPr>
                            <m:sty m:val="p"/>
                          </m:rPr>
                          <w:rPr>
                            <w:rFonts w:ascii="Cambria Math" w:eastAsiaTheme="minorHAnsi" w:hAnsi="Cambria Math" w:cstheme="minorBidi"/>
                            <w:snapToGrid/>
                            <w:color w:val="auto"/>
                            <w:sz w:val="24"/>
                            <w:szCs w:val="24"/>
                            <w:lang w:val="en-GB" w:eastAsia="en-US" w:bidi="ar-SA"/>
                          </w:rPr>
                          <m:t>1-</m:t>
                        </m:r>
                        <m:sSub>
                          <m:sSubPr>
                            <m:ctrlPr>
                              <w:rPr>
                                <w:rFonts w:ascii="Cambria Math" w:eastAsiaTheme="minorHAnsi" w:hAnsi="Cambria Math" w:cstheme="minorBidi"/>
                                <w:snapToGrid/>
                                <w:color w:val="auto"/>
                                <w:sz w:val="24"/>
                                <w:szCs w:val="24"/>
                                <w:lang w:val="en-GB" w:eastAsia="en-US" w:bidi="ar-SA"/>
                              </w:rPr>
                            </m:ctrlPr>
                          </m:sSubPr>
                          <m:e>
                            <m:r>
                              <w:rPr>
                                <w:rFonts w:ascii="Cambria Math" w:eastAsiaTheme="minorHAnsi" w:hAnsi="Cambria Math" w:cstheme="minorBidi"/>
                                <w:snapToGrid/>
                                <w:color w:val="auto"/>
                                <w:sz w:val="24"/>
                                <w:szCs w:val="24"/>
                                <w:lang w:val="en-GB" w:eastAsia="en-US" w:bidi="ar-SA"/>
                              </w:rPr>
                              <m:t>O</m:t>
                            </m:r>
                          </m:e>
                          <m:sub>
                            <m:r>
                              <m:rPr>
                                <m:sty m:val="p"/>
                              </m:rPr>
                              <w:rPr>
                                <w:rFonts w:ascii="Cambria Math" w:eastAsiaTheme="minorHAnsi" w:hAnsi="Cambria Math" w:cstheme="minorBidi"/>
                                <w:snapToGrid/>
                                <w:color w:val="auto"/>
                                <w:sz w:val="24"/>
                                <w:szCs w:val="24"/>
                                <w:lang w:val="en-GB" w:eastAsia="en-US" w:bidi="ar-SA"/>
                              </w:rPr>
                              <m:t>2</m:t>
                            </m:r>
                          </m:sub>
                        </m:sSub>
                        <m:r>
                          <m:rPr>
                            <m:sty m:val="p"/>
                          </m:rPr>
                          <w:rPr>
                            <w:rFonts w:ascii="Cambria Math" w:eastAsiaTheme="minorHAnsi" w:hAnsi="Cambria Math" w:cstheme="minorBidi"/>
                            <w:snapToGrid/>
                            <w:color w:val="auto"/>
                            <w:sz w:val="24"/>
                            <w:szCs w:val="24"/>
                            <w:lang w:val="en-GB" w:eastAsia="en-US" w:bidi="ar-SA"/>
                          </w:rPr>
                          <m:t>%</m:t>
                        </m:r>
                        <m:r>
                          <w:rPr>
                            <w:rFonts w:ascii="Cambria Math" w:eastAsiaTheme="minorHAnsi" w:hAnsi="Cambria Math" w:cstheme="minorBidi"/>
                            <w:snapToGrid/>
                            <w:color w:val="auto"/>
                            <w:sz w:val="24"/>
                            <w:szCs w:val="24"/>
                            <w:lang w:val="en-GB" w:eastAsia="en-US" w:bidi="ar-SA"/>
                          </w:rPr>
                          <m:t>in</m:t>
                        </m:r>
                        <m:r>
                          <m:rPr>
                            <m:sty m:val="p"/>
                          </m:rPr>
                          <w:rPr>
                            <w:rFonts w:ascii="Cambria Math" w:eastAsiaTheme="minorHAnsi" w:hAnsi="Cambria Math" w:cstheme="minorBidi"/>
                            <w:snapToGrid/>
                            <w:color w:val="auto"/>
                            <w:sz w:val="24"/>
                            <w:szCs w:val="24"/>
                            <w:lang w:val="en-GB" w:eastAsia="en-US" w:bidi="ar-SA"/>
                          </w:rPr>
                          <m:t>-</m:t>
                        </m:r>
                        <m:sSub>
                          <m:sSubPr>
                            <m:ctrlPr>
                              <w:rPr>
                                <w:rFonts w:ascii="Cambria Math" w:eastAsiaTheme="minorHAnsi" w:hAnsi="Cambria Math" w:cstheme="minorBidi"/>
                                <w:snapToGrid/>
                                <w:color w:val="auto"/>
                                <w:sz w:val="24"/>
                                <w:szCs w:val="24"/>
                                <w:lang w:val="en-GB" w:eastAsia="en-US" w:bidi="ar-SA"/>
                              </w:rPr>
                            </m:ctrlPr>
                          </m:sSubPr>
                          <m:e>
                            <m:r>
                              <w:rPr>
                                <w:rFonts w:ascii="Cambria Math" w:eastAsiaTheme="minorHAnsi" w:hAnsi="Cambria Math" w:cstheme="minorBidi"/>
                                <w:snapToGrid/>
                                <w:color w:val="auto"/>
                                <w:sz w:val="24"/>
                                <w:szCs w:val="24"/>
                                <w:lang w:val="en-GB" w:eastAsia="en-US" w:bidi="ar-SA"/>
                              </w:rPr>
                              <m:t>CO</m:t>
                            </m:r>
                          </m:e>
                          <m:sub>
                            <m:r>
                              <m:rPr>
                                <m:sty m:val="p"/>
                              </m:rPr>
                              <w:rPr>
                                <w:rFonts w:ascii="Cambria Math" w:eastAsiaTheme="minorHAnsi" w:hAnsi="Cambria Math" w:cstheme="minorBidi"/>
                                <w:snapToGrid/>
                                <w:color w:val="auto"/>
                                <w:sz w:val="24"/>
                                <w:szCs w:val="24"/>
                                <w:lang w:val="en-GB" w:eastAsia="en-US" w:bidi="ar-SA"/>
                              </w:rPr>
                              <m:t>2</m:t>
                            </m:r>
                          </m:sub>
                        </m:sSub>
                        <m:r>
                          <m:rPr>
                            <m:sty m:val="p"/>
                          </m:rPr>
                          <w:rPr>
                            <w:rFonts w:ascii="Cambria Math" w:eastAsiaTheme="minorHAnsi" w:hAnsi="Cambria Math" w:cstheme="minorBidi"/>
                            <w:snapToGrid/>
                            <w:color w:val="auto"/>
                            <w:sz w:val="24"/>
                            <w:szCs w:val="24"/>
                            <w:lang w:val="en-GB" w:eastAsia="en-US" w:bidi="ar-SA"/>
                          </w:rPr>
                          <m:t>%</m:t>
                        </m:r>
                        <m:r>
                          <w:rPr>
                            <w:rFonts w:ascii="Cambria Math" w:eastAsiaTheme="minorHAnsi" w:hAnsi="Cambria Math" w:cstheme="minorBidi"/>
                            <w:snapToGrid/>
                            <w:color w:val="auto"/>
                            <w:sz w:val="24"/>
                            <w:szCs w:val="24"/>
                            <w:lang w:val="en-GB" w:eastAsia="en-US" w:bidi="ar-SA"/>
                          </w:rPr>
                          <m:t>in</m:t>
                        </m:r>
                      </m:num>
                      <m:den>
                        <m:r>
                          <m:rPr>
                            <m:sty m:val="p"/>
                          </m:rPr>
                          <w:rPr>
                            <w:rFonts w:ascii="Cambria Math" w:eastAsiaTheme="minorHAnsi" w:hAnsi="Cambria Math" w:cstheme="minorBidi"/>
                            <w:snapToGrid/>
                            <w:color w:val="auto"/>
                            <w:sz w:val="24"/>
                            <w:szCs w:val="24"/>
                            <w:lang w:val="en-GB" w:eastAsia="en-US" w:bidi="ar-SA"/>
                          </w:rPr>
                          <m:t>1-</m:t>
                        </m:r>
                        <m:sSub>
                          <m:sSubPr>
                            <m:ctrlPr>
                              <w:rPr>
                                <w:rFonts w:ascii="Cambria Math" w:eastAsiaTheme="minorHAnsi" w:hAnsi="Cambria Math" w:cstheme="minorBidi"/>
                                <w:snapToGrid/>
                                <w:color w:val="auto"/>
                                <w:sz w:val="24"/>
                                <w:szCs w:val="24"/>
                                <w:lang w:val="en-GB" w:eastAsia="en-US" w:bidi="ar-SA"/>
                              </w:rPr>
                            </m:ctrlPr>
                          </m:sSubPr>
                          <m:e>
                            <m:r>
                              <w:rPr>
                                <w:rFonts w:ascii="Cambria Math" w:eastAsiaTheme="minorHAnsi" w:hAnsi="Cambria Math" w:cstheme="minorBidi"/>
                                <w:snapToGrid/>
                                <w:color w:val="auto"/>
                                <w:sz w:val="24"/>
                                <w:szCs w:val="24"/>
                                <w:lang w:val="en-GB" w:eastAsia="en-US" w:bidi="ar-SA"/>
                              </w:rPr>
                              <m:t>O</m:t>
                            </m:r>
                          </m:e>
                          <m:sub>
                            <m:r>
                              <m:rPr>
                                <m:sty m:val="p"/>
                              </m:rPr>
                              <w:rPr>
                                <w:rFonts w:ascii="Cambria Math" w:eastAsiaTheme="minorHAnsi" w:hAnsi="Cambria Math" w:cstheme="minorBidi"/>
                                <w:snapToGrid/>
                                <w:color w:val="auto"/>
                                <w:sz w:val="24"/>
                                <w:szCs w:val="24"/>
                                <w:lang w:val="en-GB" w:eastAsia="en-US" w:bidi="ar-SA"/>
                              </w:rPr>
                              <m:t>2</m:t>
                            </m:r>
                          </m:sub>
                        </m:sSub>
                        <m:r>
                          <m:rPr>
                            <m:sty m:val="p"/>
                          </m:rPr>
                          <w:rPr>
                            <w:rFonts w:ascii="Cambria Math" w:eastAsiaTheme="minorHAnsi" w:hAnsi="Cambria Math" w:cstheme="minorBidi"/>
                            <w:snapToGrid/>
                            <w:color w:val="auto"/>
                            <w:sz w:val="24"/>
                            <w:szCs w:val="24"/>
                            <w:lang w:val="en-GB" w:eastAsia="en-US" w:bidi="ar-SA"/>
                          </w:rPr>
                          <m:t>%</m:t>
                        </m:r>
                        <m:r>
                          <w:rPr>
                            <w:rFonts w:ascii="Cambria Math" w:eastAsiaTheme="minorHAnsi" w:hAnsi="Cambria Math" w:cstheme="minorBidi"/>
                            <w:snapToGrid/>
                            <w:color w:val="auto"/>
                            <w:sz w:val="24"/>
                            <w:szCs w:val="24"/>
                            <w:lang w:val="en-GB" w:eastAsia="en-US" w:bidi="ar-SA"/>
                          </w:rPr>
                          <m:t>out</m:t>
                        </m:r>
                        <m:r>
                          <m:rPr>
                            <m:sty m:val="p"/>
                          </m:rPr>
                          <w:rPr>
                            <w:rFonts w:ascii="Cambria Math" w:eastAsiaTheme="minorHAnsi" w:hAnsi="Cambria Math" w:cstheme="minorBidi"/>
                            <w:snapToGrid/>
                            <w:color w:val="auto"/>
                            <w:sz w:val="24"/>
                            <w:szCs w:val="24"/>
                            <w:lang w:val="en-GB" w:eastAsia="en-US" w:bidi="ar-SA"/>
                          </w:rPr>
                          <m:t>-</m:t>
                        </m:r>
                        <m:sSub>
                          <m:sSubPr>
                            <m:ctrlPr>
                              <w:rPr>
                                <w:rFonts w:ascii="Cambria Math" w:eastAsiaTheme="minorHAnsi" w:hAnsi="Cambria Math" w:cstheme="minorBidi"/>
                                <w:snapToGrid/>
                                <w:color w:val="auto"/>
                                <w:sz w:val="24"/>
                                <w:szCs w:val="24"/>
                                <w:lang w:val="en-GB" w:eastAsia="en-US" w:bidi="ar-SA"/>
                              </w:rPr>
                            </m:ctrlPr>
                          </m:sSubPr>
                          <m:e>
                            <m:r>
                              <w:rPr>
                                <w:rFonts w:ascii="Cambria Math" w:eastAsiaTheme="minorHAnsi" w:hAnsi="Cambria Math" w:cstheme="minorBidi"/>
                                <w:snapToGrid/>
                                <w:color w:val="auto"/>
                                <w:sz w:val="24"/>
                                <w:szCs w:val="24"/>
                                <w:lang w:val="en-GB" w:eastAsia="en-US" w:bidi="ar-SA"/>
                              </w:rPr>
                              <m:t>CO</m:t>
                            </m:r>
                          </m:e>
                          <m:sub>
                            <m:r>
                              <m:rPr>
                                <m:sty m:val="p"/>
                              </m:rPr>
                              <w:rPr>
                                <w:rFonts w:ascii="Cambria Math" w:eastAsiaTheme="minorHAnsi" w:hAnsi="Cambria Math" w:cstheme="minorBidi"/>
                                <w:snapToGrid/>
                                <w:color w:val="auto"/>
                                <w:sz w:val="24"/>
                                <w:szCs w:val="24"/>
                                <w:lang w:val="en-GB" w:eastAsia="en-US" w:bidi="ar-SA"/>
                              </w:rPr>
                              <m:t>2</m:t>
                            </m:r>
                          </m:sub>
                        </m:sSub>
                        <m:r>
                          <m:rPr>
                            <m:sty m:val="p"/>
                          </m:rPr>
                          <w:rPr>
                            <w:rFonts w:ascii="Cambria Math" w:eastAsiaTheme="minorHAnsi" w:hAnsi="Cambria Math" w:cstheme="minorBidi"/>
                            <w:snapToGrid/>
                            <w:color w:val="auto"/>
                            <w:sz w:val="24"/>
                            <w:szCs w:val="24"/>
                            <w:lang w:val="en-GB" w:eastAsia="en-US" w:bidi="ar-SA"/>
                          </w:rPr>
                          <m:t>%</m:t>
                        </m:r>
                        <m:r>
                          <w:rPr>
                            <w:rFonts w:ascii="Cambria Math" w:eastAsiaTheme="minorHAnsi" w:hAnsi="Cambria Math" w:cstheme="minorBidi"/>
                            <w:snapToGrid/>
                            <w:color w:val="auto"/>
                            <w:sz w:val="24"/>
                            <w:szCs w:val="24"/>
                            <w:lang w:val="en-GB" w:eastAsia="en-US" w:bidi="ar-SA"/>
                          </w:rPr>
                          <m:t>out</m:t>
                        </m:r>
                      </m:den>
                    </m:f>
                    <m:r>
                      <m:rPr>
                        <m:sty m:val="p"/>
                      </m:rPr>
                      <w:rPr>
                        <w:rFonts w:ascii="Cambria Math" w:eastAsiaTheme="minorHAnsi" w:hAnsi="Cambria Math" w:cstheme="minorBidi"/>
                        <w:snapToGrid/>
                        <w:color w:val="auto"/>
                        <w:sz w:val="24"/>
                        <w:szCs w:val="24"/>
                        <w:lang w:val="en-GB" w:eastAsia="en-US" w:bidi="ar-SA"/>
                      </w:rPr>
                      <m:t>*</m:t>
                    </m:r>
                    <m:sSub>
                      <m:sSubPr>
                        <m:ctrlPr>
                          <w:rPr>
                            <w:rFonts w:ascii="Cambria Math" w:eastAsiaTheme="minorHAnsi" w:hAnsi="Cambria Math" w:cstheme="minorBidi"/>
                            <w:snapToGrid/>
                            <w:color w:val="auto"/>
                            <w:sz w:val="24"/>
                            <w:szCs w:val="24"/>
                            <w:lang w:val="en-GB" w:eastAsia="en-US" w:bidi="ar-SA"/>
                          </w:rPr>
                        </m:ctrlPr>
                      </m:sSubPr>
                      <m:e>
                        <m:r>
                          <w:rPr>
                            <w:rFonts w:ascii="Cambria Math" w:eastAsiaTheme="minorHAnsi" w:hAnsi="Cambria Math" w:cstheme="minorBidi"/>
                            <w:snapToGrid/>
                            <w:color w:val="auto"/>
                            <w:sz w:val="24"/>
                            <w:szCs w:val="24"/>
                            <w:lang w:val="en-GB" w:eastAsia="en-US" w:bidi="ar-SA"/>
                          </w:rPr>
                          <m:t>CO</m:t>
                        </m:r>
                      </m:e>
                      <m:sub>
                        <m:r>
                          <m:rPr>
                            <m:sty m:val="p"/>
                          </m:rPr>
                          <w:rPr>
                            <w:rFonts w:ascii="Cambria Math" w:eastAsiaTheme="minorHAnsi" w:hAnsi="Cambria Math" w:cstheme="minorBidi"/>
                            <w:snapToGrid/>
                            <w:color w:val="auto"/>
                            <w:sz w:val="24"/>
                            <w:szCs w:val="24"/>
                            <w:lang w:val="en-GB" w:eastAsia="en-US" w:bidi="ar-SA"/>
                          </w:rPr>
                          <m:t>2</m:t>
                        </m:r>
                      </m:sub>
                    </m:sSub>
                    <m:r>
                      <m:rPr>
                        <m:sty m:val="p"/>
                      </m:rPr>
                      <w:rPr>
                        <w:rFonts w:ascii="Cambria Math" w:eastAsiaTheme="minorHAnsi" w:hAnsi="Cambria Math" w:cstheme="minorBidi"/>
                        <w:snapToGrid/>
                        <w:color w:val="auto"/>
                        <w:sz w:val="24"/>
                        <w:szCs w:val="24"/>
                        <w:lang w:val="en-GB" w:eastAsia="en-US" w:bidi="ar-SA"/>
                      </w:rPr>
                      <m:t>%</m:t>
                    </m:r>
                    <m:r>
                      <w:rPr>
                        <w:rFonts w:ascii="Cambria Math" w:eastAsiaTheme="minorHAnsi" w:hAnsi="Cambria Math" w:cstheme="minorBidi"/>
                        <w:snapToGrid/>
                        <w:color w:val="auto"/>
                        <w:sz w:val="24"/>
                        <w:szCs w:val="24"/>
                        <w:lang w:val="en-GB" w:eastAsia="en-US" w:bidi="ar-SA"/>
                      </w:rPr>
                      <m:t>out</m:t>
                    </m:r>
                    <m:r>
                      <m:rPr>
                        <m:sty m:val="p"/>
                      </m:rPr>
                      <w:rPr>
                        <w:rFonts w:ascii="Cambria Math" w:eastAsiaTheme="minorHAnsi" w:hAnsi="Cambria Math" w:cstheme="minorBidi"/>
                        <w:snapToGrid/>
                        <w:color w:val="auto"/>
                        <w:sz w:val="24"/>
                        <w:szCs w:val="24"/>
                        <w:lang w:val="en-GB" w:eastAsia="en-US" w:bidi="ar-SA"/>
                      </w:rPr>
                      <m:t>-</m:t>
                    </m:r>
                    <m:sSub>
                      <m:sSubPr>
                        <m:ctrlPr>
                          <w:rPr>
                            <w:rFonts w:ascii="Cambria Math" w:eastAsiaTheme="minorHAnsi" w:hAnsi="Cambria Math" w:cstheme="minorBidi"/>
                            <w:snapToGrid/>
                            <w:color w:val="auto"/>
                            <w:sz w:val="24"/>
                            <w:szCs w:val="24"/>
                            <w:lang w:val="en-GB" w:eastAsia="en-US" w:bidi="ar-SA"/>
                          </w:rPr>
                        </m:ctrlPr>
                      </m:sSubPr>
                      <m:e>
                        <m:r>
                          <w:rPr>
                            <w:rFonts w:ascii="Cambria Math" w:eastAsiaTheme="minorHAnsi" w:hAnsi="Cambria Math" w:cstheme="minorBidi"/>
                            <w:snapToGrid/>
                            <w:color w:val="auto"/>
                            <w:sz w:val="24"/>
                            <w:szCs w:val="24"/>
                            <w:lang w:val="en-GB" w:eastAsia="en-US" w:bidi="ar-SA"/>
                          </w:rPr>
                          <m:t>CO</m:t>
                        </m:r>
                      </m:e>
                      <m:sub>
                        <m:r>
                          <m:rPr>
                            <m:sty m:val="p"/>
                          </m:rPr>
                          <w:rPr>
                            <w:rFonts w:ascii="Cambria Math" w:eastAsiaTheme="minorHAnsi" w:hAnsi="Cambria Math" w:cstheme="minorBidi"/>
                            <w:snapToGrid/>
                            <w:color w:val="auto"/>
                            <w:sz w:val="24"/>
                            <w:szCs w:val="24"/>
                            <w:lang w:val="en-GB" w:eastAsia="en-US" w:bidi="ar-SA"/>
                          </w:rPr>
                          <m:t>2</m:t>
                        </m:r>
                      </m:sub>
                    </m:sSub>
                    <m:r>
                      <m:rPr>
                        <m:sty m:val="p"/>
                      </m:rPr>
                      <w:rPr>
                        <w:rFonts w:ascii="Cambria Math" w:eastAsiaTheme="minorHAnsi" w:hAnsi="Cambria Math" w:cstheme="minorBidi"/>
                        <w:snapToGrid/>
                        <w:color w:val="auto"/>
                        <w:sz w:val="24"/>
                        <w:szCs w:val="24"/>
                        <w:lang w:val="en-GB" w:eastAsia="en-US" w:bidi="ar-SA"/>
                      </w:rPr>
                      <m:t>%</m:t>
                    </m:r>
                    <m:r>
                      <w:rPr>
                        <w:rFonts w:ascii="Cambria Math" w:eastAsiaTheme="minorHAnsi" w:hAnsi="Cambria Math" w:cstheme="minorBidi"/>
                        <w:snapToGrid/>
                        <w:color w:val="auto"/>
                        <w:sz w:val="24"/>
                        <w:szCs w:val="24"/>
                        <w:lang w:val="en-GB" w:eastAsia="en-US" w:bidi="ar-SA"/>
                      </w:rPr>
                      <m:t>in</m:t>
                    </m:r>
                  </m:e>
                </m:d>
              </m:oMath>
            </m:oMathPara>
          </w:p>
        </w:tc>
        <w:tc>
          <w:tcPr>
            <w:tcW w:w="431" w:type="dxa"/>
            <w:vAlign w:val="center"/>
            <w:hideMark/>
          </w:tcPr>
          <w:p w:rsidR="00E504BF" w:rsidRPr="00435E25" w:rsidRDefault="00E504BF" w:rsidP="00E504BF">
            <w:pPr>
              <w:pStyle w:val="MDPI3aequationnumber"/>
              <w:spacing w:line="260" w:lineRule="atLeast"/>
              <w:rPr>
                <w:rFonts w:ascii="Helvatica" w:eastAsiaTheme="minorHAnsi" w:hAnsi="Helvatica" w:cstheme="minorBidi"/>
                <w:snapToGrid/>
                <w:color w:val="auto"/>
                <w:sz w:val="24"/>
                <w:szCs w:val="24"/>
                <w:lang w:val="en-GB" w:eastAsia="en-US" w:bidi="ar-SA"/>
              </w:rPr>
            </w:pPr>
            <w:r w:rsidRPr="00435E25">
              <w:rPr>
                <w:rFonts w:ascii="Helvatica" w:eastAsiaTheme="minorHAnsi" w:hAnsi="Helvatica" w:cstheme="minorBidi"/>
                <w:snapToGrid/>
                <w:color w:val="auto"/>
                <w:sz w:val="24"/>
                <w:szCs w:val="24"/>
                <w:lang w:val="en-GB" w:eastAsia="en-US" w:bidi="ar-SA"/>
              </w:rPr>
              <w:t>(1)</w:t>
            </w:r>
          </w:p>
        </w:tc>
      </w:tr>
      <w:tr w:rsidR="00E504BF" w:rsidRPr="00435E25" w:rsidTr="00E504BF">
        <w:tc>
          <w:tcPr>
            <w:tcW w:w="7428" w:type="dxa"/>
            <w:hideMark/>
          </w:tcPr>
          <w:p w:rsidR="00E504BF" w:rsidRPr="00435E25" w:rsidRDefault="00E504BF" w:rsidP="00E504BF">
            <w:pPr>
              <w:pStyle w:val="MDPI39equation"/>
              <w:ind w:left="-3036"/>
              <w:rPr>
                <w:rFonts w:ascii="Cambria Math" w:eastAsiaTheme="minorHAnsi" w:hAnsi="Cambria Math" w:cstheme="minorBidi"/>
                <w:snapToGrid/>
                <w:color w:val="auto"/>
                <w:sz w:val="24"/>
                <w:szCs w:val="24"/>
                <w:lang w:val="en-GB" w:eastAsia="en-US" w:bidi="ar-SA"/>
                <w:oMath/>
              </w:rPr>
            </w:pPr>
            <m:oMathPara>
              <m:oMath>
                <m:r>
                  <m:rPr>
                    <m:sty m:val="p"/>
                  </m:rPr>
                  <w:rPr>
                    <w:rFonts w:ascii="Cambria Math" w:eastAsiaTheme="minorHAnsi" w:hAnsi="Cambria Math" w:cstheme="minorBidi"/>
                    <w:snapToGrid/>
                    <w:color w:val="auto"/>
                    <w:sz w:val="24"/>
                    <w:szCs w:val="24"/>
                    <w:lang w:val="en-GB" w:eastAsia="en-US" w:bidi="ar-SA"/>
                  </w:rPr>
                  <m:t xml:space="preserve">OUR= </m:t>
                </m:r>
                <m:f>
                  <m:fPr>
                    <m:ctrlPr>
                      <w:rPr>
                        <w:rFonts w:ascii="Cambria Math" w:eastAsiaTheme="minorHAnsi" w:hAnsi="Cambria Math" w:cstheme="minorBidi"/>
                        <w:snapToGrid/>
                        <w:color w:val="auto"/>
                        <w:sz w:val="24"/>
                        <w:szCs w:val="24"/>
                        <w:lang w:val="en-GB" w:eastAsia="en-US" w:bidi="ar-SA"/>
                      </w:rPr>
                    </m:ctrlPr>
                  </m:fPr>
                  <m:num>
                    <m:sSub>
                      <m:sSubPr>
                        <m:ctrlPr>
                          <w:rPr>
                            <w:rFonts w:ascii="Cambria Math" w:eastAsiaTheme="minorHAnsi" w:hAnsi="Cambria Math" w:cstheme="minorBidi"/>
                            <w:snapToGrid/>
                            <w:color w:val="auto"/>
                            <w:sz w:val="24"/>
                            <w:szCs w:val="24"/>
                            <w:lang w:val="en-GB" w:eastAsia="en-US" w:bidi="ar-SA"/>
                          </w:rPr>
                        </m:ctrlPr>
                      </m:sSubPr>
                      <m:e>
                        <m:r>
                          <w:rPr>
                            <w:rFonts w:ascii="Cambria Math" w:eastAsiaTheme="minorHAnsi" w:hAnsi="Cambria Math" w:cstheme="minorBidi"/>
                            <w:snapToGrid/>
                            <w:color w:val="auto"/>
                            <w:sz w:val="24"/>
                            <w:szCs w:val="24"/>
                            <w:lang w:val="en-GB" w:eastAsia="en-US" w:bidi="ar-SA"/>
                          </w:rPr>
                          <m:t>F</m:t>
                        </m:r>
                      </m:e>
                      <m:sub>
                        <m:r>
                          <w:rPr>
                            <w:rFonts w:ascii="Cambria Math" w:eastAsiaTheme="minorHAnsi" w:hAnsi="Cambria Math" w:cstheme="minorBidi"/>
                            <w:snapToGrid/>
                            <w:color w:val="auto"/>
                            <w:sz w:val="24"/>
                            <w:szCs w:val="24"/>
                            <w:lang w:val="en-GB" w:eastAsia="en-US" w:bidi="ar-SA"/>
                          </w:rPr>
                          <m:t>air</m:t>
                        </m:r>
                      </m:sub>
                    </m:sSub>
                    <m:r>
                      <m:rPr>
                        <m:sty m:val="p"/>
                      </m:rPr>
                      <w:rPr>
                        <w:rFonts w:ascii="Cambria Math" w:eastAsiaTheme="minorHAnsi" w:hAnsi="Cambria Math" w:cstheme="minorBidi"/>
                        <w:snapToGrid/>
                        <w:color w:val="auto"/>
                        <w:sz w:val="24"/>
                        <w:szCs w:val="24"/>
                        <w:lang w:val="en-GB" w:eastAsia="en-US" w:bidi="ar-SA"/>
                      </w:rPr>
                      <m:t>*</m:t>
                    </m:r>
                    <m:r>
                      <w:rPr>
                        <w:rFonts w:ascii="Cambria Math" w:eastAsiaTheme="minorHAnsi" w:hAnsi="Cambria Math" w:cstheme="minorBidi"/>
                        <w:snapToGrid/>
                        <w:color w:val="auto"/>
                        <w:sz w:val="24"/>
                        <w:szCs w:val="24"/>
                        <w:lang w:val="en-GB" w:eastAsia="en-US" w:bidi="ar-SA"/>
                      </w:rPr>
                      <m:t>P</m:t>
                    </m:r>
                  </m:num>
                  <m:den>
                    <m:r>
                      <w:rPr>
                        <w:rFonts w:ascii="Cambria Math" w:eastAsiaTheme="minorHAnsi" w:hAnsi="Cambria Math" w:cstheme="minorBidi"/>
                        <w:snapToGrid/>
                        <w:color w:val="auto"/>
                        <w:sz w:val="24"/>
                        <w:szCs w:val="24"/>
                        <w:lang w:val="en-GB" w:eastAsia="en-US" w:bidi="ar-SA"/>
                      </w:rPr>
                      <m:t>V</m:t>
                    </m:r>
                    <m:r>
                      <m:rPr>
                        <m:sty m:val="p"/>
                      </m:rPr>
                      <w:rPr>
                        <w:rFonts w:ascii="Cambria Math" w:eastAsiaTheme="minorHAnsi" w:hAnsi="Cambria Math" w:cstheme="minorBidi"/>
                        <w:snapToGrid/>
                        <w:color w:val="auto"/>
                        <w:sz w:val="24"/>
                        <w:szCs w:val="24"/>
                        <w:lang w:val="en-GB" w:eastAsia="en-US" w:bidi="ar-SA"/>
                      </w:rPr>
                      <m:t>*</m:t>
                    </m:r>
                    <m:r>
                      <w:rPr>
                        <w:rFonts w:ascii="Cambria Math" w:eastAsiaTheme="minorHAnsi" w:hAnsi="Cambria Math" w:cstheme="minorBidi"/>
                        <w:snapToGrid/>
                        <w:color w:val="auto"/>
                        <w:sz w:val="24"/>
                        <w:szCs w:val="24"/>
                        <w:lang w:val="en-GB" w:eastAsia="en-US" w:bidi="ar-SA"/>
                      </w:rPr>
                      <m:t>R</m:t>
                    </m:r>
                    <m:r>
                      <m:rPr>
                        <m:sty m:val="p"/>
                      </m:rPr>
                      <w:rPr>
                        <w:rFonts w:ascii="Cambria Math" w:eastAsiaTheme="minorHAnsi" w:hAnsi="Cambria Math" w:cstheme="minorBidi"/>
                        <w:snapToGrid/>
                        <w:color w:val="auto"/>
                        <w:sz w:val="24"/>
                        <w:szCs w:val="24"/>
                        <w:lang w:val="en-GB" w:eastAsia="en-US" w:bidi="ar-SA"/>
                      </w:rPr>
                      <m:t>*</m:t>
                    </m:r>
                    <m:r>
                      <w:rPr>
                        <w:rFonts w:ascii="Cambria Math" w:eastAsiaTheme="minorHAnsi" w:hAnsi="Cambria Math" w:cstheme="minorBidi"/>
                        <w:snapToGrid/>
                        <w:color w:val="auto"/>
                        <w:sz w:val="24"/>
                        <w:szCs w:val="24"/>
                        <w:lang w:val="en-GB" w:eastAsia="en-US" w:bidi="ar-SA"/>
                      </w:rPr>
                      <m:t>T</m:t>
                    </m:r>
                  </m:den>
                </m:f>
                <m:r>
                  <m:rPr>
                    <m:sty m:val="p"/>
                  </m:rPr>
                  <w:rPr>
                    <w:rFonts w:ascii="Cambria Math" w:eastAsiaTheme="minorHAnsi" w:hAnsi="Cambria Math" w:cstheme="minorBidi"/>
                    <w:snapToGrid/>
                    <w:color w:val="auto"/>
                    <w:sz w:val="24"/>
                    <w:szCs w:val="24"/>
                    <w:lang w:val="en-GB" w:eastAsia="en-US" w:bidi="ar-SA"/>
                  </w:rPr>
                  <m:t>*</m:t>
                </m:r>
                <m:d>
                  <m:dPr>
                    <m:ctrlPr>
                      <w:rPr>
                        <w:rFonts w:ascii="Cambria Math" w:eastAsiaTheme="minorHAnsi" w:hAnsi="Cambria Math" w:cstheme="minorBidi"/>
                        <w:snapToGrid/>
                        <w:color w:val="auto"/>
                        <w:sz w:val="24"/>
                        <w:szCs w:val="24"/>
                        <w:lang w:val="en-GB" w:eastAsia="en-US" w:bidi="ar-SA"/>
                      </w:rPr>
                    </m:ctrlPr>
                  </m:dPr>
                  <m:e>
                    <m:sSub>
                      <m:sSubPr>
                        <m:ctrlPr>
                          <w:rPr>
                            <w:rFonts w:ascii="Cambria Math" w:eastAsiaTheme="minorHAnsi" w:hAnsi="Cambria Math" w:cstheme="minorBidi"/>
                            <w:snapToGrid/>
                            <w:color w:val="auto"/>
                            <w:sz w:val="24"/>
                            <w:szCs w:val="24"/>
                            <w:lang w:val="en-GB" w:eastAsia="en-US" w:bidi="ar-SA"/>
                          </w:rPr>
                        </m:ctrlPr>
                      </m:sSubPr>
                      <m:e>
                        <m:r>
                          <w:rPr>
                            <w:rFonts w:ascii="Cambria Math" w:eastAsiaTheme="minorHAnsi" w:hAnsi="Cambria Math" w:cstheme="minorBidi"/>
                            <w:snapToGrid/>
                            <w:color w:val="auto"/>
                            <w:sz w:val="24"/>
                            <w:szCs w:val="24"/>
                            <w:lang w:val="en-GB" w:eastAsia="en-US" w:bidi="ar-SA"/>
                          </w:rPr>
                          <m:t>O</m:t>
                        </m:r>
                      </m:e>
                      <m:sub>
                        <m:r>
                          <m:rPr>
                            <m:sty m:val="p"/>
                          </m:rPr>
                          <w:rPr>
                            <w:rFonts w:ascii="Cambria Math" w:eastAsiaTheme="minorHAnsi" w:hAnsi="Cambria Math" w:cstheme="minorBidi"/>
                            <w:snapToGrid/>
                            <w:color w:val="auto"/>
                            <w:sz w:val="24"/>
                            <w:szCs w:val="24"/>
                            <w:lang w:val="en-GB" w:eastAsia="en-US" w:bidi="ar-SA"/>
                          </w:rPr>
                          <m:t>2</m:t>
                        </m:r>
                      </m:sub>
                    </m:sSub>
                    <m:r>
                      <m:rPr>
                        <m:sty m:val="p"/>
                      </m:rPr>
                      <w:rPr>
                        <w:rFonts w:ascii="Cambria Math" w:eastAsiaTheme="minorHAnsi" w:hAnsi="Cambria Math" w:cstheme="minorBidi"/>
                        <w:snapToGrid/>
                        <w:color w:val="auto"/>
                        <w:sz w:val="24"/>
                        <w:szCs w:val="24"/>
                        <w:lang w:val="en-GB" w:eastAsia="en-US" w:bidi="ar-SA"/>
                      </w:rPr>
                      <m:t>%</m:t>
                    </m:r>
                    <m:r>
                      <w:rPr>
                        <w:rFonts w:ascii="Cambria Math" w:eastAsiaTheme="minorHAnsi" w:hAnsi="Cambria Math" w:cstheme="minorBidi"/>
                        <w:snapToGrid/>
                        <w:color w:val="auto"/>
                        <w:sz w:val="24"/>
                        <w:szCs w:val="24"/>
                        <w:lang w:val="en-GB" w:eastAsia="en-US" w:bidi="ar-SA"/>
                      </w:rPr>
                      <m:t>in</m:t>
                    </m:r>
                    <m:r>
                      <m:rPr>
                        <m:sty m:val="p"/>
                      </m:rPr>
                      <w:rPr>
                        <w:rFonts w:ascii="Cambria Math" w:eastAsiaTheme="minorHAnsi" w:hAnsi="Cambria Math" w:cstheme="minorBidi"/>
                        <w:snapToGrid/>
                        <w:color w:val="auto"/>
                        <w:sz w:val="24"/>
                        <w:szCs w:val="24"/>
                        <w:lang w:val="en-GB" w:eastAsia="en-US" w:bidi="ar-SA"/>
                      </w:rPr>
                      <m:t>-</m:t>
                    </m:r>
                    <m:f>
                      <m:fPr>
                        <m:ctrlPr>
                          <w:rPr>
                            <w:rFonts w:ascii="Cambria Math" w:eastAsiaTheme="minorHAnsi" w:hAnsi="Cambria Math" w:cstheme="minorBidi"/>
                            <w:snapToGrid/>
                            <w:color w:val="auto"/>
                            <w:sz w:val="24"/>
                            <w:szCs w:val="24"/>
                            <w:lang w:val="en-GB" w:eastAsia="en-US" w:bidi="ar-SA"/>
                          </w:rPr>
                        </m:ctrlPr>
                      </m:fPr>
                      <m:num>
                        <m:r>
                          <m:rPr>
                            <m:sty m:val="p"/>
                          </m:rPr>
                          <w:rPr>
                            <w:rFonts w:ascii="Cambria Math" w:eastAsiaTheme="minorHAnsi" w:hAnsi="Cambria Math" w:cstheme="minorBidi"/>
                            <w:snapToGrid/>
                            <w:color w:val="auto"/>
                            <w:sz w:val="24"/>
                            <w:szCs w:val="24"/>
                            <w:lang w:val="en-GB" w:eastAsia="en-US" w:bidi="ar-SA"/>
                          </w:rPr>
                          <m:t>1-</m:t>
                        </m:r>
                        <m:sSub>
                          <m:sSubPr>
                            <m:ctrlPr>
                              <w:rPr>
                                <w:rFonts w:ascii="Cambria Math" w:eastAsiaTheme="minorHAnsi" w:hAnsi="Cambria Math" w:cstheme="minorBidi"/>
                                <w:snapToGrid/>
                                <w:color w:val="auto"/>
                                <w:sz w:val="24"/>
                                <w:szCs w:val="24"/>
                                <w:lang w:val="en-GB" w:eastAsia="en-US" w:bidi="ar-SA"/>
                              </w:rPr>
                            </m:ctrlPr>
                          </m:sSubPr>
                          <m:e>
                            <m:r>
                              <w:rPr>
                                <w:rFonts w:ascii="Cambria Math" w:eastAsiaTheme="minorHAnsi" w:hAnsi="Cambria Math" w:cstheme="minorBidi"/>
                                <w:snapToGrid/>
                                <w:color w:val="auto"/>
                                <w:sz w:val="24"/>
                                <w:szCs w:val="24"/>
                                <w:lang w:val="en-GB" w:eastAsia="en-US" w:bidi="ar-SA"/>
                              </w:rPr>
                              <m:t>O</m:t>
                            </m:r>
                          </m:e>
                          <m:sub>
                            <m:r>
                              <m:rPr>
                                <m:sty m:val="p"/>
                              </m:rPr>
                              <w:rPr>
                                <w:rFonts w:ascii="Cambria Math" w:eastAsiaTheme="minorHAnsi" w:hAnsi="Cambria Math" w:cstheme="minorBidi"/>
                                <w:snapToGrid/>
                                <w:color w:val="auto"/>
                                <w:sz w:val="24"/>
                                <w:szCs w:val="24"/>
                                <w:lang w:val="en-GB" w:eastAsia="en-US" w:bidi="ar-SA"/>
                              </w:rPr>
                              <m:t>2</m:t>
                            </m:r>
                          </m:sub>
                        </m:sSub>
                        <m:r>
                          <m:rPr>
                            <m:sty m:val="p"/>
                          </m:rPr>
                          <w:rPr>
                            <w:rFonts w:ascii="Cambria Math" w:eastAsiaTheme="minorHAnsi" w:hAnsi="Cambria Math" w:cstheme="minorBidi"/>
                            <w:snapToGrid/>
                            <w:color w:val="auto"/>
                            <w:sz w:val="24"/>
                            <w:szCs w:val="24"/>
                            <w:lang w:val="en-GB" w:eastAsia="en-US" w:bidi="ar-SA"/>
                          </w:rPr>
                          <m:t>%</m:t>
                        </m:r>
                        <m:r>
                          <w:rPr>
                            <w:rFonts w:ascii="Cambria Math" w:eastAsiaTheme="minorHAnsi" w:hAnsi="Cambria Math" w:cstheme="minorBidi"/>
                            <w:snapToGrid/>
                            <w:color w:val="auto"/>
                            <w:sz w:val="24"/>
                            <w:szCs w:val="24"/>
                            <w:lang w:val="en-GB" w:eastAsia="en-US" w:bidi="ar-SA"/>
                          </w:rPr>
                          <m:t>in</m:t>
                        </m:r>
                        <m:r>
                          <m:rPr>
                            <m:sty m:val="p"/>
                          </m:rPr>
                          <w:rPr>
                            <w:rFonts w:ascii="Cambria Math" w:eastAsiaTheme="minorHAnsi" w:hAnsi="Cambria Math" w:cstheme="minorBidi"/>
                            <w:snapToGrid/>
                            <w:color w:val="auto"/>
                            <w:sz w:val="24"/>
                            <w:szCs w:val="24"/>
                            <w:lang w:val="en-GB" w:eastAsia="en-US" w:bidi="ar-SA"/>
                          </w:rPr>
                          <m:t>-</m:t>
                        </m:r>
                        <m:sSub>
                          <m:sSubPr>
                            <m:ctrlPr>
                              <w:rPr>
                                <w:rFonts w:ascii="Cambria Math" w:eastAsiaTheme="minorHAnsi" w:hAnsi="Cambria Math" w:cstheme="minorBidi"/>
                                <w:snapToGrid/>
                                <w:color w:val="auto"/>
                                <w:sz w:val="24"/>
                                <w:szCs w:val="24"/>
                                <w:lang w:val="en-GB" w:eastAsia="en-US" w:bidi="ar-SA"/>
                              </w:rPr>
                            </m:ctrlPr>
                          </m:sSubPr>
                          <m:e>
                            <m:r>
                              <w:rPr>
                                <w:rFonts w:ascii="Cambria Math" w:eastAsiaTheme="minorHAnsi" w:hAnsi="Cambria Math" w:cstheme="minorBidi"/>
                                <w:snapToGrid/>
                                <w:color w:val="auto"/>
                                <w:sz w:val="24"/>
                                <w:szCs w:val="24"/>
                                <w:lang w:val="en-GB" w:eastAsia="en-US" w:bidi="ar-SA"/>
                              </w:rPr>
                              <m:t>CO</m:t>
                            </m:r>
                          </m:e>
                          <m:sub>
                            <m:r>
                              <m:rPr>
                                <m:sty m:val="p"/>
                              </m:rPr>
                              <w:rPr>
                                <w:rFonts w:ascii="Cambria Math" w:eastAsiaTheme="minorHAnsi" w:hAnsi="Cambria Math" w:cstheme="minorBidi"/>
                                <w:snapToGrid/>
                                <w:color w:val="auto"/>
                                <w:sz w:val="24"/>
                                <w:szCs w:val="24"/>
                                <w:lang w:val="en-GB" w:eastAsia="en-US" w:bidi="ar-SA"/>
                              </w:rPr>
                              <m:t>2</m:t>
                            </m:r>
                          </m:sub>
                        </m:sSub>
                        <m:r>
                          <m:rPr>
                            <m:sty m:val="p"/>
                          </m:rPr>
                          <w:rPr>
                            <w:rFonts w:ascii="Cambria Math" w:eastAsiaTheme="minorHAnsi" w:hAnsi="Cambria Math" w:cstheme="minorBidi"/>
                            <w:snapToGrid/>
                            <w:color w:val="auto"/>
                            <w:sz w:val="24"/>
                            <w:szCs w:val="24"/>
                            <w:lang w:val="en-GB" w:eastAsia="en-US" w:bidi="ar-SA"/>
                          </w:rPr>
                          <m:t>%</m:t>
                        </m:r>
                        <m:r>
                          <w:rPr>
                            <w:rFonts w:ascii="Cambria Math" w:eastAsiaTheme="minorHAnsi" w:hAnsi="Cambria Math" w:cstheme="minorBidi"/>
                            <w:snapToGrid/>
                            <w:color w:val="auto"/>
                            <w:sz w:val="24"/>
                            <w:szCs w:val="24"/>
                            <w:lang w:val="en-GB" w:eastAsia="en-US" w:bidi="ar-SA"/>
                          </w:rPr>
                          <m:t>in</m:t>
                        </m:r>
                      </m:num>
                      <m:den>
                        <m:r>
                          <m:rPr>
                            <m:sty m:val="p"/>
                          </m:rPr>
                          <w:rPr>
                            <w:rFonts w:ascii="Cambria Math" w:eastAsiaTheme="minorHAnsi" w:hAnsi="Cambria Math" w:cstheme="minorBidi"/>
                            <w:snapToGrid/>
                            <w:color w:val="auto"/>
                            <w:sz w:val="24"/>
                            <w:szCs w:val="24"/>
                            <w:lang w:val="en-GB" w:eastAsia="en-US" w:bidi="ar-SA"/>
                          </w:rPr>
                          <m:t>1-</m:t>
                        </m:r>
                        <m:sSub>
                          <m:sSubPr>
                            <m:ctrlPr>
                              <w:rPr>
                                <w:rFonts w:ascii="Cambria Math" w:eastAsiaTheme="minorHAnsi" w:hAnsi="Cambria Math" w:cstheme="minorBidi"/>
                                <w:snapToGrid/>
                                <w:color w:val="auto"/>
                                <w:sz w:val="24"/>
                                <w:szCs w:val="24"/>
                                <w:lang w:val="en-GB" w:eastAsia="en-US" w:bidi="ar-SA"/>
                              </w:rPr>
                            </m:ctrlPr>
                          </m:sSubPr>
                          <m:e>
                            <m:r>
                              <w:rPr>
                                <w:rFonts w:ascii="Cambria Math" w:eastAsiaTheme="minorHAnsi" w:hAnsi="Cambria Math" w:cstheme="minorBidi"/>
                                <w:snapToGrid/>
                                <w:color w:val="auto"/>
                                <w:sz w:val="24"/>
                                <w:szCs w:val="24"/>
                                <w:lang w:val="en-GB" w:eastAsia="en-US" w:bidi="ar-SA"/>
                              </w:rPr>
                              <m:t>O</m:t>
                            </m:r>
                          </m:e>
                          <m:sub>
                            <m:r>
                              <m:rPr>
                                <m:sty m:val="p"/>
                              </m:rPr>
                              <w:rPr>
                                <w:rFonts w:ascii="Cambria Math" w:eastAsiaTheme="minorHAnsi" w:hAnsi="Cambria Math" w:cstheme="minorBidi"/>
                                <w:snapToGrid/>
                                <w:color w:val="auto"/>
                                <w:sz w:val="24"/>
                                <w:szCs w:val="24"/>
                                <w:lang w:val="en-GB" w:eastAsia="en-US" w:bidi="ar-SA"/>
                              </w:rPr>
                              <m:t>2</m:t>
                            </m:r>
                          </m:sub>
                        </m:sSub>
                        <m:r>
                          <m:rPr>
                            <m:sty m:val="p"/>
                          </m:rPr>
                          <w:rPr>
                            <w:rFonts w:ascii="Cambria Math" w:eastAsiaTheme="minorHAnsi" w:hAnsi="Cambria Math" w:cstheme="minorBidi"/>
                            <w:snapToGrid/>
                            <w:color w:val="auto"/>
                            <w:sz w:val="24"/>
                            <w:szCs w:val="24"/>
                            <w:lang w:val="en-GB" w:eastAsia="en-US" w:bidi="ar-SA"/>
                          </w:rPr>
                          <m:t>%</m:t>
                        </m:r>
                        <m:r>
                          <w:rPr>
                            <w:rFonts w:ascii="Cambria Math" w:eastAsiaTheme="minorHAnsi" w:hAnsi="Cambria Math" w:cstheme="minorBidi"/>
                            <w:snapToGrid/>
                            <w:color w:val="auto"/>
                            <w:sz w:val="24"/>
                            <w:szCs w:val="24"/>
                            <w:lang w:val="en-GB" w:eastAsia="en-US" w:bidi="ar-SA"/>
                          </w:rPr>
                          <m:t>out</m:t>
                        </m:r>
                        <m:r>
                          <m:rPr>
                            <m:sty m:val="p"/>
                          </m:rPr>
                          <w:rPr>
                            <w:rFonts w:ascii="Cambria Math" w:eastAsiaTheme="minorHAnsi" w:hAnsi="Cambria Math" w:cstheme="minorBidi"/>
                            <w:snapToGrid/>
                            <w:color w:val="auto"/>
                            <w:sz w:val="24"/>
                            <w:szCs w:val="24"/>
                            <w:lang w:val="en-GB" w:eastAsia="en-US" w:bidi="ar-SA"/>
                          </w:rPr>
                          <m:t>-</m:t>
                        </m:r>
                        <m:sSub>
                          <m:sSubPr>
                            <m:ctrlPr>
                              <w:rPr>
                                <w:rFonts w:ascii="Cambria Math" w:eastAsiaTheme="minorHAnsi" w:hAnsi="Cambria Math" w:cstheme="minorBidi"/>
                                <w:snapToGrid/>
                                <w:color w:val="auto"/>
                                <w:sz w:val="24"/>
                                <w:szCs w:val="24"/>
                                <w:lang w:val="en-GB" w:eastAsia="en-US" w:bidi="ar-SA"/>
                              </w:rPr>
                            </m:ctrlPr>
                          </m:sSubPr>
                          <m:e>
                            <m:r>
                              <w:rPr>
                                <w:rFonts w:ascii="Cambria Math" w:eastAsiaTheme="minorHAnsi" w:hAnsi="Cambria Math" w:cstheme="minorBidi"/>
                                <w:snapToGrid/>
                                <w:color w:val="auto"/>
                                <w:sz w:val="24"/>
                                <w:szCs w:val="24"/>
                                <w:lang w:val="en-GB" w:eastAsia="en-US" w:bidi="ar-SA"/>
                              </w:rPr>
                              <m:t>CO</m:t>
                            </m:r>
                          </m:e>
                          <m:sub>
                            <m:r>
                              <m:rPr>
                                <m:sty m:val="p"/>
                              </m:rPr>
                              <w:rPr>
                                <w:rFonts w:ascii="Cambria Math" w:eastAsiaTheme="minorHAnsi" w:hAnsi="Cambria Math" w:cstheme="minorBidi"/>
                                <w:snapToGrid/>
                                <w:color w:val="auto"/>
                                <w:sz w:val="24"/>
                                <w:szCs w:val="24"/>
                                <w:lang w:val="en-GB" w:eastAsia="en-US" w:bidi="ar-SA"/>
                              </w:rPr>
                              <m:t>2</m:t>
                            </m:r>
                          </m:sub>
                        </m:sSub>
                        <m:r>
                          <m:rPr>
                            <m:sty m:val="p"/>
                          </m:rPr>
                          <w:rPr>
                            <w:rFonts w:ascii="Cambria Math" w:eastAsiaTheme="minorHAnsi" w:hAnsi="Cambria Math" w:cstheme="minorBidi"/>
                            <w:snapToGrid/>
                            <w:color w:val="auto"/>
                            <w:sz w:val="24"/>
                            <w:szCs w:val="24"/>
                            <w:lang w:val="en-GB" w:eastAsia="en-US" w:bidi="ar-SA"/>
                          </w:rPr>
                          <m:t>%</m:t>
                        </m:r>
                        <m:r>
                          <w:rPr>
                            <w:rFonts w:ascii="Cambria Math" w:eastAsiaTheme="minorHAnsi" w:hAnsi="Cambria Math" w:cstheme="minorBidi"/>
                            <w:snapToGrid/>
                            <w:color w:val="auto"/>
                            <w:sz w:val="24"/>
                            <w:szCs w:val="24"/>
                            <w:lang w:val="en-GB" w:eastAsia="en-US" w:bidi="ar-SA"/>
                          </w:rPr>
                          <m:t>out</m:t>
                        </m:r>
                      </m:den>
                    </m:f>
                    <m:r>
                      <m:rPr>
                        <m:sty m:val="p"/>
                      </m:rPr>
                      <w:rPr>
                        <w:rFonts w:ascii="Cambria Math" w:eastAsiaTheme="minorHAnsi" w:hAnsi="Cambria Math" w:cstheme="minorBidi"/>
                        <w:snapToGrid/>
                        <w:color w:val="auto"/>
                        <w:sz w:val="24"/>
                        <w:szCs w:val="24"/>
                        <w:lang w:val="en-GB" w:eastAsia="en-US" w:bidi="ar-SA"/>
                      </w:rPr>
                      <m:t>*</m:t>
                    </m:r>
                    <m:sSub>
                      <m:sSubPr>
                        <m:ctrlPr>
                          <w:rPr>
                            <w:rFonts w:ascii="Cambria Math" w:eastAsiaTheme="minorHAnsi" w:hAnsi="Cambria Math" w:cstheme="minorBidi"/>
                            <w:snapToGrid/>
                            <w:color w:val="auto"/>
                            <w:sz w:val="24"/>
                            <w:szCs w:val="24"/>
                            <w:lang w:val="en-GB" w:eastAsia="en-US" w:bidi="ar-SA"/>
                          </w:rPr>
                        </m:ctrlPr>
                      </m:sSubPr>
                      <m:e>
                        <m:r>
                          <w:rPr>
                            <w:rFonts w:ascii="Cambria Math" w:eastAsiaTheme="minorHAnsi" w:hAnsi="Cambria Math" w:cstheme="minorBidi"/>
                            <w:snapToGrid/>
                            <w:color w:val="auto"/>
                            <w:sz w:val="24"/>
                            <w:szCs w:val="24"/>
                            <w:lang w:val="en-GB" w:eastAsia="en-US" w:bidi="ar-SA"/>
                          </w:rPr>
                          <m:t>O</m:t>
                        </m:r>
                      </m:e>
                      <m:sub>
                        <m:r>
                          <m:rPr>
                            <m:sty m:val="p"/>
                          </m:rPr>
                          <w:rPr>
                            <w:rFonts w:ascii="Cambria Math" w:eastAsiaTheme="minorHAnsi" w:hAnsi="Cambria Math" w:cstheme="minorBidi"/>
                            <w:snapToGrid/>
                            <w:color w:val="auto"/>
                            <w:sz w:val="24"/>
                            <w:szCs w:val="24"/>
                            <w:lang w:val="en-GB" w:eastAsia="en-US" w:bidi="ar-SA"/>
                          </w:rPr>
                          <m:t>2</m:t>
                        </m:r>
                      </m:sub>
                    </m:sSub>
                    <m:r>
                      <m:rPr>
                        <m:sty m:val="p"/>
                      </m:rPr>
                      <w:rPr>
                        <w:rFonts w:ascii="Cambria Math" w:eastAsiaTheme="minorHAnsi" w:hAnsi="Cambria Math" w:cstheme="minorBidi"/>
                        <w:snapToGrid/>
                        <w:color w:val="auto"/>
                        <w:sz w:val="24"/>
                        <w:szCs w:val="24"/>
                        <w:lang w:val="en-GB" w:eastAsia="en-US" w:bidi="ar-SA"/>
                      </w:rPr>
                      <m:t>%</m:t>
                    </m:r>
                    <m:r>
                      <w:rPr>
                        <w:rFonts w:ascii="Cambria Math" w:eastAsiaTheme="minorHAnsi" w:hAnsi="Cambria Math" w:cstheme="minorBidi"/>
                        <w:snapToGrid/>
                        <w:color w:val="auto"/>
                        <w:sz w:val="24"/>
                        <w:szCs w:val="24"/>
                        <w:lang w:val="en-GB" w:eastAsia="en-US" w:bidi="ar-SA"/>
                      </w:rPr>
                      <m:t>out</m:t>
                    </m:r>
                  </m:e>
                </m:d>
              </m:oMath>
            </m:oMathPara>
          </w:p>
        </w:tc>
        <w:tc>
          <w:tcPr>
            <w:tcW w:w="431" w:type="dxa"/>
            <w:vAlign w:val="center"/>
            <w:hideMark/>
          </w:tcPr>
          <w:p w:rsidR="00E504BF" w:rsidRPr="00435E25" w:rsidRDefault="00E504BF" w:rsidP="00E504BF">
            <w:pPr>
              <w:pStyle w:val="MDPI3aequationnumber"/>
              <w:spacing w:line="260" w:lineRule="atLeast"/>
              <w:rPr>
                <w:rFonts w:ascii="Helvatica" w:eastAsiaTheme="minorHAnsi" w:hAnsi="Helvatica" w:cstheme="minorBidi"/>
                <w:snapToGrid/>
                <w:color w:val="auto"/>
                <w:sz w:val="24"/>
                <w:szCs w:val="24"/>
                <w:lang w:val="en-GB" w:eastAsia="en-US" w:bidi="ar-SA"/>
              </w:rPr>
            </w:pPr>
            <w:r w:rsidRPr="00435E25">
              <w:rPr>
                <w:rFonts w:ascii="Helvatica" w:eastAsiaTheme="minorHAnsi" w:hAnsi="Helvatica" w:cstheme="minorBidi"/>
                <w:snapToGrid/>
                <w:color w:val="auto"/>
                <w:sz w:val="24"/>
                <w:szCs w:val="24"/>
                <w:lang w:val="en-GB" w:eastAsia="en-US" w:bidi="ar-SA"/>
              </w:rPr>
              <w:t>(2)</w:t>
            </w:r>
          </w:p>
        </w:tc>
      </w:tr>
    </w:tbl>
    <w:p w:rsidR="00E504BF" w:rsidRPr="00435E25" w:rsidRDefault="00E504BF" w:rsidP="00E504BF">
      <w:pPr>
        <w:pStyle w:val="MDPI32textnoindent"/>
        <w:ind w:left="0"/>
        <w:rPr>
          <w:rFonts w:ascii="Helvatica" w:eastAsiaTheme="minorHAnsi" w:hAnsi="Helvatica" w:cstheme="minorBidi"/>
          <w:snapToGrid/>
          <w:color w:val="auto"/>
          <w:sz w:val="24"/>
          <w:szCs w:val="24"/>
          <w:lang w:val="en-GB" w:eastAsia="en-US" w:bidi="ar-SA"/>
        </w:rPr>
      </w:pPr>
      <w:r w:rsidRPr="00435E25">
        <w:rPr>
          <w:rFonts w:ascii="Helvatica" w:eastAsiaTheme="minorHAnsi" w:hAnsi="Helvatica" w:cstheme="minorBidi"/>
          <w:snapToGrid/>
          <w:color w:val="auto"/>
          <w:sz w:val="24"/>
          <w:szCs w:val="24"/>
          <w:lang w:val="en-GB" w:eastAsia="en-US" w:bidi="ar-SA"/>
        </w:rPr>
        <w:t>where, Fair – inlet air flow (L/h), P – normal pressure (1.0133 bar), V – bioreactor working volume (L), R – gas constant (8.314*10-2 bar L K-1 mol-1), T – process temperature (K), O</w:t>
      </w:r>
      <w:r w:rsidRPr="00435E25">
        <w:rPr>
          <w:rFonts w:ascii="Helvatica" w:eastAsiaTheme="minorHAnsi" w:hAnsi="Helvatica" w:cstheme="minorBidi"/>
          <w:snapToGrid/>
          <w:color w:val="auto"/>
          <w:sz w:val="24"/>
          <w:szCs w:val="24"/>
          <w:vertAlign w:val="subscript"/>
          <w:lang w:val="en-GB" w:eastAsia="en-US" w:bidi="ar-SA"/>
        </w:rPr>
        <w:t>2</w:t>
      </w:r>
      <w:r w:rsidRPr="00435E25">
        <w:rPr>
          <w:rFonts w:ascii="Helvatica" w:eastAsiaTheme="minorHAnsi" w:hAnsi="Helvatica" w:cstheme="minorBidi"/>
          <w:snapToGrid/>
          <w:color w:val="auto"/>
          <w:sz w:val="24"/>
          <w:szCs w:val="24"/>
          <w:lang w:val="en-GB" w:eastAsia="en-US" w:bidi="ar-SA"/>
        </w:rPr>
        <w:t>%in and O</w:t>
      </w:r>
      <w:r w:rsidRPr="00435E25">
        <w:rPr>
          <w:rFonts w:ascii="Helvatica" w:eastAsiaTheme="minorHAnsi" w:hAnsi="Helvatica" w:cstheme="minorBidi"/>
          <w:snapToGrid/>
          <w:color w:val="auto"/>
          <w:sz w:val="24"/>
          <w:szCs w:val="24"/>
          <w:vertAlign w:val="subscript"/>
          <w:lang w:val="en-GB" w:eastAsia="en-US" w:bidi="ar-SA"/>
        </w:rPr>
        <w:t>2</w:t>
      </w:r>
      <w:r w:rsidRPr="00435E25">
        <w:rPr>
          <w:rFonts w:ascii="Helvatica" w:eastAsiaTheme="minorHAnsi" w:hAnsi="Helvatica" w:cstheme="minorBidi"/>
          <w:snapToGrid/>
          <w:color w:val="auto"/>
          <w:sz w:val="24"/>
          <w:szCs w:val="24"/>
          <w:lang w:val="en-GB" w:eastAsia="en-US" w:bidi="ar-SA"/>
        </w:rPr>
        <w:t>%out – oxygen concentration in the inlet and outlet gas, respectively (%), CO</w:t>
      </w:r>
      <w:r w:rsidRPr="00435E25">
        <w:rPr>
          <w:rFonts w:ascii="Helvatica" w:eastAsiaTheme="minorHAnsi" w:hAnsi="Helvatica" w:cstheme="minorBidi"/>
          <w:snapToGrid/>
          <w:color w:val="auto"/>
          <w:sz w:val="24"/>
          <w:szCs w:val="24"/>
          <w:vertAlign w:val="subscript"/>
          <w:lang w:val="en-GB" w:eastAsia="en-US" w:bidi="ar-SA"/>
        </w:rPr>
        <w:t>2</w:t>
      </w:r>
      <w:r w:rsidRPr="00435E25">
        <w:rPr>
          <w:rFonts w:ascii="Helvatica" w:eastAsiaTheme="minorHAnsi" w:hAnsi="Helvatica" w:cstheme="minorBidi"/>
          <w:snapToGrid/>
          <w:color w:val="auto"/>
          <w:sz w:val="24"/>
          <w:szCs w:val="24"/>
          <w:lang w:val="en-GB" w:eastAsia="en-US" w:bidi="ar-SA"/>
        </w:rPr>
        <w:t>%in and CO</w:t>
      </w:r>
      <w:r w:rsidRPr="00435E25">
        <w:rPr>
          <w:rFonts w:ascii="Helvatica" w:eastAsiaTheme="minorHAnsi" w:hAnsi="Helvatica" w:cstheme="minorBidi"/>
          <w:snapToGrid/>
          <w:color w:val="auto"/>
          <w:sz w:val="24"/>
          <w:szCs w:val="24"/>
          <w:vertAlign w:val="subscript"/>
          <w:lang w:val="en-GB" w:eastAsia="en-US" w:bidi="ar-SA"/>
        </w:rPr>
        <w:t>2</w:t>
      </w:r>
      <w:r w:rsidRPr="00435E25">
        <w:rPr>
          <w:rFonts w:ascii="Helvatica" w:eastAsiaTheme="minorHAnsi" w:hAnsi="Helvatica" w:cstheme="minorBidi"/>
          <w:snapToGrid/>
          <w:color w:val="auto"/>
          <w:sz w:val="24"/>
          <w:szCs w:val="24"/>
          <w:lang w:val="en-GB" w:eastAsia="en-US" w:bidi="ar-SA"/>
        </w:rPr>
        <w:t>%out – carbon dioxide concentration in the inlet and outlet gas, respectively (%).</w:t>
      </w:r>
    </w:p>
    <w:p w:rsidR="00E504BF" w:rsidRPr="00435E25" w:rsidRDefault="00E504BF" w:rsidP="00E504BF">
      <w:pPr>
        <w:pStyle w:val="MDPI31text"/>
        <w:ind w:left="0"/>
        <w:rPr>
          <w:rFonts w:ascii="Helvatica" w:eastAsiaTheme="minorHAnsi" w:hAnsi="Helvatica" w:cstheme="minorBidi"/>
          <w:snapToGrid/>
          <w:color w:val="auto"/>
          <w:sz w:val="24"/>
          <w:szCs w:val="24"/>
          <w:lang w:val="en-GB" w:eastAsia="en-US" w:bidi="ar-SA"/>
        </w:rPr>
      </w:pPr>
      <w:r w:rsidRPr="00435E25">
        <w:rPr>
          <w:rFonts w:ascii="Helvatica" w:eastAsiaTheme="minorHAnsi" w:hAnsi="Helvatica" w:cstheme="minorBidi"/>
          <w:snapToGrid/>
          <w:color w:val="auto"/>
          <w:sz w:val="24"/>
          <w:szCs w:val="24"/>
          <w:lang w:val="en-GB" w:eastAsia="en-US" w:bidi="ar-SA"/>
        </w:rPr>
        <w:t xml:space="preserve">Cell biomass concentration was estimated using the </w:t>
      </w:r>
      <w:proofErr w:type="spellStart"/>
      <w:r w:rsidRPr="00435E25">
        <w:rPr>
          <w:rFonts w:ascii="Helvatica" w:eastAsiaTheme="minorHAnsi" w:hAnsi="Helvatica" w:cstheme="minorBidi"/>
          <w:snapToGrid/>
          <w:color w:val="auto"/>
          <w:sz w:val="24"/>
          <w:szCs w:val="24"/>
          <w:lang w:val="en-GB" w:eastAsia="en-US" w:bidi="ar-SA"/>
        </w:rPr>
        <w:t>Optek</w:t>
      </w:r>
      <w:proofErr w:type="spellEnd"/>
      <w:r w:rsidRPr="00435E25">
        <w:rPr>
          <w:rFonts w:ascii="Helvatica" w:eastAsiaTheme="minorHAnsi" w:hAnsi="Helvatica" w:cstheme="minorBidi"/>
          <w:snapToGrid/>
          <w:color w:val="auto"/>
          <w:sz w:val="24"/>
          <w:szCs w:val="24"/>
          <w:lang w:val="en-GB" w:eastAsia="en-US" w:bidi="ar-SA"/>
        </w:rPr>
        <w:t xml:space="preserve"> (turbidity) and </w:t>
      </w:r>
      <w:proofErr w:type="spellStart"/>
      <w:r w:rsidRPr="00435E25">
        <w:rPr>
          <w:rFonts w:ascii="Helvatica" w:eastAsiaTheme="minorHAnsi" w:hAnsi="Helvatica" w:cstheme="minorBidi"/>
          <w:snapToGrid/>
          <w:color w:val="auto"/>
          <w:sz w:val="24"/>
          <w:szCs w:val="24"/>
          <w:lang w:val="en-GB" w:eastAsia="en-US" w:bidi="ar-SA"/>
        </w:rPr>
        <w:t>Incyte</w:t>
      </w:r>
      <w:proofErr w:type="spellEnd"/>
      <w:r w:rsidRPr="00435E25">
        <w:rPr>
          <w:rFonts w:ascii="Helvatica" w:eastAsiaTheme="minorHAnsi" w:hAnsi="Helvatica" w:cstheme="minorBidi"/>
          <w:snapToGrid/>
          <w:color w:val="auto"/>
          <w:sz w:val="24"/>
          <w:szCs w:val="24"/>
          <w:lang w:val="en-GB" w:eastAsia="en-US" w:bidi="ar-SA"/>
        </w:rPr>
        <w:t xml:space="preserve"> (permittivity) sensor probes. Correlations between sensor signals and cell biomass were established using the experimental measurements as reference.</w:t>
      </w:r>
    </w:p>
    <w:p w:rsidR="00E504BF" w:rsidRPr="00435E25" w:rsidRDefault="00E504BF" w:rsidP="00E504BF">
      <w:pPr>
        <w:pStyle w:val="MDPI31text"/>
        <w:ind w:left="0"/>
        <w:rPr>
          <w:rFonts w:ascii="Helvatica" w:eastAsiaTheme="minorHAnsi" w:hAnsi="Helvatica" w:cstheme="minorBidi"/>
          <w:snapToGrid/>
          <w:color w:val="auto"/>
          <w:sz w:val="24"/>
          <w:szCs w:val="24"/>
          <w:lang w:val="en-GB" w:eastAsia="en-US" w:bidi="ar-SA"/>
        </w:rPr>
      </w:pPr>
      <w:r w:rsidRPr="00435E25">
        <w:rPr>
          <w:rFonts w:ascii="Helvatica" w:eastAsiaTheme="minorHAnsi" w:hAnsi="Helvatica" w:cstheme="minorBidi"/>
          <w:snapToGrid/>
          <w:color w:val="auto"/>
          <w:sz w:val="24"/>
          <w:szCs w:val="24"/>
          <w:lang w:val="en-GB" w:eastAsia="en-US" w:bidi="ar-SA"/>
        </w:rPr>
        <w:t xml:space="preserve">The Incyte sensor measures culture dielectric permittivity, and, thus, correlates only with the viable cell fraction in the bioreactor, which is preferable for metabolic modelling, as reactions can happen only in viable cells. As the experimentally measured cell concentrations include also the dead cell fraction, an empirical cell death rate coefficient (µd = 0.033 h-1) can be estimated using the sensor data. This coefficient can further be applied to the </w:t>
      </w:r>
      <w:proofErr w:type="spellStart"/>
      <w:r w:rsidRPr="00435E25">
        <w:rPr>
          <w:rFonts w:ascii="Helvatica" w:eastAsiaTheme="minorHAnsi" w:hAnsi="Helvatica" w:cstheme="minorBidi"/>
          <w:snapToGrid/>
          <w:color w:val="auto"/>
          <w:sz w:val="24"/>
          <w:szCs w:val="24"/>
          <w:lang w:val="en-GB" w:eastAsia="en-US" w:bidi="ar-SA"/>
        </w:rPr>
        <w:t>Optek</w:t>
      </w:r>
      <w:proofErr w:type="spellEnd"/>
      <w:r w:rsidRPr="00435E25">
        <w:rPr>
          <w:rFonts w:ascii="Helvatica" w:eastAsiaTheme="minorHAnsi" w:hAnsi="Helvatica" w:cstheme="minorBidi"/>
          <w:snapToGrid/>
          <w:color w:val="auto"/>
          <w:sz w:val="24"/>
          <w:szCs w:val="24"/>
          <w:lang w:val="en-GB" w:eastAsia="en-US" w:bidi="ar-SA"/>
        </w:rPr>
        <w:t xml:space="preserve"> sensor measurement, which normally takes into account also the dead cell fraction, to correlate the signal with only vegetative cells. Thus, two different viable cell estimation procedures were established and further used in metabolic model validation.</w:t>
      </w:r>
    </w:p>
    <w:p w:rsidR="00E504BF" w:rsidRPr="00435E25" w:rsidRDefault="00E504BF" w:rsidP="00E504BF">
      <w:pPr>
        <w:pStyle w:val="MDPI41tablecaption"/>
        <w:spacing w:before="0"/>
        <w:ind w:left="0"/>
        <w:rPr>
          <w:b/>
          <w:lang w:val="en-GB"/>
        </w:rPr>
      </w:pPr>
    </w:p>
    <w:p w:rsidR="00E504BF" w:rsidRPr="00435E25" w:rsidRDefault="00435E25" w:rsidP="00E504BF">
      <w:pPr>
        <w:pStyle w:val="MDPI411onetablecaption"/>
        <w:rPr>
          <w:rFonts w:ascii="Helvatica" w:hAnsi="Helvatica" w:hint="eastAsia"/>
          <w:noProof w:val="0"/>
          <w:sz w:val="20"/>
          <w:szCs w:val="20"/>
          <w:lang w:val="en-GB"/>
        </w:rPr>
      </w:pPr>
      <w:r>
        <w:rPr>
          <w:rFonts w:ascii="Helvatica" w:hAnsi="Helvatica"/>
          <w:b/>
          <w:noProof w:val="0"/>
          <w:sz w:val="20"/>
          <w:szCs w:val="20"/>
          <w:lang w:val="en-GB"/>
        </w:rPr>
        <w:t xml:space="preserve">Table </w:t>
      </w:r>
      <w:r w:rsidRPr="00435E25">
        <w:rPr>
          <w:rFonts w:ascii="Helvatica" w:hAnsi="Helvatica"/>
          <w:b/>
          <w:noProof w:val="0"/>
          <w:sz w:val="20"/>
          <w:szCs w:val="20"/>
          <w:lang w:val="en-GB"/>
        </w:rPr>
        <w:t>S</w:t>
      </w:r>
      <w:r>
        <w:rPr>
          <w:rFonts w:ascii="Helvatica" w:hAnsi="Helvatica"/>
          <w:b/>
          <w:noProof w:val="0"/>
          <w:sz w:val="20"/>
          <w:szCs w:val="20"/>
          <w:lang w:val="en-GB"/>
        </w:rPr>
        <w:t>1</w:t>
      </w:r>
      <w:r w:rsidR="00E504BF" w:rsidRPr="00435E25">
        <w:rPr>
          <w:rFonts w:ascii="Helvatica" w:hAnsi="Helvatica"/>
          <w:b/>
          <w:noProof w:val="0"/>
          <w:sz w:val="20"/>
          <w:szCs w:val="20"/>
          <w:lang w:val="en-GB"/>
        </w:rPr>
        <w:t xml:space="preserve">. </w:t>
      </w:r>
      <w:r w:rsidR="00E504BF" w:rsidRPr="00435E25">
        <w:rPr>
          <w:rFonts w:ascii="Helvatica" w:hAnsi="Helvatica"/>
          <w:noProof w:val="0"/>
          <w:sz w:val="20"/>
          <w:szCs w:val="20"/>
          <w:lang w:val="en-GB"/>
        </w:rPr>
        <w:t>Dry cell biomass (</w:t>
      </w:r>
      <w:proofErr w:type="spellStart"/>
      <w:r w:rsidR="00E504BF" w:rsidRPr="00435E25">
        <w:rPr>
          <w:rFonts w:ascii="Helvatica" w:hAnsi="Helvatica"/>
          <w:noProof w:val="0"/>
          <w:sz w:val="20"/>
          <w:szCs w:val="20"/>
          <w:lang w:val="en-GB"/>
        </w:rPr>
        <w:t>X</w:t>
      </w:r>
      <w:r w:rsidR="00E504BF" w:rsidRPr="00435E25">
        <w:rPr>
          <w:rFonts w:ascii="Helvatica" w:hAnsi="Helvatica"/>
          <w:noProof w:val="0"/>
          <w:sz w:val="20"/>
          <w:szCs w:val="20"/>
          <w:vertAlign w:val="subscript"/>
          <w:lang w:val="en-GB"/>
        </w:rPr>
        <w:t>dry</w:t>
      </w:r>
      <w:proofErr w:type="spellEnd"/>
      <w:r w:rsidR="00E504BF" w:rsidRPr="00435E25">
        <w:rPr>
          <w:rFonts w:ascii="Helvatica" w:hAnsi="Helvatica"/>
          <w:noProof w:val="0"/>
          <w:sz w:val="20"/>
          <w:szCs w:val="20"/>
          <w:lang w:val="en-GB"/>
        </w:rPr>
        <w:t xml:space="preserve">), CER, OUR and specific growth rate estimations, based on </w:t>
      </w:r>
      <w:proofErr w:type="spellStart"/>
      <w:r w:rsidR="00E504BF" w:rsidRPr="00435E25">
        <w:rPr>
          <w:rFonts w:ascii="Helvatica" w:hAnsi="Helvatica"/>
          <w:noProof w:val="0"/>
          <w:sz w:val="20"/>
          <w:szCs w:val="20"/>
          <w:lang w:val="en-GB"/>
        </w:rPr>
        <w:t>Optek</w:t>
      </w:r>
      <w:proofErr w:type="spellEnd"/>
      <w:r w:rsidR="00E504BF" w:rsidRPr="00435E25">
        <w:rPr>
          <w:rFonts w:ascii="Helvatica" w:hAnsi="Helvatica"/>
          <w:noProof w:val="0"/>
          <w:sz w:val="20"/>
          <w:szCs w:val="20"/>
          <w:lang w:val="en-GB"/>
        </w:rPr>
        <w:t xml:space="preserve"> (turbidity) and </w:t>
      </w:r>
      <w:proofErr w:type="spellStart"/>
      <w:r w:rsidR="00E504BF" w:rsidRPr="00435E25">
        <w:rPr>
          <w:rFonts w:ascii="Helvatica" w:hAnsi="Helvatica"/>
          <w:noProof w:val="0"/>
          <w:sz w:val="20"/>
          <w:szCs w:val="20"/>
          <w:lang w:val="en-GB"/>
        </w:rPr>
        <w:t>Incyte</w:t>
      </w:r>
      <w:proofErr w:type="spellEnd"/>
      <w:r w:rsidR="00E504BF" w:rsidRPr="00435E25">
        <w:rPr>
          <w:rFonts w:ascii="Helvatica" w:hAnsi="Helvatica"/>
          <w:noProof w:val="0"/>
          <w:sz w:val="20"/>
          <w:szCs w:val="20"/>
          <w:lang w:val="en-GB"/>
        </w:rPr>
        <w:t xml:space="preserve"> (permittivity) sensor measurements at the end of each cultivation phase.</w:t>
      </w:r>
    </w:p>
    <w:tbl>
      <w:tblPr>
        <w:tblW w:w="10490"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2268"/>
        <w:gridCol w:w="2055"/>
        <w:gridCol w:w="2056"/>
        <w:gridCol w:w="2055"/>
        <w:gridCol w:w="2056"/>
      </w:tblGrid>
      <w:tr w:rsidR="00E504BF" w:rsidRPr="00435E25" w:rsidTr="00272527">
        <w:trPr>
          <w:trHeight w:val="340"/>
          <w:jc w:val="center"/>
        </w:trPr>
        <w:tc>
          <w:tcPr>
            <w:tcW w:w="2268" w:type="dxa"/>
            <w:tcBorders>
              <w:top w:val="single" w:sz="8" w:space="0" w:color="auto"/>
              <w:left w:val="nil"/>
              <w:bottom w:val="single" w:sz="4" w:space="0" w:color="auto"/>
              <w:right w:val="nil"/>
            </w:tcBorders>
            <w:vAlign w:val="center"/>
            <w:hideMark/>
          </w:tcPr>
          <w:p w:rsidR="00E504BF" w:rsidRPr="00435E25" w:rsidRDefault="00E504BF" w:rsidP="00272527">
            <w:pPr>
              <w:pStyle w:val="MDPI42tablebody"/>
              <w:jc w:val="both"/>
              <w:rPr>
                <w:rFonts w:ascii="Helvatica" w:hAnsi="Helvatica"/>
                <w:b/>
                <w:bCs/>
                <w:lang w:val="en-GB"/>
              </w:rPr>
            </w:pPr>
          </w:p>
        </w:tc>
        <w:tc>
          <w:tcPr>
            <w:tcW w:w="2055" w:type="dxa"/>
            <w:tcBorders>
              <w:top w:val="single" w:sz="8" w:space="0" w:color="auto"/>
              <w:left w:val="nil"/>
              <w:bottom w:val="single" w:sz="4" w:space="0" w:color="auto"/>
              <w:right w:val="nil"/>
            </w:tcBorders>
            <w:vAlign w:val="center"/>
          </w:tcPr>
          <w:p w:rsidR="00E504BF" w:rsidRPr="00435E25" w:rsidRDefault="00E504BF" w:rsidP="00272527">
            <w:pPr>
              <w:pStyle w:val="MDPI42tablebody"/>
              <w:rPr>
                <w:rFonts w:ascii="Helvatica" w:hAnsi="Helvatica"/>
                <w:b/>
                <w:bCs/>
                <w:lang w:val="en-GB"/>
              </w:rPr>
            </w:pPr>
            <w:proofErr w:type="spellStart"/>
            <w:r w:rsidRPr="00435E25">
              <w:rPr>
                <w:rFonts w:ascii="Helvatica" w:hAnsi="Helvatica"/>
                <w:b/>
                <w:bCs/>
                <w:lang w:val="en-GB"/>
              </w:rPr>
              <w:t>X</w:t>
            </w:r>
            <w:r w:rsidRPr="00435E25">
              <w:rPr>
                <w:rFonts w:ascii="Helvatica" w:hAnsi="Helvatica"/>
                <w:b/>
                <w:bCs/>
                <w:vertAlign w:val="subscript"/>
                <w:lang w:val="en-GB"/>
              </w:rPr>
              <w:t>dry</w:t>
            </w:r>
            <w:proofErr w:type="spellEnd"/>
            <w:r w:rsidRPr="00435E25">
              <w:rPr>
                <w:rFonts w:ascii="Helvatica" w:hAnsi="Helvatica"/>
                <w:b/>
                <w:bCs/>
                <w:lang w:val="en-GB"/>
              </w:rPr>
              <w:t xml:space="preserve"> (g/L)</w:t>
            </w:r>
          </w:p>
        </w:tc>
        <w:tc>
          <w:tcPr>
            <w:tcW w:w="2056" w:type="dxa"/>
            <w:tcBorders>
              <w:top w:val="single" w:sz="8" w:space="0" w:color="auto"/>
              <w:left w:val="nil"/>
              <w:bottom w:val="single" w:sz="4" w:space="0" w:color="auto"/>
              <w:right w:val="nil"/>
            </w:tcBorders>
            <w:vAlign w:val="center"/>
            <w:hideMark/>
          </w:tcPr>
          <w:p w:rsidR="00E504BF" w:rsidRPr="00435E25" w:rsidRDefault="00E504BF" w:rsidP="00272527">
            <w:pPr>
              <w:pStyle w:val="MDPI42tablebody"/>
              <w:rPr>
                <w:rFonts w:ascii="Helvatica" w:hAnsi="Helvatica"/>
                <w:b/>
                <w:bCs/>
                <w:lang w:val="en-GB"/>
              </w:rPr>
            </w:pPr>
            <w:r w:rsidRPr="00435E25">
              <w:rPr>
                <w:rFonts w:ascii="Helvatica" w:hAnsi="Helvatica"/>
                <w:b/>
                <w:bCs/>
                <w:lang w:val="en-GB"/>
              </w:rPr>
              <w:t>CER (mmol g</w:t>
            </w:r>
            <w:r w:rsidRPr="00435E25">
              <w:rPr>
                <w:rFonts w:ascii="Helvatica" w:hAnsi="Helvatica"/>
                <w:b/>
                <w:bCs/>
                <w:vertAlign w:val="superscript"/>
                <w:lang w:val="en-GB"/>
              </w:rPr>
              <w:t xml:space="preserve">-1 </w:t>
            </w:r>
            <w:r w:rsidRPr="00435E25">
              <w:rPr>
                <w:rFonts w:ascii="Helvatica" w:hAnsi="Helvatica"/>
                <w:b/>
                <w:bCs/>
                <w:lang w:val="en-GB"/>
              </w:rPr>
              <w:t>h</w:t>
            </w:r>
            <w:r w:rsidRPr="00435E25">
              <w:rPr>
                <w:rFonts w:ascii="Helvatica" w:hAnsi="Helvatica"/>
                <w:b/>
                <w:bCs/>
                <w:vertAlign w:val="superscript"/>
                <w:lang w:val="en-GB"/>
              </w:rPr>
              <w:t>-1</w:t>
            </w:r>
            <w:r w:rsidRPr="00435E25">
              <w:rPr>
                <w:rFonts w:ascii="Helvatica" w:hAnsi="Helvatica"/>
                <w:b/>
                <w:bCs/>
                <w:lang w:val="en-GB"/>
              </w:rPr>
              <w:t>)</w:t>
            </w:r>
          </w:p>
        </w:tc>
        <w:tc>
          <w:tcPr>
            <w:tcW w:w="2055" w:type="dxa"/>
            <w:tcBorders>
              <w:top w:val="single" w:sz="8" w:space="0" w:color="auto"/>
              <w:left w:val="nil"/>
              <w:bottom w:val="single" w:sz="4" w:space="0" w:color="auto"/>
              <w:right w:val="nil"/>
            </w:tcBorders>
            <w:vAlign w:val="center"/>
            <w:hideMark/>
          </w:tcPr>
          <w:p w:rsidR="00E504BF" w:rsidRPr="00435E25" w:rsidRDefault="00E504BF" w:rsidP="00272527">
            <w:pPr>
              <w:pStyle w:val="MDPI42tablebody"/>
              <w:rPr>
                <w:rFonts w:ascii="Helvatica" w:hAnsi="Helvatica"/>
                <w:b/>
                <w:bCs/>
                <w:lang w:val="en-GB"/>
              </w:rPr>
            </w:pPr>
            <w:r w:rsidRPr="00435E25">
              <w:rPr>
                <w:rFonts w:ascii="Helvatica" w:hAnsi="Helvatica"/>
                <w:b/>
                <w:bCs/>
                <w:lang w:val="en-GB"/>
              </w:rPr>
              <w:t>OUR (mmol g</w:t>
            </w:r>
            <w:r w:rsidRPr="00435E25">
              <w:rPr>
                <w:rFonts w:ascii="Helvatica" w:hAnsi="Helvatica"/>
                <w:b/>
                <w:bCs/>
                <w:vertAlign w:val="superscript"/>
                <w:lang w:val="en-GB"/>
              </w:rPr>
              <w:t xml:space="preserve">-1 </w:t>
            </w:r>
            <w:r w:rsidRPr="00435E25">
              <w:rPr>
                <w:rFonts w:ascii="Helvatica" w:hAnsi="Helvatica"/>
                <w:b/>
                <w:bCs/>
                <w:lang w:val="en-GB"/>
              </w:rPr>
              <w:t>h</w:t>
            </w:r>
            <w:r w:rsidRPr="00435E25">
              <w:rPr>
                <w:rFonts w:ascii="Helvatica" w:hAnsi="Helvatica"/>
                <w:b/>
                <w:bCs/>
                <w:vertAlign w:val="superscript"/>
                <w:lang w:val="en-GB"/>
              </w:rPr>
              <w:t>-1</w:t>
            </w:r>
            <w:r w:rsidRPr="00435E25">
              <w:rPr>
                <w:rFonts w:ascii="Helvatica" w:hAnsi="Helvatica"/>
                <w:b/>
                <w:bCs/>
                <w:lang w:val="en-GB"/>
              </w:rPr>
              <w:t>)</w:t>
            </w:r>
          </w:p>
        </w:tc>
        <w:tc>
          <w:tcPr>
            <w:tcW w:w="2056" w:type="dxa"/>
            <w:tcBorders>
              <w:top w:val="single" w:sz="8" w:space="0" w:color="auto"/>
              <w:left w:val="nil"/>
              <w:bottom w:val="single" w:sz="4" w:space="0" w:color="auto"/>
              <w:right w:val="nil"/>
            </w:tcBorders>
            <w:vAlign w:val="center"/>
          </w:tcPr>
          <w:p w:rsidR="00E504BF" w:rsidRPr="00435E25" w:rsidRDefault="00E504BF" w:rsidP="00272527">
            <w:pPr>
              <w:pStyle w:val="MDPI42tablebody"/>
              <w:rPr>
                <w:rFonts w:ascii="Helvatica" w:hAnsi="Helvatica"/>
                <w:b/>
                <w:bCs/>
                <w:lang w:val="en-GB"/>
              </w:rPr>
            </w:pPr>
            <w:r w:rsidRPr="00435E25">
              <w:rPr>
                <w:rFonts w:ascii="Helvatica" w:hAnsi="Helvatica"/>
                <w:b/>
                <w:bCs/>
                <w:lang w:val="en-GB"/>
              </w:rPr>
              <w:t>µ (h</w:t>
            </w:r>
            <w:r w:rsidRPr="00435E25">
              <w:rPr>
                <w:rFonts w:ascii="Helvatica" w:hAnsi="Helvatica"/>
                <w:b/>
                <w:bCs/>
                <w:vertAlign w:val="superscript"/>
                <w:lang w:val="en-GB"/>
              </w:rPr>
              <w:t>-1</w:t>
            </w:r>
            <w:r w:rsidRPr="00435E25">
              <w:rPr>
                <w:rFonts w:ascii="Helvatica" w:hAnsi="Helvatica"/>
                <w:b/>
                <w:bCs/>
                <w:lang w:val="en-GB"/>
              </w:rPr>
              <w:t>)</w:t>
            </w:r>
          </w:p>
        </w:tc>
      </w:tr>
      <w:tr w:rsidR="00E504BF" w:rsidRPr="00435E25" w:rsidTr="00272527">
        <w:trPr>
          <w:trHeight w:val="340"/>
          <w:jc w:val="center"/>
        </w:trPr>
        <w:tc>
          <w:tcPr>
            <w:tcW w:w="10490" w:type="dxa"/>
            <w:gridSpan w:val="5"/>
            <w:tcBorders>
              <w:top w:val="single" w:sz="8" w:space="0" w:color="auto"/>
              <w:left w:val="nil"/>
              <w:bottom w:val="single" w:sz="4" w:space="0" w:color="auto"/>
              <w:right w:val="nil"/>
            </w:tcBorders>
            <w:vAlign w:val="center"/>
          </w:tcPr>
          <w:p w:rsidR="00E504BF" w:rsidRPr="00435E25" w:rsidRDefault="00E504BF" w:rsidP="00272527">
            <w:pPr>
              <w:pStyle w:val="MDPI42tablebody"/>
              <w:jc w:val="left"/>
              <w:rPr>
                <w:rFonts w:ascii="Helvatica" w:hAnsi="Helvatica"/>
                <w:i/>
                <w:iCs/>
                <w:lang w:val="en-GB"/>
              </w:rPr>
            </w:pPr>
            <w:proofErr w:type="spellStart"/>
            <w:r w:rsidRPr="00435E25">
              <w:rPr>
                <w:rFonts w:ascii="Helvatica" w:hAnsi="Helvatica"/>
                <w:i/>
                <w:iCs/>
                <w:lang w:val="en-GB"/>
              </w:rPr>
              <w:t>Optek</w:t>
            </w:r>
            <w:proofErr w:type="spellEnd"/>
            <w:r w:rsidRPr="00435E25">
              <w:rPr>
                <w:rFonts w:ascii="Helvatica" w:hAnsi="Helvatica"/>
                <w:i/>
                <w:iCs/>
                <w:lang w:val="en-GB"/>
              </w:rPr>
              <w:t xml:space="preserve"> sensor measurement</w:t>
            </w:r>
          </w:p>
        </w:tc>
      </w:tr>
      <w:tr w:rsidR="00E504BF" w:rsidRPr="00435E25" w:rsidTr="00272527">
        <w:trPr>
          <w:trHeight w:val="340"/>
          <w:jc w:val="center"/>
        </w:trPr>
        <w:tc>
          <w:tcPr>
            <w:tcW w:w="2268" w:type="dxa"/>
            <w:tcBorders>
              <w:top w:val="single" w:sz="4" w:space="0" w:color="auto"/>
              <w:left w:val="nil"/>
              <w:bottom w:val="nil"/>
              <w:right w:val="nil"/>
            </w:tcBorders>
            <w:vAlign w:val="center"/>
            <w:hideMark/>
          </w:tcPr>
          <w:p w:rsidR="00E504BF" w:rsidRPr="00435E25" w:rsidRDefault="00E504BF" w:rsidP="00272527">
            <w:pPr>
              <w:spacing w:line="240" w:lineRule="auto"/>
              <w:jc w:val="center"/>
              <w:rPr>
                <w:rFonts w:ascii="Helvatica" w:eastAsia="Times New Roman" w:hAnsi="Helvatica"/>
                <w:sz w:val="20"/>
                <w:szCs w:val="20"/>
                <w:lang w:eastAsia="de-DE" w:bidi="en-US"/>
              </w:rPr>
            </w:pPr>
            <w:r w:rsidRPr="00435E25">
              <w:rPr>
                <w:rFonts w:ascii="Helvatica" w:eastAsia="Times New Roman" w:hAnsi="Helvatica"/>
                <w:sz w:val="20"/>
                <w:szCs w:val="20"/>
                <w:lang w:eastAsia="de-DE" w:bidi="en-US"/>
              </w:rPr>
              <w:t>Glycerol</w:t>
            </w:r>
          </w:p>
        </w:tc>
        <w:tc>
          <w:tcPr>
            <w:tcW w:w="2055" w:type="dxa"/>
            <w:tcBorders>
              <w:top w:val="nil"/>
              <w:left w:val="nil"/>
              <w:bottom w:val="nil"/>
              <w:right w:val="nil"/>
            </w:tcBorders>
            <w:vAlign w:val="center"/>
          </w:tcPr>
          <w:p w:rsidR="00E504BF" w:rsidRPr="00435E25" w:rsidRDefault="00E504BF" w:rsidP="00272527">
            <w:pPr>
              <w:pStyle w:val="MDPI42tablebody"/>
              <w:rPr>
                <w:rFonts w:ascii="Helvatica" w:hAnsi="Helvatica"/>
                <w:lang w:val="en-GB"/>
              </w:rPr>
            </w:pPr>
            <w:r w:rsidRPr="00435E25">
              <w:rPr>
                <w:rFonts w:ascii="Helvatica" w:hAnsi="Helvatica"/>
                <w:lang w:val="en-GB"/>
              </w:rPr>
              <w:t>62.5</w:t>
            </w:r>
          </w:p>
        </w:tc>
        <w:tc>
          <w:tcPr>
            <w:tcW w:w="2056" w:type="dxa"/>
            <w:tcBorders>
              <w:top w:val="nil"/>
              <w:left w:val="nil"/>
              <w:bottom w:val="nil"/>
              <w:right w:val="nil"/>
            </w:tcBorders>
            <w:vAlign w:val="center"/>
            <w:hideMark/>
          </w:tcPr>
          <w:p w:rsidR="00E504BF" w:rsidRPr="00435E25" w:rsidRDefault="00E504BF" w:rsidP="00272527">
            <w:pPr>
              <w:pStyle w:val="MDPI42tablebody"/>
              <w:rPr>
                <w:rFonts w:ascii="Helvatica" w:hAnsi="Helvatica"/>
                <w:lang w:val="en-GB"/>
              </w:rPr>
            </w:pPr>
            <w:r w:rsidRPr="00435E25">
              <w:rPr>
                <w:rFonts w:ascii="Helvatica" w:hAnsi="Helvatica"/>
                <w:lang w:val="en-GB"/>
              </w:rPr>
              <w:t>1.61</w:t>
            </w:r>
          </w:p>
        </w:tc>
        <w:tc>
          <w:tcPr>
            <w:tcW w:w="2055" w:type="dxa"/>
            <w:tcBorders>
              <w:top w:val="nil"/>
              <w:left w:val="nil"/>
              <w:bottom w:val="nil"/>
              <w:right w:val="nil"/>
            </w:tcBorders>
            <w:vAlign w:val="center"/>
            <w:hideMark/>
          </w:tcPr>
          <w:p w:rsidR="00E504BF" w:rsidRPr="00435E25" w:rsidRDefault="00E504BF" w:rsidP="00272527">
            <w:pPr>
              <w:pStyle w:val="MDPI42tablebody"/>
              <w:rPr>
                <w:rFonts w:ascii="Helvatica" w:hAnsi="Helvatica"/>
                <w:lang w:val="en-GB"/>
              </w:rPr>
            </w:pPr>
            <w:r w:rsidRPr="00435E25">
              <w:rPr>
                <w:rFonts w:ascii="Helvatica" w:hAnsi="Helvatica"/>
                <w:lang w:val="en-GB"/>
              </w:rPr>
              <w:t>2.17</w:t>
            </w:r>
          </w:p>
        </w:tc>
        <w:tc>
          <w:tcPr>
            <w:tcW w:w="2056" w:type="dxa"/>
            <w:tcBorders>
              <w:top w:val="nil"/>
              <w:left w:val="nil"/>
              <w:bottom w:val="nil"/>
              <w:right w:val="nil"/>
            </w:tcBorders>
            <w:vAlign w:val="center"/>
            <w:hideMark/>
          </w:tcPr>
          <w:p w:rsidR="00E504BF" w:rsidRPr="00435E25" w:rsidRDefault="00E504BF" w:rsidP="00272527">
            <w:pPr>
              <w:pStyle w:val="MDPI42tablebody"/>
              <w:rPr>
                <w:rFonts w:ascii="Helvatica" w:hAnsi="Helvatica"/>
                <w:lang w:val="en-GB"/>
              </w:rPr>
            </w:pPr>
            <w:r w:rsidRPr="00435E25">
              <w:rPr>
                <w:rFonts w:ascii="Helvatica" w:hAnsi="Helvatica"/>
                <w:lang w:val="en-GB"/>
              </w:rPr>
              <w:t>0.19</w:t>
            </w:r>
          </w:p>
        </w:tc>
      </w:tr>
      <w:tr w:rsidR="00E504BF" w:rsidRPr="00435E25" w:rsidTr="00272527">
        <w:trPr>
          <w:trHeight w:val="340"/>
          <w:jc w:val="center"/>
        </w:trPr>
        <w:tc>
          <w:tcPr>
            <w:tcW w:w="2268" w:type="dxa"/>
            <w:tcBorders>
              <w:top w:val="nil"/>
              <w:left w:val="nil"/>
              <w:bottom w:val="single" w:sz="4" w:space="0" w:color="auto"/>
              <w:right w:val="nil"/>
            </w:tcBorders>
            <w:vAlign w:val="center"/>
            <w:hideMark/>
          </w:tcPr>
          <w:p w:rsidR="00E504BF" w:rsidRPr="00435E25" w:rsidRDefault="00E504BF" w:rsidP="00272527">
            <w:pPr>
              <w:pStyle w:val="MDPI42tablebody"/>
              <w:rPr>
                <w:rFonts w:ascii="Helvatica" w:hAnsi="Helvatica"/>
                <w:lang w:val="en-GB"/>
              </w:rPr>
            </w:pPr>
            <w:r w:rsidRPr="00435E25">
              <w:rPr>
                <w:rFonts w:ascii="Helvatica" w:hAnsi="Helvatica"/>
                <w:lang w:val="en-GB"/>
              </w:rPr>
              <w:t>Methanol</w:t>
            </w:r>
          </w:p>
        </w:tc>
        <w:tc>
          <w:tcPr>
            <w:tcW w:w="2055" w:type="dxa"/>
            <w:tcBorders>
              <w:top w:val="nil"/>
              <w:left w:val="nil"/>
              <w:bottom w:val="single" w:sz="4" w:space="0" w:color="auto"/>
              <w:right w:val="nil"/>
            </w:tcBorders>
            <w:vAlign w:val="center"/>
          </w:tcPr>
          <w:p w:rsidR="00E504BF" w:rsidRPr="00435E25" w:rsidRDefault="00E504BF" w:rsidP="00272527">
            <w:pPr>
              <w:pStyle w:val="MDPI42tablebody"/>
              <w:rPr>
                <w:rFonts w:ascii="Helvatica" w:hAnsi="Helvatica"/>
                <w:lang w:val="en-GB"/>
              </w:rPr>
            </w:pPr>
            <w:r w:rsidRPr="00435E25">
              <w:rPr>
                <w:rFonts w:ascii="Helvatica" w:hAnsi="Helvatica"/>
                <w:lang w:val="en-GB"/>
              </w:rPr>
              <w:t>89.0</w:t>
            </w:r>
          </w:p>
        </w:tc>
        <w:tc>
          <w:tcPr>
            <w:tcW w:w="2056" w:type="dxa"/>
            <w:tcBorders>
              <w:top w:val="nil"/>
              <w:left w:val="nil"/>
              <w:bottom w:val="single" w:sz="4" w:space="0" w:color="auto"/>
              <w:right w:val="nil"/>
            </w:tcBorders>
            <w:vAlign w:val="center"/>
            <w:hideMark/>
          </w:tcPr>
          <w:p w:rsidR="00E504BF" w:rsidRPr="00435E25" w:rsidRDefault="00E504BF" w:rsidP="00272527">
            <w:pPr>
              <w:pStyle w:val="MDPI42tablebody"/>
              <w:rPr>
                <w:rFonts w:ascii="Helvatica" w:hAnsi="Helvatica"/>
                <w:lang w:val="en-GB"/>
              </w:rPr>
            </w:pPr>
            <w:r w:rsidRPr="00435E25">
              <w:rPr>
                <w:rFonts w:ascii="Helvatica" w:hAnsi="Helvatica"/>
                <w:lang w:val="en-GB"/>
              </w:rPr>
              <w:t>1.13</w:t>
            </w:r>
          </w:p>
        </w:tc>
        <w:tc>
          <w:tcPr>
            <w:tcW w:w="2055" w:type="dxa"/>
            <w:tcBorders>
              <w:top w:val="nil"/>
              <w:left w:val="nil"/>
              <w:bottom w:val="single" w:sz="4" w:space="0" w:color="auto"/>
              <w:right w:val="nil"/>
            </w:tcBorders>
            <w:vAlign w:val="center"/>
            <w:hideMark/>
          </w:tcPr>
          <w:p w:rsidR="00E504BF" w:rsidRPr="00435E25" w:rsidRDefault="00E504BF" w:rsidP="00272527">
            <w:pPr>
              <w:pStyle w:val="MDPI42tablebody"/>
              <w:rPr>
                <w:rFonts w:ascii="Helvatica" w:hAnsi="Helvatica"/>
                <w:lang w:val="en-GB"/>
              </w:rPr>
            </w:pPr>
            <w:r w:rsidRPr="00435E25">
              <w:rPr>
                <w:rFonts w:ascii="Helvatica" w:hAnsi="Helvatica"/>
                <w:lang w:val="en-GB"/>
              </w:rPr>
              <w:t>1.76</w:t>
            </w:r>
          </w:p>
        </w:tc>
        <w:tc>
          <w:tcPr>
            <w:tcW w:w="2056" w:type="dxa"/>
            <w:tcBorders>
              <w:top w:val="nil"/>
              <w:left w:val="nil"/>
              <w:bottom w:val="single" w:sz="4" w:space="0" w:color="auto"/>
              <w:right w:val="nil"/>
            </w:tcBorders>
            <w:vAlign w:val="center"/>
            <w:hideMark/>
          </w:tcPr>
          <w:p w:rsidR="00E504BF" w:rsidRPr="00435E25" w:rsidRDefault="00E504BF" w:rsidP="00272527">
            <w:pPr>
              <w:pStyle w:val="MDPI42tablebody"/>
              <w:rPr>
                <w:rFonts w:ascii="Helvatica" w:hAnsi="Helvatica"/>
                <w:lang w:val="en-GB"/>
              </w:rPr>
            </w:pPr>
            <w:r w:rsidRPr="00435E25">
              <w:rPr>
                <w:rFonts w:ascii="Helvatica" w:hAnsi="Helvatica"/>
                <w:lang w:val="en-GB"/>
              </w:rPr>
              <w:t>0.03</w:t>
            </w:r>
          </w:p>
        </w:tc>
      </w:tr>
      <w:tr w:rsidR="00E504BF" w:rsidRPr="00435E25" w:rsidTr="00272527">
        <w:trPr>
          <w:trHeight w:val="340"/>
          <w:jc w:val="center"/>
        </w:trPr>
        <w:tc>
          <w:tcPr>
            <w:tcW w:w="10490" w:type="dxa"/>
            <w:gridSpan w:val="5"/>
            <w:tcBorders>
              <w:top w:val="nil"/>
              <w:left w:val="nil"/>
              <w:bottom w:val="single" w:sz="4" w:space="0" w:color="auto"/>
              <w:right w:val="nil"/>
            </w:tcBorders>
            <w:vAlign w:val="center"/>
          </w:tcPr>
          <w:p w:rsidR="00E504BF" w:rsidRPr="00435E25" w:rsidRDefault="00E504BF" w:rsidP="00272527">
            <w:pPr>
              <w:pStyle w:val="MDPI42tablebody"/>
              <w:jc w:val="left"/>
              <w:rPr>
                <w:rFonts w:ascii="Helvatica" w:hAnsi="Helvatica"/>
                <w:i/>
                <w:iCs/>
                <w:lang w:val="en-GB"/>
              </w:rPr>
            </w:pPr>
            <w:r w:rsidRPr="00435E25">
              <w:rPr>
                <w:rFonts w:ascii="Helvatica" w:hAnsi="Helvatica"/>
                <w:i/>
                <w:iCs/>
                <w:lang w:val="en-GB"/>
              </w:rPr>
              <w:t>Incyte sensor measurement</w:t>
            </w:r>
          </w:p>
        </w:tc>
      </w:tr>
      <w:tr w:rsidR="00E504BF" w:rsidRPr="00435E25" w:rsidTr="00272527">
        <w:trPr>
          <w:trHeight w:val="340"/>
          <w:jc w:val="center"/>
        </w:trPr>
        <w:tc>
          <w:tcPr>
            <w:tcW w:w="2268" w:type="dxa"/>
            <w:tcBorders>
              <w:top w:val="single" w:sz="4" w:space="0" w:color="auto"/>
              <w:left w:val="nil"/>
              <w:bottom w:val="nil"/>
              <w:right w:val="nil"/>
            </w:tcBorders>
            <w:vAlign w:val="center"/>
            <w:hideMark/>
          </w:tcPr>
          <w:p w:rsidR="00E504BF" w:rsidRPr="00435E25" w:rsidRDefault="00E504BF" w:rsidP="00272527">
            <w:pPr>
              <w:spacing w:line="240" w:lineRule="auto"/>
              <w:jc w:val="center"/>
              <w:rPr>
                <w:rFonts w:ascii="Helvatica" w:eastAsia="Times New Roman" w:hAnsi="Helvatica"/>
                <w:sz w:val="20"/>
                <w:szCs w:val="20"/>
                <w:lang w:eastAsia="de-DE" w:bidi="en-US"/>
              </w:rPr>
            </w:pPr>
            <w:r w:rsidRPr="00435E25">
              <w:rPr>
                <w:rFonts w:ascii="Helvatica" w:eastAsia="Times New Roman" w:hAnsi="Helvatica"/>
                <w:sz w:val="20"/>
                <w:szCs w:val="20"/>
                <w:lang w:eastAsia="de-DE" w:bidi="en-US"/>
              </w:rPr>
              <w:t>Glycerol</w:t>
            </w:r>
          </w:p>
        </w:tc>
        <w:tc>
          <w:tcPr>
            <w:tcW w:w="2055" w:type="dxa"/>
            <w:tcBorders>
              <w:top w:val="nil"/>
              <w:left w:val="nil"/>
              <w:bottom w:val="nil"/>
              <w:right w:val="nil"/>
            </w:tcBorders>
            <w:vAlign w:val="center"/>
          </w:tcPr>
          <w:p w:rsidR="00E504BF" w:rsidRPr="00435E25" w:rsidRDefault="00E504BF" w:rsidP="00272527">
            <w:pPr>
              <w:pStyle w:val="MDPI42tablebody"/>
              <w:rPr>
                <w:rFonts w:ascii="Helvatica" w:hAnsi="Helvatica"/>
                <w:lang w:val="en-GB"/>
              </w:rPr>
            </w:pPr>
            <w:r w:rsidRPr="00435E25">
              <w:rPr>
                <w:rFonts w:ascii="Helvatica" w:hAnsi="Helvatica"/>
                <w:lang w:val="en-GB"/>
              </w:rPr>
              <w:t>59.2</w:t>
            </w:r>
          </w:p>
        </w:tc>
        <w:tc>
          <w:tcPr>
            <w:tcW w:w="2056" w:type="dxa"/>
            <w:tcBorders>
              <w:top w:val="nil"/>
              <w:left w:val="nil"/>
              <w:bottom w:val="nil"/>
              <w:right w:val="nil"/>
            </w:tcBorders>
            <w:vAlign w:val="center"/>
            <w:hideMark/>
          </w:tcPr>
          <w:p w:rsidR="00E504BF" w:rsidRPr="00435E25" w:rsidRDefault="00E504BF" w:rsidP="00272527">
            <w:pPr>
              <w:pStyle w:val="MDPI42tablebody"/>
              <w:rPr>
                <w:rFonts w:ascii="Helvatica" w:hAnsi="Helvatica"/>
                <w:lang w:val="en-GB"/>
              </w:rPr>
            </w:pPr>
            <w:r w:rsidRPr="00435E25">
              <w:rPr>
                <w:rFonts w:ascii="Helvatica" w:hAnsi="Helvatica"/>
                <w:lang w:val="en-GB"/>
              </w:rPr>
              <w:t>1.70</w:t>
            </w:r>
          </w:p>
        </w:tc>
        <w:tc>
          <w:tcPr>
            <w:tcW w:w="2055" w:type="dxa"/>
            <w:tcBorders>
              <w:top w:val="nil"/>
              <w:left w:val="nil"/>
              <w:bottom w:val="nil"/>
              <w:right w:val="nil"/>
            </w:tcBorders>
            <w:vAlign w:val="center"/>
            <w:hideMark/>
          </w:tcPr>
          <w:p w:rsidR="00E504BF" w:rsidRPr="00435E25" w:rsidRDefault="00E504BF" w:rsidP="00272527">
            <w:pPr>
              <w:pStyle w:val="MDPI42tablebody"/>
              <w:rPr>
                <w:rFonts w:ascii="Helvatica" w:hAnsi="Helvatica"/>
                <w:lang w:val="en-GB"/>
              </w:rPr>
            </w:pPr>
            <w:r w:rsidRPr="00435E25">
              <w:rPr>
                <w:rFonts w:ascii="Helvatica" w:hAnsi="Helvatica"/>
                <w:lang w:val="en-GB"/>
              </w:rPr>
              <w:t>2.29</w:t>
            </w:r>
          </w:p>
        </w:tc>
        <w:tc>
          <w:tcPr>
            <w:tcW w:w="2056" w:type="dxa"/>
            <w:tcBorders>
              <w:top w:val="nil"/>
              <w:left w:val="nil"/>
              <w:bottom w:val="nil"/>
              <w:right w:val="nil"/>
            </w:tcBorders>
            <w:vAlign w:val="center"/>
            <w:hideMark/>
          </w:tcPr>
          <w:p w:rsidR="00E504BF" w:rsidRPr="00435E25" w:rsidRDefault="00E504BF" w:rsidP="00272527">
            <w:pPr>
              <w:pStyle w:val="MDPI42tablebody"/>
              <w:rPr>
                <w:rFonts w:ascii="Helvatica" w:hAnsi="Helvatica"/>
                <w:lang w:val="en-GB"/>
              </w:rPr>
            </w:pPr>
            <w:r w:rsidRPr="00435E25">
              <w:rPr>
                <w:rFonts w:ascii="Helvatica" w:hAnsi="Helvatica"/>
                <w:lang w:val="en-GB"/>
              </w:rPr>
              <w:t>0.19</w:t>
            </w:r>
          </w:p>
        </w:tc>
      </w:tr>
      <w:tr w:rsidR="00E504BF" w:rsidRPr="00435E25" w:rsidTr="00272527">
        <w:trPr>
          <w:trHeight w:val="340"/>
          <w:jc w:val="center"/>
        </w:trPr>
        <w:tc>
          <w:tcPr>
            <w:tcW w:w="2268" w:type="dxa"/>
            <w:tcBorders>
              <w:top w:val="nil"/>
              <w:left w:val="nil"/>
              <w:bottom w:val="single" w:sz="4" w:space="0" w:color="auto"/>
              <w:right w:val="nil"/>
            </w:tcBorders>
            <w:vAlign w:val="center"/>
            <w:hideMark/>
          </w:tcPr>
          <w:p w:rsidR="00E504BF" w:rsidRPr="00435E25" w:rsidRDefault="00E504BF" w:rsidP="00272527">
            <w:pPr>
              <w:pStyle w:val="MDPI42tablebody"/>
              <w:rPr>
                <w:rFonts w:ascii="Helvatica" w:hAnsi="Helvatica"/>
                <w:lang w:val="en-GB"/>
              </w:rPr>
            </w:pPr>
            <w:r w:rsidRPr="00435E25">
              <w:rPr>
                <w:rFonts w:ascii="Helvatica" w:hAnsi="Helvatica"/>
                <w:lang w:val="en-GB"/>
              </w:rPr>
              <w:t>Methanol</w:t>
            </w:r>
          </w:p>
        </w:tc>
        <w:tc>
          <w:tcPr>
            <w:tcW w:w="2055" w:type="dxa"/>
            <w:tcBorders>
              <w:top w:val="nil"/>
              <w:left w:val="nil"/>
              <w:bottom w:val="single" w:sz="4" w:space="0" w:color="auto"/>
              <w:right w:val="nil"/>
            </w:tcBorders>
            <w:vAlign w:val="center"/>
          </w:tcPr>
          <w:p w:rsidR="00E504BF" w:rsidRPr="00435E25" w:rsidRDefault="00E504BF" w:rsidP="00272527">
            <w:pPr>
              <w:pStyle w:val="MDPI42tablebody"/>
              <w:rPr>
                <w:rFonts w:ascii="Helvatica" w:hAnsi="Helvatica"/>
                <w:lang w:val="en-GB"/>
              </w:rPr>
            </w:pPr>
            <w:r w:rsidRPr="00435E25">
              <w:rPr>
                <w:rFonts w:ascii="Helvatica" w:hAnsi="Helvatica"/>
                <w:lang w:val="en-GB"/>
              </w:rPr>
              <w:t>110.85</w:t>
            </w:r>
          </w:p>
        </w:tc>
        <w:tc>
          <w:tcPr>
            <w:tcW w:w="2056" w:type="dxa"/>
            <w:tcBorders>
              <w:top w:val="nil"/>
              <w:left w:val="nil"/>
              <w:bottom w:val="single" w:sz="4" w:space="0" w:color="auto"/>
              <w:right w:val="nil"/>
            </w:tcBorders>
            <w:vAlign w:val="center"/>
            <w:hideMark/>
          </w:tcPr>
          <w:p w:rsidR="00E504BF" w:rsidRPr="00435E25" w:rsidRDefault="00E504BF" w:rsidP="00272527">
            <w:pPr>
              <w:pStyle w:val="MDPI42tablebody"/>
              <w:rPr>
                <w:rFonts w:ascii="Helvatica" w:hAnsi="Helvatica"/>
                <w:lang w:val="en-GB"/>
              </w:rPr>
            </w:pPr>
            <w:r w:rsidRPr="00435E25">
              <w:rPr>
                <w:rFonts w:ascii="Helvatica" w:hAnsi="Helvatica"/>
                <w:lang w:val="en-GB"/>
              </w:rPr>
              <w:t>0.91</w:t>
            </w:r>
          </w:p>
        </w:tc>
        <w:tc>
          <w:tcPr>
            <w:tcW w:w="2055" w:type="dxa"/>
            <w:tcBorders>
              <w:top w:val="nil"/>
              <w:left w:val="nil"/>
              <w:bottom w:val="single" w:sz="4" w:space="0" w:color="auto"/>
              <w:right w:val="nil"/>
            </w:tcBorders>
            <w:vAlign w:val="center"/>
            <w:hideMark/>
          </w:tcPr>
          <w:p w:rsidR="00E504BF" w:rsidRPr="00435E25" w:rsidRDefault="00E504BF" w:rsidP="00272527">
            <w:pPr>
              <w:pStyle w:val="MDPI42tablebody"/>
              <w:rPr>
                <w:rFonts w:ascii="Helvatica" w:hAnsi="Helvatica"/>
                <w:lang w:val="en-GB"/>
              </w:rPr>
            </w:pPr>
            <w:r w:rsidRPr="00435E25">
              <w:rPr>
                <w:rFonts w:ascii="Helvatica" w:hAnsi="Helvatica"/>
                <w:lang w:val="en-GB"/>
              </w:rPr>
              <w:t>1.41</w:t>
            </w:r>
          </w:p>
        </w:tc>
        <w:tc>
          <w:tcPr>
            <w:tcW w:w="2056" w:type="dxa"/>
            <w:tcBorders>
              <w:top w:val="nil"/>
              <w:left w:val="nil"/>
              <w:bottom w:val="single" w:sz="4" w:space="0" w:color="auto"/>
              <w:right w:val="nil"/>
            </w:tcBorders>
            <w:vAlign w:val="center"/>
            <w:hideMark/>
          </w:tcPr>
          <w:p w:rsidR="00E504BF" w:rsidRPr="00435E25" w:rsidRDefault="00E504BF" w:rsidP="00272527">
            <w:pPr>
              <w:pStyle w:val="MDPI42tablebody"/>
              <w:rPr>
                <w:rFonts w:ascii="Helvatica" w:hAnsi="Helvatica"/>
                <w:lang w:val="en-GB"/>
              </w:rPr>
            </w:pPr>
            <w:r w:rsidRPr="00435E25">
              <w:rPr>
                <w:rFonts w:ascii="Helvatica" w:hAnsi="Helvatica"/>
                <w:lang w:val="en-GB"/>
              </w:rPr>
              <w:t>0.04</w:t>
            </w:r>
          </w:p>
        </w:tc>
      </w:tr>
    </w:tbl>
    <w:p w:rsidR="00E504BF" w:rsidRPr="00435E25" w:rsidRDefault="00E504BF" w:rsidP="00E504BF">
      <w:pPr>
        <w:ind w:left="720" w:hanging="360"/>
        <w:jc w:val="center"/>
        <w:rPr>
          <w:rFonts w:ascii="Helvatica" w:hAnsi="Helvatica"/>
          <w:sz w:val="24"/>
          <w:szCs w:val="24"/>
        </w:rPr>
      </w:pPr>
    </w:p>
    <w:p w:rsidR="00802AF6" w:rsidRDefault="00802AF6">
      <w:pPr>
        <w:rPr>
          <w:rFonts w:ascii="Helvatica" w:hAnsi="Helvatica"/>
          <w:b/>
          <w:sz w:val="24"/>
          <w:szCs w:val="24"/>
        </w:rPr>
      </w:pPr>
      <w:r>
        <w:rPr>
          <w:rFonts w:ascii="Helvatica" w:hAnsi="Helvatica"/>
          <w:b/>
          <w:sz w:val="24"/>
          <w:szCs w:val="24"/>
        </w:rPr>
        <w:br w:type="page"/>
      </w:r>
    </w:p>
    <w:p w:rsidR="00566AF8" w:rsidRDefault="00566AF8" w:rsidP="00566AF8">
      <w:pPr>
        <w:pStyle w:val="MDPI22heading2"/>
        <w:ind w:left="0"/>
        <w:rPr>
          <w:rFonts w:ascii="Helvatica" w:eastAsiaTheme="minorHAnsi" w:hAnsi="Helvatica" w:cstheme="minorBidi"/>
          <w:b/>
          <w:i w:val="0"/>
          <w:noProof w:val="0"/>
          <w:snapToGrid/>
          <w:color w:val="auto"/>
          <w:sz w:val="24"/>
          <w:szCs w:val="24"/>
          <w:lang w:val="en-GB" w:eastAsia="en-US" w:bidi="ar-SA"/>
        </w:rPr>
      </w:pPr>
      <w:r w:rsidRPr="00435E25">
        <w:rPr>
          <w:rFonts w:ascii="Helvatica" w:eastAsiaTheme="minorHAnsi" w:hAnsi="Helvatica" w:cstheme="minorBidi"/>
          <w:b/>
          <w:i w:val="0"/>
          <w:noProof w:val="0"/>
          <w:snapToGrid/>
          <w:color w:val="auto"/>
          <w:sz w:val="24"/>
          <w:szCs w:val="24"/>
          <w:lang w:val="en-GB" w:eastAsia="en-US" w:bidi="ar-SA"/>
        </w:rPr>
        <w:lastRenderedPageBreak/>
        <w:t>Supplementary materials</w:t>
      </w:r>
      <w:r>
        <w:rPr>
          <w:rFonts w:ascii="Helvatica" w:eastAsiaTheme="minorHAnsi" w:hAnsi="Helvatica" w:cstheme="minorBidi"/>
          <w:b/>
          <w:i w:val="0"/>
          <w:noProof w:val="0"/>
          <w:snapToGrid/>
          <w:color w:val="auto"/>
          <w:sz w:val="24"/>
          <w:szCs w:val="24"/>
          <w:lang w:val="en-GB" w:eastAsia="en-US" w:bidi="ar-SA"/>
        </w:rPr>
        <w:t xml:space="preserve"> 2</w:t>
      </w:r>
    </w:p>
    <w:p w:rsidR="00977422" w:rsidRPr="00435E25" w:rsidRDefault="00977422" w:rsidP="00566AF8">
      <w:pPr>
        <w:ind w:hanging="76"/>
        <w:rPr>
          <w:rFonts w:ascii="Helvatica" w:hAnsi="Helvatica"/>
          <w:b/>
          <w:sz w:val="24"/>
          <w:szCs w:val="24"/>
        </w:rPr>
      </w:pPr>
      <w:r w:rsidRPr="00435E25">
        <w:rPr>
          <w:rFonts w:ascii="Helvatica" w:hAnsi="Helvatica"/>
          <w:b/>
          <w:sz w:val="24"/>
          <w:szCs w:val="24"/>
        </w:rPr>
        <w:t xml:space="preserve">Optimisation </w:t>
      </w:r>
      <w:r w:rsidR="0011391F" w:rsidRPr="00435E25">
        <w:rPr>
          <w:rFonts w:ascii="Helvatica" w:hAnsi="Helvatica"/>
          <w:b/>
          <w:sz w:val="24"/>
          <w:szCs w:val="24"/>
        </w:rPr>
        <w:t>“</w:t>
      </w:r>
      <w:proofErr w:type="spellStart"/>
      <w:r w:rsidR="0011391F" w:rsidRPr="00435E25">
        <w:rPr>
          <w:rFonts w:ascii="Helvatica" w:hAnsi="Helvatica"/>
          <w:b/>
          <w:sz w:val="24"/>
          <w:szCs w:val="24"/>
        </w:rPr>
        <w:t>Optimisation_result_Final</w:t>
      </w:r>
      <w:proofErr w:type="spellEnd"/>
      <w:r w:rsidR="0011391F" w:rsidRPr="00435E25">
        <w:rPr>
          <w:rFonts w:ascii="Helvatica" w:hAnsi="Helvatica"/>
          <w:b/>
          <w:sz w:val="24"/>
          <w:szCs w:val="24"/>
        </w:rPr>
        <w:t xml:space="preserve">” </w:t>
      </w:r>
      <w:r w:rsidRPr="00435E25">
        <w:rPr>
          <w:rFonts w:ascii="Helvatica" w:hAnsi="Helvatica"/>
          <w:b/>
          <w:sz w:val="24"/>
          <w:szCs w:val="24"/>
        </w:rPr>
        <w:t>MS Excel file Content</w:t>
      </w:r>
    </w:p>
    <w:p w:rsidR="00977422" w:rsidRPr="00435E25" w:rsidRDefault="00977422" w:rsidP="00977422">
      <w:pPr>
        <w:pStyle w:val="ListParagraph"/>
        <w:rPr>
          <w:rFonts w:ascii="Helvatica" w:hAnsi="Helvatica"/>
          <w:sz w:val="24"/>
          <w:szCs w:val="24"/>
        </w:rPr>
      </w:pPr>
    </w:p>
    <w:p w:rsidR="001438E9" w:rsidRPr="00435E25" w:rsidRDefault="00977422" w:rsidP="00977422">
      <w:pPr>
        <w:pStyle w:val="ListParagraph"/>
        <w:numPr>
          <w:ilvl w:val="0"/>
          <w:numId w:val="1"/>
        </w:numPr>
        <w:rPr>
          <w:rFonts w:ascii="Helvatica" w:hAnsi="Helvatica"/>
          <w:sz w:val="24"/>
          <w:szCs w:val="24"/>
        </w:rPr>
      </w:pPr>
      <w:r w:rsidRPr="00435E25">
        <w:rPr>
          <w:rFonts w:ascii="Helvatica" w:hAnsi="Helvatica"/>
          <w:sz w:val="24"/>
          <w:szCs w:val="24"/>
        </w:rPr>
        <w:t>“</w:t>
      </w:r>
      <w:r w:rsidR="00D34A25">
        <w:rPr>
          <w:rFonts w:ascii="Helvatica" w:hAnsi="Helvatica"/>
          <w:sz w:val="24"/>
          <w:szCs w:val="24"/>
        </w:rPr>
        <w:t xml:space="preserve">Table S3.1. </w:t>
      </w:r>
      <w:proofErr w:type="spellStart"/>
      <w:r w:rsidR="00650082">
        <w:rPr>
          <w:rFonts w:ascii="Helvatica" w:hAnsi="Helvatica"/>
          <w:sz w:val="24"/>
          <w:szCs w:val="24"/>
        </w:rPr>
        <w:t>A</w:t>
      </w:r>
      <w:r w:rsidRPr="00435E25">
        <w:rPr>
          <w:rFonts w:ascii="Helvatica" w:hAnsi="Helvatica"/>
          <w:sz w:val="24"/>
          <w:szCs w:val="24"/>
        </w:rPr>
        <w:t>ll_in_one</w:t>
      </w:r>
      <w:proofErr w:type="spellEnd"/>
      <w:r w:rsidRPr="00435E25">
        <w:rPr>
          <w:rFonts w:ascii="Helvatica" w:hAnsi="Helvatica"/>
          <w:sz w:val="24"/>
          <w:szCs w:val="24"/>
        </w:rPr>
        <w:t xml:space="preserve">” – all </w:t>
      </w:r>
      <w:r w:rsidRPr="00435E25">
        <w:rPr>
          <w:rFonts w:ascii="Helvatica" w:hAnsi="Helvatica" w:cs="Arial"/>
          <w:i/>
          <w:iCs/>
          <w:color w:val="000000"/>
          <w:sz w:val="24"/>
          <w:szCs w:val="24"/>
        </w:rPr>
        <w:t>P. pastoris</w:t>
      </w:r>
      <w:r w:rsidRPr="00435E25">
        <w:rPr>
          <w:rFonts w:ascii="Helvatica" w:hAnsi="Helvatica" w:cs="Arial"/>
          <w:color w:val="000000"/>
          <w:sz w:val="24"/>
          <w:szCs w:val="24"/>
        </w:rPr>
        <w:t xml:space="preserve"> iMT1026 genome-scale metabolic model reactions.</w:t>
      </w:r>
    </w:p>
    <w:p w:rsidR="00977422" w:rsidRPr="00435E25" w:rsidRDefault="00977422" w:rsidP="00977422">
      <w:pPr>
        <w:pStyle w:val="ListParagraph"/>
        <w:numPr>
          <w:ilvl w:val="0"/>
          <w:numId w:val="1"/>
        </w:numPr>
        <w:rPr>
          <w:rFonts w:ascii="Helvatica" w:hAnsi="Helvatica"/>
          <w:sz w:val="24"/>
          <w:szCs w:val="24"/>
        </w:rPr>
      </w:pPr>
      <w:r w:rsidRPr="00435E25">
        <w:rPr>
          <w:rFonts w:ascii="Helvatica" w:hAnsi="Helvatica"/>
          <w:sz w:val="24"/>
          <w:szCs w:val="24"/>
        </w:rPr>
        <w:t>“</w:t>
      </w:r>
      <w:r w:rsidR="00D34A25">
        <w:rPr>
          <w:rFonts w:ascii="Helvatica" w:hAnsi="Helvatica"/>
          <w:sz w:val="24"/>
          <w:szCs w:val="24"/>
        </w:rPr>
        <w:t xml:space="preserve">Table S3.2. </w:t>
      </w:r>
      <w:proofErr w:type="spellStart"/>
      <w:r w:rsidRPr="00435E25">
        <w:rPr>
          <w:rFonts w:ascii="Helvatica" w:hAnsi="Helvatica"/>
          <w:sz w:val="24"/>
          <w:szCs w:val="24"/>
        </w:rPr>
        <w:t>Dependant_reactions</w:t>
      </w:r>
      <w:proofErr w:type="spellEnd"/>
      <w:r w:rsidRPr="00435E25">
        <w:rPr>
          <w:rFonts w:ascii="Helvatica" w:hAnsi="Helvatica"/>
          <w:sz w:val="24"/>
          <w:szCs w:val="24"/>
        </w:rPr>
        <w:t xml:space="preserve">” – all reactions which have an impact on </w:t>
      </w:r>
      <w:r w:rsidRPr="00435E25">
        <w:rPr>
          <w:rFonts w:ascii="Helvatica" w:hAnsi="Helvatica" w:cs="Arial"/>
          <w:color w:val="333333"/>
          <w:sz w:val="24"/>
          <w:szCs w:val="24"/>
          <w:shd w:val="clear" w:color="auto" w:fill="FFFFFF"/>
        </w:rPr>
        <w:t xml:space="preserve">ferroheme </w:t>
      </w:r>
      <w:r w:rsidRPr="00435E25">
        <w:rPr>
          <w:rFonts w:ascii="Helvatica" w:hAnsi="Helvatica" w:cs="Arial"/>
          <w:i/>
          <w:iCs/>
          <w:color w:val="333333"/>
          <w:sz w:val="24"/>
          <w:szCs w:val="24"/>
          <w:shd w:val="clear" w:color="auto" w:fill="FFFFFF"/>
        </w:rPr>
        <w:t>b production.</w:t>
      </w:r>
    </w:p>
    <w:p w:rsidR="00977422" w:rsidRPr="00435E25" w:rsidRDefault="00977422" w:rsidP="00977422">
      <w:pPr>
        <w:pStyle w:val="NormalWeb"/>
        <w:numPr>
          <w:ilvl w:val="0"/>
          <w:numId w:val="1"/>
        </w:numPr>
        <w:spacing w:before="0" w:beforeAutospacing="0" w:after="0" w:afterAutospacing="0"/>
        <w:jc w:val="both"/>
        <w:textAlignment w:val="baseline"/>
        <w:rPr>
          <w:rFonts w:ascii="Helvatica" w:hAnsi="Helvatica" w:cs="Arial"/>
          <w:color w:val="000000"/>
        </w:rPr>
      </w:pPr>
      <w:r w:rsidRPr="00435E25">
        <w:rPr>
          <w:rFonts w:ascii="Helvatica" w:hAnsi="Helvatica" w:cs="Arial"/>
          <w:color w:val="000000"/>
        </w:rPr>
        <w:t>“</w:t>
      </w:r>
      <w:r w:rsidR="00D34A25">
        <w:rPr>
          <w:rFonts w:ascii="Helvatica" w:hAnsi="Helvatica"/>
        </w:rPr>
        <w:t xml:space="preserve">Table S3.3. </w:t>
      </w:r>
      <w:proofErr w:type="spellStart"/>
      <w:r w:rsidRPr="00435E25">
        <w:rPr>
          <w:rFonts w:ascii="Helvatica" w:hAnsi="Helvatica" w:cs="Arial"/>
          <w:color w:val="000000"/>
        </w:rPr>
        <w:t>Pos_contra_proportional</w:t>
      </w:r>
      <w:proofErr w:type="spellEnd"/>
      <w:r w:rsidRPr="00435E25">
        <w:rPr>
          <w:rFonts w:ascii="Helvatica" w:hAnsi="Helvatica" w:cs="Arial"/>
          <w:color w:val="000000"/>
        </w:rPr>
        <w:t>”- reactions with flux value from left to right and are inversely proportionally to forced product (</w:t>
      </w:r>
      <w:proofErr w:type="spellStart"/>
      <w:r w:rsidRPr="00435E25">
        <w:rPr>
          <w:rFonts w:ascii="Helvatica" w:hAnsi="Helvatica" w:cs="Arial"/>
          <w:color w:val="000000"/>
        </w:rPr>
        <w:t>heme</w:t>
      </w:r>
      <w:proofErr w:type="spellEnd"/>
      <w:r w:rsidRPr="00435E25">
        <w:rPr>
          <w:rFonts w:ascii="Helvatica" w:hAnsi="Helvatica" w:cs="Arial"/>
          <w:color w:val="000000"/>
        </w:rPr>
        <w:t>) changing fluxes;</w:t>
      </w:r>
    </w:p>
    <w:p w:rsidR="00977422" w:rsidRPr="00435E25" w:rsidRDefault="00977422" w:rsidP="00977422">
      <w:pPr>
        <w:pStyle w:val="NormalWeb"/>
        <w:numPr>
          <w:ilvl w:val="0"/>
          <w:numId w:val="1"/>
        </w:numPr>
        <w:spacing w:before="0" w:beforeAutospacing="0" w:after="0" w:afterAutospacing="0"/>
        <w:jc w:val="both"/>
        <w:textAlignment w:val="baseline"/>
        <w:rPr>
          <w:rFonts w:ascii="Helvatica" w:hAnsi="Helvatica" w:cs="Arial"/>
          <w:color w:val="000000"/>
        </w:rPr>
      </w:pPr>
      <w:r w:rsidRPr="00435E25">
        <w:rPr>
          <w:rFonts w:ascii="Helvatica" w:hAnsi="Helvatica" w:cs="Arial"/>
          <w:color w:val="000000"/>
        </w:rPr>
        <w:t>“</w:t>
      </w:r>
      <w:r w:rsidR="00D34A25">
        <w:rPr>
          <w:rFonts w:ascii="Helvatica" w:hAnsi="Helvatica"/>
        </w:rPr>
        <w:t xml:space="preserve">Table S3.4. </w:t>
      </w:r>
      <w:proofErr w:type="spellStart"/>
      <w:r w:rsidRPr="00435E25">
        <w:rPr>
          <w:rFonts w:ascii="Helvatica" w:hAnsi="Helvatica" w:cs="Arial"/>
          <w:color w:val="000000"/>
        </w:rPr>
        <w:t>Neg_contra_proportional</w:t>
      </w:r>
      <w:proofErr w:type="spellEnd"/>
      <w:r w:rsidRPr="00435E25">
        <w:rPr>
          <w:rFonts w:ascii="Helvatica" w:hAnsi="Helvatica" w:cs="Arial"/>
          <w:color w:val="000000"/>
        </w:rPr>
        <w:t>” - reactions with flux value from right to left and are inversely proportionally to forced product (</w:t>
      </w:r>
      <w:proofErr w:type="spellStart"/>
      <w:r w:rsidRPr="00435E25">
        <w:rPr>
          <w:rFonts w:ascii="Helvatica" w:hAnsi="Helvatica" w:cs="Arial"/>
          <w:color w:val="000000"/>
        </w:rPr>
        <w:t>heme</w:t>
      </w:r>
      <w:proofErr w:type="spellEnd"/>
      <w:r w:rsidRPr="00435E25">
        <w:rPr>
          <w:rFonts w:ascii="Helvatica" w:hAnsi="Helvatica" w:cs="Arial"/>
          <w:color w:val="000000"/>
        </w:rPr>
        <w:t>) changing fluxes;</w:t>
      </w:r>
    </w:p>
    <w:p w:rsidR="00977422" w:rsidRPr="00435E25" w:rsidRDefault="00977422" w:rsidP="00977422">
      <w:pPr>
        <w:pStyle w:val="NormalWeb"/>
        <w:numPr>
          <w:ilvl w:val="0"/>
          <w:numId w:val="1"/>
        </w:numPr>
        <w:spacing w:before="0" w:beforeAutospacing="0" w:after="0" w:afterAutospacing="0"/>
        <w:jc w:val="both"/>
        <w:textAlignment w:val="baseline"/>
        <w:rPr>
          <w:rFonts w:ascii="Helvatica" w:hAnsi="Helvatica" w:cs="Arial"/>
          <w:color w:val="000000"/>
        </w:rPr>
      </w:pPr>
      <w:r w:rsidRPr="00435E25">
        <w:rPr>
          <w:rFonts w:ascii="Helvatica" w:hAnsi="Helvatica" w:cs="Arial"/>
          <w:color w:val="000000"/>
        </w:rPr>
        <w:t>“</w:t>
      </w:r>
      <w:r w:rsidR="00D34A25">
        <w:rPr>
          <w:rFonts w:ascii="Helvatica" w:hAnsi="Helvatica"/>
        </w:rPr>
        <w:t xml:space="preserve">Table S3.5. </w:t>
      </w:r>
      <w:proofErr w:type="spellStart"/>
      <w:r w:rsidRPr="00435E25">
        <w:rPr>
          <w:rFonts w:ascii="Helvatica" w:hAnsi="Helvatica" w:cs="Arial"/>
          <w:color w:val="000000"/>
        </w:rPr>
        <w:t>Pos_directly_proportional</w:t>
      </w:r>
      <w:proofErr w:type="spellEnd"/>
      <w:r w:rsidRPr="00435E25">
        <w:rPr>
          <w:rFonts w:ascii="Helvatica" w:hAnsi="Helvatica" w:cs="Arial"/>
          <w:color w:val="000000"/>
        </w:rPr>
        <w:t>” - reactions with flux value from left to right and are directly proportionally to forced product (</w:t>
      </w:r>
      <w:proofErr w:type="spellStart"/>
      <w:r w:rsidRPr="00435E25">
        <w:rPr>
          <w:rFonts w:ascii="Helvatica" w:hAnsi="Helvatica" w:cs="Arial"/>
          <w:color w:val="000000"/>
        </w:rPr>
        <w:t>heme</w:t>
      </w:r>
      <w:proofErr w:type="spellEnd"/>
      <w:r w:rsidRPr="00435E25">
        <w:rPr>
          <w:rFonts w:ascii="Helvatica" w:hAnsi="Helvatica" w:cs="Arial"/>
          <w:color w:val="000000"/>
        </w:rPr>
        <w:t>) changing fluxes;</w:t>
      </w:r>
    </w:p>
    <w:p w:rsidR="00977422" w:rsidRPr="00435E25" w:rsidRDefault="00977422" w:rsidP="00977422">
      <w:pPr>
        <w:pStyle w:val="NormalWeb"/>
        <w:numPr>
          <w:ilvl w:val="0"/>
          <w:numId w:val="1"/>
        </w:numPr>
        <w:spacing w:before="0" w:beforeAutospacing="0" w:after="0" w:afterAutospacing="0"/>
        <w:jc w:val="both"/>
        <w:textAlignment w:val="baseline"/>
        <w:rPr>
          <w:rFonts w:ascii="Helvatica" w:hAnsi="Helvatica" w:cs="Arial"/>
          <w:color w:val="000000"/>
        </w:rPr>
      </w:pPr>
      <w:r w:rsidRPr="00435E25">
        <w:rPr>
          <w:rFonts w:ascii="Helvatica" w:hAnsi="Helvatica" w:cs="Arial"/>
          <w:color w:val="000000"/>
        </w:rPr>
        <w:t>“</w:t>
      </w:r>
      <w:r w:rsidR="00D34A25">
        <w:rPr>
          <w:rFonts w:ascii="Helvatica" w:hAnsi="Helvatica"/>
        </w:rPr>
        <w:t xml:space="preserve">Table S3.6. </w:t>
      </w:r>
      <w:proofErr w:type="spellStart"/>
      <w:r w:rsidRPr="00435E25">
        <w:rPr>
          <w:rFonts w:ascii="Helvatica" w:hAnsi="Helvatica" w:cs="Arial"/>
          <w:color w:val="000000"/>
        </w:rPr>
        <w:t>Neg_directly_proportional</w:t>
      </w:r>
      <w:proofErr w:type="spellEnd"/>
      <w:r w:rsidRPr="00435E25">
        <w:rPr>
          <w:rFonts w:ascii="Helvatica" w:hAnsi="Helvatica" w:cs="Arial"/>
          <w:color w:val="000000"/>
        </w:rPr>
        <w:t>” - reactions with flux value from right to left and are directly proportionally to forced product (</w:t>
      </w:r>
      <w:proofErr w:type="spellStart"/>
      <w:r w:rsidRPr="00435E25">
        <w:rPr>
          <w:rFonts w:ascii="Helvatica" w:hAnsi="Helvatica" w:cs="Arial"/>
          <w:color w:val="000000"/>
        </w:rPr>
        <w:t>heme</w:t>
      </w:r>
      <w:proofErr w:type="spellEnd"/>
      <w:r w:rsidRPr="00435E25">
        <w:rPr>
          <w:rFonts w:ascii="Helvatica" w:hAnsi="Helvatica" w:cs="Arial"/>
          <w:color w:val="000000"/>
        </w:rPr>
        <w:t>) changing fluxes.</w:t>
      </w:r>
    </w:p>
    <w:p w:rsidR="00977422" w:rsidRPr="00435E25" w:rsidRDefault="00977422" w:rsidP="00977422">
      <w:pPr>
        <w:pStyle w:val="NormalWeb"/>
        <w:numPr>
          <w:ilvl w:val="0"/>
          <w:numId w:val="1"/>
        </w:numPr>
        <w:spacing w:before="0" w:beforeAutospacing="0" w:after="0" w:afterAutospacing="0"/>
        <w:jc w:val="both"/>
        <w:textAlignment w:val="baseline"/>
        <w:rPr>
          <w:rFonts w:ascii="Helvatica" w:hAnsi="Helvatica" w:cs="Arial"/>
          <w:color w:val="000000"/>
        </w:rPr>
      </w:pPr>
      <w:r w:rsidRPr="00435E25">
        <w:rPr>
          <w:rFonts w:ascii="Helvatica" w:hAnsi="Helvatica" w:cs="Arial"/>
          <w:color w:val="000000"/>
        </w:rPr>
        <w:t>“</w:t>
      </w:r>
      <w:r w:rsidR="00D34A25">
        <w:rPr>
          <w:rFonts w:ascii="Helvatica" w:hAnsi="Helvatica"/>
        </w:rPr>
        <w:t xml:space="preserve">Table S3.7. </w:t>
      </w:r>
      <w:proofErr w:type="spellStart"/>
      <w:r w:rsidRPr="00435E25">
        <w:rPr>
          <w:rFonts w:ascii="Helvatica" w:hAnsi="Helvatica" w:cs="Arial"/>
          <w:color w:val="000000"/>
        </w:rPr>
        <w:t>Directly_proportional</w:t>
      </w:r>
      <w:proofErr w:type="spellEnd"/>
      <w:r w:rsidRPr="00435E25">
        <w:rPr>
          <w:rFonts w:ascii="Helvatica" w:hAnsi="Helvatica" w:cs="Arial"/>
          <w:color w:val="000000"/>
        </w:rPr>
        <w:t>” – All reactions which are directly proportional. Excluded all transport reactions, reactions with less than 5 flux values, and inconsistent flux values.</w:t>
      </w:r>
    </w:p>
    <w:p w:rsidR="00977422" w:rsidRDefault="00977422" w:rsidP="00977422">
      <w:pPr>
        <w:pStyle w:val="NormalWeb"/>
        <w:numPr>
          <w:ilvl w:val="0"/>
          <w:numId w:val="1"/>
        </w:numPr>
        <w:spacing w:before="0" w:beforeAutospacing="0" w:after="0" w:afterAutospacing="0"/>
        <w:jc w:val="both"/>
        <w:textAlignment w:val="baseline"/>
        <w:rPr>
          <w:rFonts w:ascii="Helvatica" w:hAnsi="Helvatica" w:cs="Arial"/>
          <w:color w:val="000000"/>
        </w:rPr>
      </w:pPr>
      <w:r w:rsidRPr="00435E25">
        <w:rPr>
          <w:rFonts w:ascii="Helvatica" w:hAnsi="Helvatica" w:cs="Arial"/>
          <w:color w:val="000000"/>
        </w:rPr>
        <w:t>“</w:t>
      </w:r>
      <w:r w:rsidR="00D34A25">
        <w:rPr>
          <w:rFonts w:ascii="Helvatica" w:hAnsi="Helvatica"/>
        </w:rPr>
        <w:t xml:space="preserve">Table S3.8. </w:t>
      </w:r>
      <w:r w:rsidRPr="00435E25">
        <w:rPr>
          <w:rFonts w:ascii="Helvatica" w:hAnsi="Helvatica" w:cs="Arial"/>
          <w:color w:val="000000"/>
        </w:rPr>
        <w:t>Inversely proportional” – All reactions which are directly proportional. Excluded all transport reactions, reactions with less than 5 flux values, and inconsistent flux values.</w:t>
      </w:r>
    </w:p>
    <w:p w:rsidR="00650082" w:rsidRDefault="00650082" w:rsidP="00650082">
      <w:pPr>
        <w:pStyle w:val="NormalWeb"/>
        <w:numPr>
          <w:ilvl w:val="0"/>
          <w:numId w:val="1"/>
        </w:numPr>
        <w:spacing w:before="0" w:beforeAutospacing="0" w:after="0" w:afterAutospacing="0"/>
        <w:jc w:val="both"/>
        <w:textAlignment w:val="baseline"/>
        <w:rPr>
          <w:rFonts w:ascii="Helvatica" w:hAnsi="Helvatica" w:cs="Arial"/>
          <w:color w:val="000000"/>
        </w:rPr>
      </w:pPr>
      <w:r>
        <w:rPr>
          <w:rFonts w:ascii="Helvatica" w:hAnsi="Helvatica" w:cs="Arial"/>
          <w:color w:val="000000"/>
        </w:rPr>
        <w:t>“</w:t>
      </w:r>
      <w:r w:rsidR="00D34A25">
        <w:rPr>
          <w:rFonts w:ascii="Helvatica" w:hAnsi="Helvatica"/>
        </w:rPr>
        <w:t xml:space="preserve">Table S3.9. </w:t>
      </w:r>
      <w:proofErr w:type="spellStart"/>
      <w:r w:rsidRPr="00650082">
        <w:rPr>
          <w:rFonts w:ascii="Helvatica" w:hAnsi="Helvatica" w:cs="Arial"/>
          <w:color w:val="000000"/>
        </w:rPr>
        <w:t>Inversly_reactions</w:t>
      </w:r>
      <w:proofErr w:type="spellEnd"/>
      <w:r>
        <w:rPr>
          <w:rFonts w:ascii="Helvatica" w:hAnsi="Helvatica" w:cs="Arial"/>
          <w:color w:val="000000"/>
        </w:rPr>
        <w:t xml:space="preserve">” </w:t>
      </w:r>
      <w:r w:rsidR="00EA1AEB">
        <w:rPr>
          <w:rFonts w:ascii="Helvatica" w:hAnsi="Helvatica" w:cs="Arial"/>
          <w:color w:val="000000"/>
        </w:rPr>
        <w:t>–</w:t>
      </w:r>
      <w:r>
        <w:rPr>
          <w:rFonts w:ascii="Helvatica" w:hAnsi="Helvatica" w:cs="Arial"/>
          <w:color w:val="000000"/>
        </w:rPr>
        <w:t xml:space="preserve"> </w:t>
      </w:r>
      <w:r w:rsidR="00EA1AEB">
        <w:rPr>
          <w:rFonts w:ascii="Helvatica" w:hAnsi="Helvatica" w:cs="Arial"/>
          <w:color w:val="000000"/>
        </w:rPr>
        <w:t>Inversely proportional reaction group list which is displayed in Figure 2.</w:t>
      </w:r>
    </w:p>
    <w:p w:rsidR="00650082" w:rsidRDefault="00650082" w:rsidP="00EA1AEB">
      <w:pPr>
        <w:pStyle w:val="NormalWeb"/>
        <w:numPr>
          <w:ilvl w:val="0"/>
          <w:numId w:val="1"/>
        </w:numPr>
        <w:spacing w:before="0" w:beforeAutospacing="0" w:after="0" w:afterAutospacing="0"/>
        <w:jc w:val="both"/>
        <w:textAlignment w:val="baseline"/>
        <w:rPr>
          <w:rFonts w:ascii="Helvatica" w:hAnsi="Helvatica" w:cs="Arial"/>
          <w:color w:val="000000"/>
        </w:rPr>
      </w:pPr>
      <w:r>
        <w:rPr>
          <w:rFonts w:ascii="Helvatica" w:hAnsi="Helvatica" w:cs="Arial"/>
          <w:color w:val="000000"/>
        </w:rPr>
        <w:t>“</w:t>
      </w:r>
      <w:r w:rsidR="00D34A25">
        <w:rPr>
          <w:rFonts w:ascii="Helvatica" w:hAnsi="Helvatica"/>
        </w:rPr>
        <w:t xml:space="preserve">Table S3.10. </w:t>
      </w:r>
      <w:r w:rsidRPr="00650082">
        <w:rPr>
          <w:rFonts w:ascii="Helvatica" w:hAnsi="Helvatica" w:cs="Arial"/>
          <w:color w:val="000000"/>
        </w:rPr>
        <w:t>Inversly_amino</w:t>
      </w:r>
      <w:r>
        <w:rPr>
          <w:rFonts w:ascii="Helvatica" w:hAnsi="Helvatica" w:cs="Arial"/>
          <w:color w:val="000000"/>
        </w:rPr>
        <w:t xml:space="preserve">” - </w:t>
      </w:r>
      <w:r w:rsidR="00EA1AEB">
        <w:rPr>
          <w:rFonts w:ascii="Helvatica" w:hAnsi="Helvatica" w:cs="Arial"/>
          <w:color w:val="000000"/>
        </w:rPr>
        <w:t>Inversely proportional reaction group list which is displayed in Figure 1.</w:t>
      </w:r>
    </w:p>
    <w:p w:rsidR="00444FBF" w:rsidRDefault="00444FBF" w:rsidP="00444FBF">
      <w:pPr>
        <w:pStyle w:val="NormalWeb"/>
        <w:spacing w:before="0" w:beforeAutospacing="0" w:after="0" w:afterAutospacing="0"/>
        <w:jc w:val="both"/>
        <w:textAlignment w:val="baseline"/>
        <w:rPr>
          <w:rFonts w:ascii="Helvatica" w:hAnsi="Helvatica" w:cs="Arial"/>
        </w:rPr>
      </w:pPr>
    </w:p>
    <w:p w:rsidR="00444FBF" w:rsidRDefault="00444FBF" w:rsidP="00444FBF">
      <w:pPr>
        <w:pStyle w:val="NormalWeb"/>
        <w:spacing w:before="0" w:beforeAutospacing="0" w:after="0" w:afterAutospacing="0"/>
        <w:jc w:val="both"/>
        <w:textAlignment w:val="baseline"/>
        <w:rPr>
          <w:rFonts w:ascii="Helvatica" w:hAnsi="Helvatica" w:cs="Arial"/>
        </w:rPr>
      </w:pPr>
      <w:bookmarkStart w:id="0" w:name="_GoBack"/>
      <w:bookmarkEnd w:id="0"/>
    </w:p>
    <w:sectPr w:rsidR="00444FBF" w:rsidSect="00E504B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Palatino Linotype">
    <w:panose1 w:val="02040502050505030304"/>
    <w:charset w:val="BA"/>
    <w:family w:val="roman"/>
    <w:pitch w:val="variable"/>
    <w:sig w:usb0="E0000287" w:usb1="40000013" w:usb2="00000000" w:usb3="00000000" w:csb0="0000019F" w:csb1="00000000"/>
  </w:font>
  <w:font w:name="Cordia New">
    <w:altName w:val="Microsoft Sans Serif"/>
    <w:panose1 w:val="020B0304020202020204"/>
    <w:charset w:val="DE"/>
    <w:family w:val="swiss"/>
    <w:pitch w:val="variable"/>
    <w:sig w:usb0="00000000"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BA"/>
    <w:family w:val="swiss"/>
    <w:pitch w:val="variable"/>
    <w:sig w:usb0="E4002EFF" w:usb1="C000E47F" w:usb2="00000009" w:usb3="00000000" w:csb0="000001FF" w:csb1="00000000"/>
  </w:font>
  <w:font w:name="Helvatica">
    <w:altName w:val="Times New Roman"/>
    <w:panose1 w:val="00000000000000000000"/>
    <w:charset w:val="00"/>
    <w:family w:val="roman"/>
    <w:notTrueType/>
    <w:pitch w:val="default"/>
  </w:font>
  <w:font w:name="Cambria Math">
    <w:panose1 w:val="02040503050406030204"/>
    <w:charset w:val="BA"/>
    <w:family w:val="roman"/>
    <w:pitch w:val="variable"/>
    <w:sig w:usb0="E00006FF" w:usb1="420024FF" w:usb2="02000000" w:usb3="00000000" w:csb0="0000019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F63BB"/>
    <w:multiLevelType w:val="hybridMultilevel"/>
    <w:tmpl w:val="B680DD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5E5931"/>
    <w:multiLevelType w:val="multilevel"/>
    <w:tmpl w:val="EC503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8E9"/>
    <w:rsid w:val="0011391F"/>
    <w:rsid w:val="001438E9"/>
    <w:rsid w:val="00333065"/>
    <w:rsid w:val="00435E25"/>
    <w:rsid w:val="00444FBF"/>
    <w:rsid w:val="00451F94"/>
    <w:rsid w:val="00566AF8"/>
    <w:rsid w:val="0059761F"/>
    <w:rsid w:val="00650082"/>
    <w:rsid w:val="00721844"/>
    <w:rsid w:val="007E63CE"/>
    <w:rsid w:val="00802AF6"/>
    <w:rsid w:val="00977422"/>
    <w:rsid w:val="00A01EED"/>
    <w:rsid w:val="00B60DFC"/>
    <w:rsid w:val="00D34A25"/>
    <w:rsid w:val="00E504BF"/>
    <w:rsid w:val="00EA1AEB"/>
    <w:rsid w:val="00F7419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3BEB1-B81D-417D-8787-E57544138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8E9"/>
    <w:rPr>
      <w:color w:val="0563C1" w:themeColor="hyperlink"/>
      <w:u w:val="single"/>
    </w:rPr>
  </w:style>
  <w:style w:type="character" w:customStyle="1" w:styleId="UnresolvedMention1">
    <w:name w:val="Unresolved Mention1"/>
    <w:basedOn w:val="DefaultParagraphFont"/>
    <w:uiPriority w:val="99"/>
    <w:semiHidden/>
    <w:unhideWhenUsed/>
    <w:rsid w:val="001438E9"/>
    <w:rPr>
      <w:color w:val="605E5C"/>
      <w:shd w:val="clear" w:color="auto" w:fill="E1DFDD"/>
    </w:rPr>
  </w:style>
  <w:style w:type="paragraph" w:styleId="ListParagraph">
    <w:name w:val="List Paragraph"/>
    <w:basedOn w:val="Normal"/>
    <w:uiPriority w:val="34"/>
    <w:qFormat/>
    <w:rsid w:val="00977422"/>
    <w:pPr>
      <w:ind w:left="720"/>
      <w:contextualSpacing/>
    </w:pPr>
  </w:style>
  <w:style w:type="paragraph" w:styleId="NormalWeb">
    <w:name w:val="Normal (Web)"/>
    <w:basedOn w:val="Normal"/>
    <w:uiPriority w:val="99"/>
    <w:semiHidden/>
    <w:unhideWhenUsed/>
    <w:rsid w:val="0097742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DPI22heading2">
    <w:name w:val="MDPI_2.2_heading2"/>
    <w:qFormat/>
    <w:rsid w:val="00E504BF"/>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lang w:val="en-US" w:eastAsia="de-DE" w:bidi="en-US"/>
    </w:rPr>
  </w:style>
  <w:style w:type="paragraph" w:customStyle="1" w:styleId="MDPI32textnoindent">
    <w:name w:val="MDPI_3.2_text_no_indent"/>
    <w:basedOn w:val="MDPI31text"/>
    <w:qFormat/>
    <w:rsid w:val="00E504BF"/>
    <w:pPr>
      <w:ind w:firstLine="0"/>
    </w:pPr>
  </w:style>
  <w:style w:type="paragraph" w:customStyle="1" w:styleId="MDPI31text">
    <w:name w:val="MDPI_3.1_text"/>
    <w:qFormat/>
    <w:rsid w:val="00E504BF"/>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39equation">
    <w:name w:val="MDPI_3.9_equation"/>
    <w:qFormat/>
    <w:rsid w:val="00E504BF"/>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lang w:val="en-US" w:eastAsia="de-DE" w:bidi="en-US"/>
    </w:rPr>
  </w:style>
  <w:style w:type="paragraph" w:customStyle="1" w:styleId="MDPI3aequationnumber">
    <w:name w:val="MDPI_3.a_equation_number"/>
    <w:qFormat/>
    <w:rsid w:val="00E504BF"/>
    <w:pPr>
      <w:spacing w:before="120" w:after="120" w:line="240" w:lineRule="auto"/>
      <w:jc w:val="right"/>
    </w:pPr>
    <w:rPr>
      <w:rFonts w:ascii="Palatino Linotype" w:eastAsia="Times New Roman" w:hAnsi="Palatino Linotype" w:cs="Times New Roman"/>
      <w:snapToGrid w:val="0"/>
      <w:color w:val="000000"/>
      <w:sz w:val="20"/>
      <w:lang w:val="en-US" w:eastAsia="de-DE" w:bidi="en-US"/>
    </w:rPr>
  </w:style>
  <w:style w:type="paragraph" w:customStyle="1" w:styleId="MDPI41tablecaption">
    <w:name w:val="MDPI_4.1_table_caption"/>
    <w:qFormat/>
    <w:rsid w:val="00E504BF"/>
    <w:pPr>
      <w:adjustRightInd w:val="0"/>
      <w:snapToGrid w:val="0"/>
      <w:spacing w:before="240" w:after="120" w:line="228" w:lineRule="auto"/>
      <w:ind w:left="2608"/>
      <w:jc w:val="both"/>
    </w:pPr>
    <w:rPr>
      <w:rFonts w:ascii="Palatino Linotype" w:eastAsia="Times New Roman" w:hAnsi="Palatino Linotype" w:cs="Cordia New"/>
      <w:color w:val="000000"/>
      <w:sz w:val="18"/>
      <w:lang w:val="en-US" w:eastAsia="de-DE" w:bidi="en-US"/>
    </w:rPr>
  </w:style>
  <w:style w:type="paragraph" w:customStyle="1" w:styleId="MDPI42tablebody">
    <w:name w:val="MDPI_4.2_table_body"/>
    <w:qFormat/>
    <w:rsid w:val="00E504BF"/>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411onetablecaption">
    <w:name w:val="MDPI_4.1.1_one_table_caption"/>
    <w:qFormat/>
    <w:rsid w:val="00E504BF"/>
    <w:pPr>
      <w:adjustRightInd w:val="0"/>
      <w:snapToGrid w:val="0"/>
      <w:spacing w:before="240" w:after="120" w:line="260" w:lineRule="atLeast"/>
      <w:jc w:val="center"/>
    </w:pPr>
    <w:rPr>
      <w:rFonts w:ascii="Palatino Linotype" w:eastAsia="SimSun" w:hAnsi="Palatino Linotype" w:cs="Cordia New"/>
      <w:noProof/>
      <w:color w:val="000000"/>
      <w:sz w:val="18"/>
      <w:lang w:val="en-US" w:eastAsia="zh-CN" w:bidi="en-US"/>
    </w:rPr>
  </w:style>
  <w:style w:type="paragraph" w:styleId="BalloonText">
    <w:name w:val="Balloon Text"/>
    <w:basedOn w:val="Normal"/>
    <w:link w:val="BalloonTextChar"/>
    <w:uiPriority w:val="99"/>
    <w:semiHidden/>
    <w:unhideWhenUsed/>
    <w:rsid w:val="00EA1A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A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33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2374</Words>
  <Characters>1354</Characters>
  <Application>Microsoft Office Word</Application>
  <DocSecurity>0</DocSecurity>
  <Lines>11</Lines>
  <Paragraphs>7</Paragraphs>
  <ScaleCrop>false</ScaleCrop>
  <HeadingPairs>
    <vt:vector size="2" baseType="variant">
      <vt:variant>
        <vt:lpstr>Title</vt:lpstr>
      </vt:variant>
      <vt:variant>
        <vt:i4>1</vt:i4>
      </vt:variant>
    </vt:vector>
  </HeadingPairs>
  <TitlesOfParts>
    <vt:vector size="1" baseType="lpstr">
      <vt:lpstr/>
    </vt:vector>
  </TitlesOfParts>
  <Company>Latvijas Lauksaimniecības universitāte</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Agris Pentjušs</dc:creator>
  <cp:keywords/>
  <dc:description/>
  <cp:lastModifiedBy>Elīna Didrihsone</cp:lastModifiedBy>
  <cp:revision>5</cp:revision>
  <dcterms:created xsi:type="dcterms:W3CDTF">2023-03-29T07:21:00Z</dcterms:created>
  <dcterms:modified xsi:type="dcterms:W3CDTF">2023-03-30T06:29:00Z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ea49eb20-963d-4a43-9222-421287602dd2</vt:lpwstr>
  </property>
</Properties>
</file>