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65" w:type="dxa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2385"/>
        <w:gridCol w:w="2475"/>
        <w:gridCol w:w="3615"/>
        <w:gridCol w:w="1470"/>
      </w:tblGrid>
      <w:tr w:rsidR="3F617DAE" w:rsidTr="69B52F17" w14:paraId="55DC0246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F617DAE" w:rsidP="3F617DAE" w:rsidRDefault="3F617DAE" w14:paraId="3467C8A1" w14:textId="0154FE1A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ID de test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F617DAE" w:rsidP="3F617DAE" w:rsidRDefault="3F617DAE" w14:paraId="45333EDE" w14:textId="14457947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Fonctionnalité</w:t>
            </w:r>
          </w:p>
        </w:tc>
        <w:tc>
          <w:tcPr>
            <w:tcW w:w="23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F617DAE" w:rsidP="3F617DAE" w:rsidRDefault="3F617DAE" w14:paraId="2C301939" w14:textId="4EB50921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Description de test</w:t>
            </w:r>
          </w:p>
        </w:tc>
        <w:tc>
          <w:tcPr>
            <w:tcW w:w="24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F617DAE" w:rsidP="3F617DAE" w:rsidRDefault="3F617DAE" w14:paraId="589B4344" w14:textId="1F4D1E02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Résultat </w:t>
            </w: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attendu</w:t>
            </w:r>
          </w:p>
        </w:tc>
        <w:tc>
          <w:tcPr>
            <w:tcW w:w="3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3F617DAE" w:rsidP="3F617DAE" w:rsidRDefault="3F617DAE" w14:paraId="6B99B85D" w14:textId="58F9DA21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 xml:space="preserve">Résultat </w:t>
            </w: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réel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F617DAE" w:rsidP="3F617DAE" w:rsidRDefault="3F617DAE" w14:paraId="41C3F08C" w14:textId="6F0338C5">
            <w:pPr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Statut</w:t>
            </w:r>
          </w:p>
        </w:tc>
      </w:tr>
      <w:tr w:rsidR="3F617DAE" w:rsidTr="69B52F17" w14:paraId="12BAEF4D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0C1D8E2B" w14:textId="194220C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1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5B4FDAFE" w14:textId="3A78D3C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Connexion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45D9280A" w14:textId="03B1C66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Essayer de se connecter avec des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identifiants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valides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20FD8BBE" w14:textId="156AD3A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La page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principale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l'application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affichée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53E872FC" w14:textId="56F8B199">
            <w:pPr>
              <w:rPr>
                <w:color w:val="auto"/>
              </w:rPr>
            </w:pPr>
            <w:r w:rsidRPr="69B52F17" w:rsidR="0946DB06">
              <w:rPr>
                <w:color w:val="auto"/>
              </w:rPr>
              <w:t xml:space="preserve">La </w:t>
            </w:r>
            <w:r w:rsidRPr="69B52F17" w:rsidR="0946DB06">
              <w:rPr>
                <w:color w:val="auto"/>
              </w:rPr>
              <w:t>connexion</w:t>
            </w:r>
            <w:r w:rsidRPr="69B52F17" w:rsidR="0946DB06">
              <w:rPr>
                <w:color w:val="auto"/>
              </w:rPr>
              <w:t xml:space="preserve"> </w:t>
            </w:r>
            <w:r w:rsidRPr="69B52F17" w:rsidR="0946DB06">
              <w:rPr>
                <w:color w:val="auto"/>
              </w:rPr>
              <w:t>est</w:t>
            </w:r>
            <w:r w:rsidRPr="69B52F17" w:rsidR="0946DB06">
              <w:rPr>
                <w:color w:val="auto"/>
              </w:rPr>
              <w:t xml:space="preserve"> </w:t>
            </w:r>
            <w:r w:rsidRPr="69B52F17" w:rsidR="0946DB06">
              <w:rPr>
                <w:color w:val="auto"/>
              </w:rPr>
              <w:t>fonctionnelle</w:t>
            </w:r>
            <w:r w:rsidRPr="69B52F17" w:rsidR="0946DB06">
              <w:rPr>
                <w:color w:val="auto"/>
              </w:rPr>
              <w:t xml:space="preserve">. On </w:t>
            </w:r>
            <w:r w:rsidRPr="69B52F17" w:rsidR="0946DB06">
              <w:rPr>
                <w:color w:val="auto"/>
              </w:rPr>
              <w:t>accède</w:t>
            </w:r>
            <w:r w:rsidRPr="69B52F17" w:rsidR="0946DB06">
              <w:rPr>
                <w:color w:val="auto"/>
              </w:rPr>
              <w:t xml:space="preserve"> à </w:t>
            </w:r>
            <w:r w:rsidRPr="69B52F17" w:rsidR="0946DB06">
              <w:rPr>
                <w:color w:val="auto"/>
              </w:rPr>
              <w:t>l’écran</w:t>
            </w:r>
            <w:r w:rsidRPr="69B52F17" w:rsidR="0946DB06">
              <w:rPr>
                <w:color w:val="auto"/>
              </w:rPr>
              <w:t xml:space="preserve"> </w:t>
            </w:r>
            <w:r w:rsidRPr="69B52F17" w:rsidR="0946DB06">
              <w:rPr>
                <w:color w:val="auto"/>
              </w:rPr>
              <w:t>où</w:t>
            </w:r>
            <w:r w:rsidRPr="69B52F17" w:rsidR="0946DB06">
              <w:rPr>
                <w:color w:val="auto"/>
              </w:rPr>
              <w:t xml:space="preserve"> </w:t>
            </w:r>
            <w:r w:rsidRPr="69B52F17" w:rsidR="0946DB06">
              <w:rPr>
                <w:color w:val="auto"/>
              </w:rPr>
              <w:t>l’on</w:t>
            </w:r>
            <w:r w:rsidRPr="69B52F17" w:rsidR="0946DB06">
              <w:rPr>
                <w:color w:val="auto"/>
              </w:rPr>
              <w:t xml:space="preserve"> </w:t>
            </w:r>
            <w:r w:rsidRPr="69B52F17" w:rsidR="0946DB06">
              <w:rPr>
                <w:color w:val="auto"/>
              </w:rPr>
              <w:t>voit</w:t>
            </w:r>
            <w:r w:rsidRPr="69B52F17" w:rsidR="0946DB06">
              <w:rPr>
                <w:color w:val="auto"/>
              </w:rPr>
              <w:t xml:space="preserve"> les </w:t>
            </w:r>
            <w:r w:rsidRPr="69B52F17" w:rsidR="0946DB06">
              <w:rPr>
                <w:color w:val="auto"/>
              </w:rPr>
              <w:t>différentes</w:t>
            </w:r>
            <w:r w:rsidRPr="69B52F17" w:rsidR="0946DB06">
              <w:rPr>
                <w:color w:val="auto"/>
              </w:rPr>
              <w:t xml:space="preserve"> </w:t>
            </w:r>
            <w:r w:rsidRPr="69B52F17" w:rsidR="0946DB06">
              <w:rPr>
                <w:color w:val="auto"/>
              </w:rPr>
              <w:t>portes.</w:t>
            </w:r>
            <w:r w:rsidRPr="69B52F17" w:rsidR="0946DB06">
              <w:rPr>
                <w:color w:val="auto"/>
              </w:rPr>
              <w:t xml:space="preserve"> 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3F617DAE" w:rsidRDefault="3F617DAE" w14:paraId="45D183B4" w14:textId="2842C3ED">
            <w:pPr>
              <w:rPr>
                <w:color w:val="auto"/>
              </w:rPr>
            </w:pPr>
            <w:r w:rsidRPr="69B52F17" w:rsidR="4E51A0EA">
              <w:rPr>
                <w:color w:val="auto"/>
              </w:rPr>
              <w:t>Fonctionnel</w:t>
            </w:r>
          </w:p>
        </w:tc>
      </w:tr>
      <w:tr w:rsidR="3F617DAE" w:rsidTr="69B52F17" w14:paraId="6D461054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43C31C89" w14:textId="0FBA619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2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68A79D3B" w14:textId="3E4AD01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Connexion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0E78D71F" w14:textId="387FABB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Essayer de se connecter avec des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identifiants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invalides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53BC21F7" w14:textId="37743AE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Un message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d'erreur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affiché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indiquant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que la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connexion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a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échoué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69B52F17" w:rsidRDefault="3F617DAE" w14:paraId="518BE72B" w14:textId="1B8066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B52F17" w:rsidR="4954B40B">
              <w:rPr>
                <w:color w:val="auto"/>
              </w:rPr>
              <w:t>Aucun message d’erreur n’est affiché. La connexion se fait comme si les identifiants étaient valides</w:t>
            </w:r>
            <w:r w:rsidRPr="69B52F17" w:rsidR="055707FA">
              <w:rPr>
                <w:color w:val="auto"/>
              </w:rPr>
              <w:t>.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69B52F17" w:rsidRDefault="3F617DAE" w14:paraId="485DAC51" w14:textId="4CB0DD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B52F17" w:rsidR="055707FA">
              <w:rPr>
                <w:color w:val="auto"/>
              </w:rPr>
              <w:t>Non fonctionnel</w:t>
            </w:r>
          </w:p>
        </w:tc>
      </w:tr>
      <w:tr w:rsidR="3F617DAE" w:rsidTr="69B52F17" w14:paraId="6928DA2D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60CAF4AD" w14:textId="2151C94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3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41CC8D83" w14:textId="6231986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Paramètre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502936BD" w14:textId="51792BA6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Changer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l'adresse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l'API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et du broker avec des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adresses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valides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A16783F" w14:textId="23BF733A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Les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adresses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enregistrées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avec succès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6DB7FDB" w14:textId="36F07C16">
            <w:pPr>
              <w:rPr>
                <w:color w:val="auto"/>
              </w:rPr>
            </w:pPr>
            <w:r w:rsidRPr="69B52F17" w:rsidR="47EB0A86">
              <w:rPr>
                <w:color w:val="auto"/>
              </w:rPr>
              <w:t>Si l’on change l’adresse du broker pour une autre adresse valide</w:t>
            </w:r>
            <w:r w:rsidRPr="69B52F17" w:rsidR="2DA41383">
              <w:rPr>
                <w:color w:val="auto"/>
              </w:rPr>
              <w:t xml:space="preserve"> avec un broker MQTT</w:t>
            </w:r>
            <w:r w:rsidRPr="69B52F17" w:rsidR="47EB0A86">
              <w:rPr>
                <w:color w:val="auto"/>
              </w:rPr>
              <w:t xml:space="preserve">, celle-ci est fonctionnelle. </w:t>
            </w:r>
            <w:r w:rsidRPr="69B52F17" w:rsidR="70356BAF">
              <w:rPr>
                <w:color w:val="auto"/>
              </w:rPr>
              <w:t xml:space="preserve">Par contre, pour l’API, il n’est pas possible de tester sur </w:t>
            </w:r>
            <w:r w:rsidRPr="69B52F17" w:rsidR="65E26250">
              <w:rPr>
                <w:color w:val="auto"/>
              </w:rPr>
              <w:t>un autre API, puisque l’application fait un appel pour tester.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69B52F17" w:rsidRDefault="3F617DAE" w14:paraId="0FAA1DA9" w14:textId="3DA1C8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B52F17" w:rsidR="70356BAF">
              <w:rPr>
                <w:color w:val="auto"/>
              </w:rPr>
              <w:t>Semi fonctionnel</w:t>
            </w:r>
          </w:p>
        </w:tc>
      </w:tr>
      <w:tr w:rsidR="3F617DAE" w:rsidTr="69B52F17" w14:paraId="08AE221A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4D703A13" w14:textId="0FBA5F6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4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C1CC2E9" w14:textId="5DE9636C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Paramètre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5F671FE" w14:textId="6C96C86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Changer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l'adresse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l'API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et du broker avec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une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adresse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invalide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1D870DFA" w14:textId="17F7EC9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Un message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d'erreur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affiché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indiquant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que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l'adresse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invalide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97A603D" w14:textId="484CB797">
            <w:pPr>
              <w:rPr>
                <w:color w:val="auto"/>
              </w:rPr>
            </w:pPr>
            <w:r w:rsidRPr="69B52F17" w:rsidR="57E465F3">
              <w:rPr>
                <w:color w:val="auto"/>
              </w:rPr>
              <w:t>Lorsque</w:t>
            </w:r>
            <w:r w:rsidRPr="69B52F17" w:rsidR="57E465F3">
              <w:rPr>
                <w:color w:val="auto"/>
              </w:rPr>
              <w:t xml:space="preserve"> </w:t>
            </w:r>
            <w:r w:rsidRPr="69B52F17" w:rsidR="57E465F3">
              <w:rPr>
                <w:color w:val="auto"/>
              </w:rPr>
              <w:t>l’on</w:t>
            </w:r>
            <w:r w:rsidRPr="69B52F17" w:rsidR="57E465F3">
              <w:rPr>
                <w:color w:val="auto"/>
              </w:rPr>
              <w:t xml:space="preserve"> entre </w:t>
            </w:r>
            <w:r w:rsidRPr="69B52F17" w:rsidR="57E465F3">
              <w:rPr>
                <w:color w:val="auto"/>
              </w:rPr>
              <w:t>une</w:t>
            </w:r>
            <w:r w:rsidRPr="69B52F17" w:rsidR="57E465F3">
              <w:rPr>
                <w:color w:val="auto"/>
              </w:rPr>
              <w:t xml:space="preserve"> </w:t>
            </w:r>
            <w:r w:rsidRPr="69B52F17" w:rsidR="57E465F3">
              <w:rPr>
                <w:color w:val="auto"/>
              </w:rPr>
              <w:t>adresse</w:t>
            </w:r>
            <w:r w:rsidRPr="69B52F17" w:rsidR="57E465F3">
              <w:rPr>
                <w:color w:val="auto"/>
              </w:rPr>
              <w:t xml:space="preserve"> qui </w:t>
            </w:r>
            <w:r w:rsidRPr="69B52F17" w:rsidR="57E465F3">
              <w:rPr>
                <w:color w:val="auto"/>
              </w:rPr>
              <w:t>n’est</w:t>
            </w:r>
            <w:r w:rsidRPr="69B52F17" w:rsidR="3B327CF0">
              <w:rPr>
                <w:color w:val="auto"/>
              </w:rPr>
              <w:t xml:space="preserve"> </w:t>
            </w:r>
            <w:r w:rsidRPr="69B52F17" w:rsidR="57E465F3">
              <w:rPr>
                <w:color w:val="auto"/>
              </w:rPr>
              <w:t>pas</w:t>
            </w:r>
            <w:r w:rsidRPr="69B52F17" w:rsidR="57E465F3">
              <w:rPr>
                <w:color w:val="auto"/>
              </w:rPr>
              <w:t xml:space="preserve"> dans le bon format, un message </w:t>
            </w:r>
            <w:r w:rsidRPr="69B52F17" w:rsidR="57E465F3">
              <w:rPr>
                <w:color w:val="auto"/>
              </w:rPr>
              <w:t>apparait</w:t>
            </w:r>
            <w:r w:rsidRPr="69B52F17" w:rsidR="57E465F3">
              <w:rPr>
                <w:color w:val="auto"/>
              </w:rPr>
              <w:t xml:space="preserve"> </w:t>
            </w:r>
            <w:r w:rsidRPr="69B52F17" w:rsidR="57E465F3">
              <w:rPr>
                <w:color w:val="auto"/>
              </w:rPr>
              <w:t>disant</w:t>
            </w:r>
            <w:r w:rsidRPr="69B52F17" w:rsidR="57E465F3">
              <w:rPr>
                <w:color w:val="auto"/>
              </w:rPr>
              <w:t xml:space="preserve"> “Le format de </w:t>
            </w:r>
            <w:r w:rsidRPr="69B52F17" w:rsidR="57E465F3">
              <w:rPr>
                <w:color w:val="auto"/>
              </w:rPr>
              <w:t>l’adresse</w:t>
            </w:r>
            <w:r w:rsidRPr="69B52F17" w:rsidR="57E465F3">
              <w:rPr>
                <w:color w:val="auto"/>
              </w:rPr>
              <w:t xml:space="preserve"> IP </w:t>
            </w:r>
            <w:r w:rsidRPr="69B52F17" w:rsidR="57E465F3">
              <w:rPr>
                <w:color w:val="auto"/>
              </w:rPr>
              <w:t>est</w:t>
            </w:r>
            <w:r w:rsidRPr="69B52F17" w:rsidR="57E465F3">
              <w:rPr>
                <w:color w:val="auto"/>
              </w:rPr>
              <w:t xml:space="preserve"> </w:t>
            </w:r>
            <w:r w:rsidRPr="69B52F17" w:rsidR="57E465F3">
              <w:rPr>
                <w:color w:val="auto"/>
              </w:rPr>
              <w:t>invalide</w:t>
            </w:r>
            <w:r w:rsidRPr="69B52F17" w:rsidR="57E465F3">
              <w:rPr>
                <w:color w:val="auto"/>
              </w:rPr>
              <w:t>”</w:t>
            </w:r>
            <w:r w:rsidRPr="69B52F17" w:rsidR="03D9BA1B">
              <w:rPr>
                <w:color w:val="auto"/>
              </w:rPr>
              <w:t>.</w:t>
            </w:r>
            <w:r w:rsidRPr="69B52F17" w:rsidR="03D9BA1B">
              <w:rPr>
                <w:color w:val="auto"/>
              </w:rPr>
              <w:t xml:space="preserve"> Si </w:t>
            </w:r>
            <w:r w:rsidRPr="69B52F17" w:rsidR="03D9BA1B">
              <w:rPr>
                <w:color w:val="auto"/>
              </w:rPr>
              <w:t>l’adresse</w:t>
            </w:r>
            <w:r w:rsidRPr="69B52F17" w:rsidR="03D9BA1B">
              <w:rPr>
                <w:color w:val="auto"/>
              </w:rPr>
              <w:t xml:space="preserve"> IP </w:t>
            </w:r>
            <w:r w:rsidRPr="69B52F17" w:rsidR="03D9BA1B">
              <w:rPr>
                <w:color w:val="auto"/>
              </w:rPr>
              <w:t>est</w:t>
            </w:r>
            <w:r w:rsidRPr="69B52F17" w:rsidR="03D9BA1B">
              <w:rPr>
                <w:color w:val="auto"/>
              </w:rPr>
              <w:t xml:space="preserve"> </w:t>
            </w:r>
            <w:r w:rsidRPr="69B52F17" w:rsidR="03D9BA1B">
              <w:rPr>
                <w:color w:val="auto"/>
              </w:rPr>
              <w:t>invalide</w:t>
            </w:r>
            <w:r w:rsidRPr="69B52F17" w:rsidR="03D9BA1B">
              <w:rPr>
                <w:color w:val="auto"/>
              </w:rPr>
              <w:t xml:space="preserve"> </w:t>
            </w:r>
            <w:r w:rsidRPr="69B52F17" w:rsidR="03D9BA1B">
              <w:rPr>
                <w:color w:val="auto"/>
              </w:rPr>
              <w:t>puisque</w:t>
            </w:r>
            <w:r w:rsidRPr="69B52F17" w:rsidR="03D9BA1B">
              <w:rPr>
                <w:color w:val="auto"/>
              </w:rPr>
              <w:t xml:space="preserve"> </w:t>
            </w:r>
            <w:r w:rsidRPr="69B52F17" w:rsidR="03D9BA1B">
              <w:rPr>
                <w:color w:val="auto"/>
              </w:rPr>
              <w:t>l’application</w:t>
            </w:r>
            <w:r w:rsidRPr="69B52F17" w:rsidR="03D9BA1B">
              <w:rPr>
                <w:color w:val="auto"/>
              </w:rPr>
              <w:t xml:space="preserve"> ne </w:t>
            </w:r>
            <w:r w:rsidRPr="69B52F17" w:rsidR="03D9BA1B">
              <w:rPr>
                <w:color w:val="auto"/>
              </w:rPr>
              <w:t>peut</w:t>
            </w:r>
            <w:r w:rsidRPr="69B52F17" w:rsidR="03D9BA1B">
              <w:rPr>
                <w:color w:val="auto"/>
              </w:rPr>
              <w:t xml:space="preserve"> pas se connecter, </w:t>
            </w:r>
            <w:r w:rsidRPr="69B52F17" w:rsidR="4EC799F2">
              <w:rPr>
                <w:color w:val="auto"/>
              </w:rPr>
              <w:t xml:space="preserve">un message </w:t>
            </w:r>
            <w:r w:rsidRPr="69B52F17" w:rsidR="4EC799F2">
              <w:rPr>
                <w:color w:val="auto"/>
              </w:rPr>
              <w:t>apparait</w:t>
            </w:r>
            <w:r w:rsidRPr="69B52F17" w:rsidR="4EC799F2">
              <w:rPr>
                <w:color w:val="auto"/>
              </w:rPr>
              <w:t xml:space="preserve"> </w:t>
            </w:r>
            <w:r w:rsidRPr="69B52F17" w:rsidR="4EC799F2">
              <w:rPr>
                <w:color w:val="auto"/>
              </w:rPr>
              <w:t>disant</w:t>
            </w:r>
            <w:r w:rsidRPr="69B52F17" w:rsidR="4EC799F2">
              <w:rPr>
                <w:color w:val="auto"/>
              </w:rPr>
              <w:t xml:space="preserve"> que </w:t>
            </w:r>
            <w:r w:rsidRPr="69B52F17" w:rsidR="4EC799F2">
              <w:rPr>
                <w:color w:val="auto"/>
              </w:rPr>
              <w:t>l’adresse</w:t>
            </w:r>
            <w:r w:rsidRPr="69B52F17" w:rsidR="4EC799F2">
              <w:rPr>
                <w:color w:val="auto"/>
              </w:rPr>
              <w:t xml:space="preserve"> </w:t>
            </w:r>
            <w:r w:rsidRPr="69B52F17" w:rsidR="4EC799F2">
              <w:rPr>
                <w:color w:val="auto"/>
              </w:rPr>
              <w:t>ip</w:t>
            </w:r>
            <w:r w:rsidRPr="69B52F17" w:rsidR="4EC799F2">
              <w:rPr>
                <w:color w:val="auto"/>
              </w:rPr>
              <w:t xml:space="preserve"> </w:t>
            </w:r>
            <w:r w:rsidRPr="69B52F17" w:rsidR="4EC799F2">
              <w:rPr>
                <w:color w:val="auto"/>
              </w:rPr>
              <w:t>est</w:t>
            </w:r>
            <w:r w:rsidRPr="69B52F17" w:rsidR="4EC799F2">
              <w:rPr>
                <w:color w:val="auto"/>
              </w:rPr>
              <w:t xml:space="preserve"> </w:t>
            </w:r>
            <w:r w:rsidRPr="69B52F17" w:rsidR="4EC799F2">
              <w:rPr>
                <w:color w:val="auto"/>
              </w:rPr>
              <w:t>invalide</w:t>
            </w:r>
            <w:r w:rsidRPr="69B52F17" w:rsidR="4EC799F2">
              <w:rPr>
                <w:color w:val="auto"/>
              </w:rPr>
              <w:t xml:space="preserve">. Pour MQTT, </w:t>
            </w:r>
            <w:r w:rsidRPr="69B52F17" w:rsidR="4EC799F2">
              <w:rPr>
                <w:color w:val="auto"/>
              </w:rPr>
              <w:t>si</w:t>
            </w:r>
            <w:r w:rsidRPr="69B52F17" w:rsidR="4EC799F2">
              <w:rPr>
                <w:color w:val="auto"/>
              </w:rPr>
              <w:t xml:space="preserve"> </w:t>
            </w:r>
            <w:r w:rsidRPr="69B52F17" w:rsidR="4EC799F2">
              <w:rPr>
                <w:color w:val="auto"/>
              </w:rPr>
              <w:t>une</w:t>
            </w:r>
            <w:r w:rsidRPr="69B52F17" w:rsidR="4EC799F2">
              <w:rPr>
                <w:color w:val="auto"/>
              </w:rPr>
              <w:t xml:space="preserve"> </w:t>
            </w:r>
            <w:r w:rsidRPr="69B52F17" w:rsidR="4EC799F2">
              <w:rPr>
                <w:color w:val="auto"/>
              </w:rPr>
              <w:t>adresse</w:t>
            </w:r>
            <w:r w:rsidRPr="69B52F17" w:rsidR="4EC799F2">
              <w:rPr>
                <w:color w:val="auto"/>
              </w:rPr>
              <w:t xml:space="preserve"> </w:t>
            </w:r>
            <w:r w:rsidRPr="69B52F17" w:rsidR="4EC799F2">
              <w:rPr>
                <w:color w:val="auto"/>
              </w:rPr>
              <w:t>n</w:t>
            </w:r>
            <w:r w:rsidRPr="69B52F17" w:rsidR="7EEA50A4">
              <w:rPr>
                <w:color w:val="auto"/>
              </w:rPr>
              <w:t>’est</w:t>
            </w:r>
            <w:r w:rsidRPr="69B52F17" w:rsidR="7EEA50A4">
              <w:rPr>
                <w:color w:val="auto"/>
              </w:rPr>
              <w:t xml:space="preserve"> pas dans le bon format, le </w:t>
            </w:r>
            <w:r w:rsidRPr="69B52F17" w:rsidR="7EEA50A4">
              <w:rPr>
                <w:color w:val="auto"/>
              </w:rPr>
              <w:t>même</w:t>
            </w:r>
            <w:r w:rsidRPr="69B52F17" w:rsidR="7EEA50A4">
              <w:rPr>
                <w:color w:val="auto"/>
              </w:rPr>
              <w:t xml:space="preserve"> message </w:t>
            </w:r>
            <w:r w:rsidRPr="69B52F17" w:rsidR="7EEA50A4">
              <w:rPr>
                <w:color w:val="auto"/>
              </w:rPr>
              <w:t>d’erreur</w:t>
            </w:r>
            <w:r w:rsidRPr="69B52F17" w:rsidR="7EEA50A4">
              <w:rPr>
                <w:color w:val="auto"/>
              </w:rPr>
              <w:t xml:space="preserve"> </w:t>
            </w:r>
            <w:r w:rsidRPr="69B52F17" w:rsidR="7EEA50A4">
              <w:rPr>
                <w:color w:val="auto"/>
              </w:rPr>
              <w:t>apparait</w:t>
            </w:r>
            <w:r w:rsidRPr="69B52F17" w:rsidR="7EEA50A4">
              <w:rPr>
                <w:color w:val="auto"/>
              </w:rPr>
              <w:t xml:space="preserve">. Si </w:t>
            </w:r>
            <w:r w:rsidRPr="69B52F17" w:rsidR="7EEA50A4">
              <w:rPr>
                <w:color w:val="auto"/>
              </w:rPr>
              <w:t>l’adresse</w:t>
            </w:r>
            <w:r w:rsidRPr="69B52F17" w:rsidR="7EEA50A4">
              <w:rPr>
                <w:color w:val="auto"/>
              </w:rPr>
              <w:t xml:space="preserve"> du broker ne se </w:t>
            </w:r>
            <w:r w:rsidRPr="69B52F17" w:rsidR="7EEA50A4">
              <w:rPr>
                <w:color w:val="auto"/>
              </w:rPr>
              <w:t>connecte</w:t>
            </w:r>
            <w:r w:rsidRPr="69B52F17" w:rsidR="7EEA50A4">
              <w:rPr>
                <w:color w:val="auto"/>
              </w:rPr>
              <w:t xml:space="preserve"> à </w:t>
            </w:r>
            <w:r w:rsidRPr="69B52F17" w:rsidR="7EEA50A4">
              <w:rPr>
                <w:color w:val="auto"/>
              </w:rPr>
              <w:t>rien</w:t>
            </w:r>
            <w:r w:rsidRPr="69B52F17" w:rsidR="7EEA50A4">
              <w:rPr>
                <w:color w:val="auto"/>
              </w:rPr>
              <w:t xml:space="preserve">, </w:t>
            </w:r>
            <w:r w:rsidRPr="69B52F17" w:rsidR="7EEA50A4">
              <w:rPr>
                <w:color w:val="auto"/>
              </w:rPr>
              <w:t>elle</w:t>
            </w:r>
            <w:r w:rsidRPr="69B52F17" w:rsidR="7EEA50A4">
              <w:rPr>
                <w:color w:val="auto"/>
              </w:rPr>
              <w:t xml:space="preserve"> </w:t>
            </w:r>
            <w:r w:rsidRPr="69B52F17" w:rsidR="7EEA50A4">
              <w:rPr>
                <w:color w:val="auto"/>
              </w:rPr>
              <w:t>est</w:t>
            </w:r>
            <w:r w:rsidRPr="69B52F17" w:rsidR="7EEA50A4">
              <w:rPr>
                <w:color w:val="auto"/>
              </w:rPr>
              <w:t xml:space="preserve"> </w:t>
            </w:r>
            <w:r w:rsidRPr="69B52F17" w:rsidR="7EEA50A4">
              <w:rPr>
                <w:color w:val="auto"/>
              </w:rPr>
              <w:t>enregistrée</w:t>
            </w:r>
            <w:r w:rsidRPr="69B52F17" w:rsidR="7EEA50A4">
              <w:rPr>
                <w:color w:val="auto"/>
              </w:rPr>
              <w:t xml:space="preserve"> tout de </w:t>
            </w:r>
            <w:r w:rsidRPr="69B52F17" w:rsidR="7EEA50A4">
              <w:rPr>
                <w:color w:val="auto"/>
              </w:rPr>
              <w:t>même</w:t>
            </w:r>
            <w:r w:rsidRPr="69B52F17" w:rsidR="7EEA50A4">
              <w:rPr>
                <w:color w:val="auto"/>
              </w:rPr>
              <w:t>.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69B52F17" w:rsidRDefault="3F617DAE" w14:paraId="16E1536F" w14:textId="63DD7F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9B52F17" w:rsidR="31463B30">
              <w:rPr>
                <w:color w:val="auto"/>
              </w:rPr>
              <w:t>¾ fonctionnel</w:t>
            </w:r>
          </w:p>
        </w:tc>
      </w:tr>
      <w:tr w:rsidR="3F617DAE" w:rsidTr="69B52F17" w14:paraId="58D4A172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3920046D" w14:textId="6BE0CF19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5EECD2AB" w14:textId="64622C3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Paramètre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4B91E9A1" w14:textId="7E424FB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Changer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l'adresse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l'API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avec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une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adresse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invalide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alors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que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l'adresse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du broker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valide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AB0A5A9" w14:textId="7F547CA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Un message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d'erreur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affiché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indiquant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que les deux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adresses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doivent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être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valides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298E86CD" w14:textId="6A7375E1">
            <w:pPr>
              <w:rPr>
                <w:color w:val="auto"/>
              </w:rPr>
            </w:pPr>
            <w:r w:rsidRPr="69B52F17" w:rsidR="638B6CBE">
              <w:rPr>
                <w:color w:val="auto"/>
              </w:rPr>
              <w:t>Un message “Adresse IP invalide” apparait, et le message “Le format de l’adresse MQTT est invalide”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3F617DAE" w:rsidRDefault="3F617DAE" w14:paraId="73088244" w14:textId="04F1012F">
            <w:pPr>
              <w:rPr>
                <w:color w:val="auto"/>
              </w:rPr>
            </w:pPr>
            <w:r w:rsidRPr="69B52F17" w:rsidR="638B6CBE">
              <w:rPr>
                <w:color w:val="auto"/>
              </w:rPr>
              <w:t>fonctionnel</w:t>
            </w:r>
          </w:p>
        </w:tc>
      </w:tr>
      <w:tr w:rsidR="3F617DAE" w:rsidTr="69B52F17" w14:paraId="0A818CB6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3E08D889" w14:textId="354E98D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6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6BDAA302" w14:textId="121EEB6E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Page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principale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44054A50" w14:textId="499F3457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Scanner un tag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valide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499A906" w14:textId="15C0966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Le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statut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de la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serrure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correspondant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mis à jour et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affiché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en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vert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0E067FFB" w14:textId="59B69CC6">
            <w:pPr>
              <w:rPr>
                <w:color w:val="auto"/>
              </w:rPr>
            </w:pPr>
            <w:r w:rsidRPr="69B52F17" w:rsidR="31CA6D52">
              <w:rPr>
                <w:color w:val="auto"/>
              </w:rPr>
              <w:t>Lorsque le tag est scanné, le statut passe en vert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3F617DAE" w:rsidRDefault="3F617DAE" w14:paraId="3C579EEC" w14:textId="38FE8BB6">
            <w:pPr>
              <w:rPr>
                <w:color w:val="auto"/>
              </w:rPr>
            </w:pPr>
            <w:r w:rsidRPr="69B52F17" w:rsidR="31CA6D52">
              <w:rPr>
                <w:color w:val="auto"/>
              </w:rPr>
              <w:t>Fonctionnel</w:t>
            </w:r>
          </w:p>
        </w:tc>
      </w:tr>
      <w:tr w:rsidR="3F617DAE" w:rsidTr="69B52F17" w14:paraId="399BA0D8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2EEDDD59" w14:textId="163A0F0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7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1BE27ED4" w14:textId="08C7032B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Page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principale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6BFEA05A" w14:textId="366AB3E1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Scanner un tag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invalide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60695DBB" w:rsidP="3F617DAE" w:rsidRDefault="60695DBB" w14:paraId="57C0E793" w14:textId="2596CF13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60695DBB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Rien ne se passe. On affiche rien dans l’application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70C10419" w14:textId="355D0638">
            <w:pPr>
              <w:rPr>
                <w:color w:val="auto"/>
              </w:rPr>
            </w:pPr>
            <w:r w:rsidRPr="69B52F17" w:rsidR="6A08BC1F">
              <w:rPr>
                <w:color w:val="auto"/>
              </w:rPr>
              <w:t>Aucun changement n’est montré dans l’application.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3F617DAE" w:rsidRDefault="3F617DAE" w14:paraId="7805FEB9" w14:textId="4ED106CC">
            <w:pPr>
              <w:rPr>
                <w:color w:val="auto"/>
              </w:rPr>
            </w:pPr>
            <w:r w:rsidRPr="69B52F17" w:rsidR="6A08BC1F">
              <w:rPr>
                <w:color w:val="auto"/>
              </w:rPr>
              <w:t>Fonctionnel</w:t>
            </w:r>
          </w:p>
        </w:tc>
      </w:tr>
      <w:tr w:rsidR="3F617DAE" w:rsidTr="69B52F17" w14:paraId="0AA49A74">
        <w:trPr>
          <w:trHeight w:val="300"/>
        </w:trPr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0E128C41" w14:textId="7859D350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8</w:t>
            </w:r>
          </w:p>
        </w:tc>
        <w:tc>
          <w:tcPr>
            <w:tcW w:w="156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3D85BFA2" w14:textId="14572324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Historique</w:t>
            </w:r>
          </w:p>
        </w:tc>
        <w:tc>
          <w:tcPr>
            <w:tcW w:w="238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2578CDBD" w14:textId="14B2841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Vérifier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si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les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informations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d'ouverture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serrure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correctement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affichées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dans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l'historique</w:t>
            </w:r>
          </w:p>
        </w:tc>
        <w:tc>
          <w:tcPr>
            <w:tcW w:w="247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2C637F40" w14:textId="1E467875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Les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informations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suivantes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sont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affichées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: le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numéro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du tag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utilisé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pour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ouvrir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la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porte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, la date de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l'ouverture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,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l'utilisateur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et la </w:t>
            </w:r>
            <w:r w:rsidRPr="3F617DAE" w:rsidR="3F617DAE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serrure</w:t>
            </w:r>
          </w:p>
        </w:tc>
        <w:tc>
          <w:tcPr>
            <w:tcW w:w="361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3F617DAE" w:rsidP="3F617DAE" w:rsidRDefault="3F617DAE" w14:paraId="56D46258" w14:textId="39DDFC2D">
            <w:pPr>
              <w:rPr>
                <w:color w:val="auto"/>
              </w:rPr>
            </w:pPr>
            <w:r w:rsidRPr="69B52F17" w:rsidR="3D123412">
              <w:rPr>
                <w:color w:val="auto"/>
              </w:rPr>
              <w:t>L’information affichée est valide.</w:t>
            </w:r>
          </w:p>
        </w:tc>
        <w:tc>
          <w:tcPr>
            <w:tcW w:w="1470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3F617DAE" w:rsidP="3F617DAE" w:rsidRDefault="3F617DAE" w14:paraId="7776956E" w14:textId="270A6447">
            <w:pPr>
              <w:rPr>
                <w:color w:val="auto"/>
              </w:rPr>
            </w:pPr>
            <w:r w:rsidRPr="69B52F17" w:rsidR="3D123412">
              <w:rPr>
                <w:color w:val="auto"/>
              </w:rPr>
              <w:t>Fonctionnel</w:t>
            </w:r>
          </w:p>
        </w:tc>
      </w:tr>
    </w:tbl>
    <w:p xmlns:wp14="http://schemas.microsoft.com/office/word/2010/wordml" w:rsidP="3F617DAE" w14:paraId="2C078E63" wp14:textId="7787F75A">
      <w:pPr>
        <w:pStyle w:val="Normal"/>
      </w:pPr>
      <w:r>
        <w:br/>
      </w:r>
      <w:r w:rsidR="2D90716C">
        <w:rPr/>
        <w:t xml:space="preserve">Plan de test </w:t>
      </w:r>
      <w:r w:rsidR="2D90716C">
        <w:rPr/>
        <w:t>réalis</w:t>
      </w:r>
      <w:r w:rsidR="4A3F50A2">
        <w:rPr/>
        <w:t>é</w:t>
      </w:r>
      <w:r w:rsidR="2D90716C">
        <w:rPr/>
        <w:t xml:space="preserve"> </w:t>
      </w:r>
      <w:r w:rsidR="2D90716C">
        <w:rPr/>
        <w:t>par:</w:t>
      </w:r>
      <w:r w:rsidR="2D90716C">
        <w:rPr/>
        <w:t xml:space="preserve"> Alexis Leclerc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D2490"/>
    <w:rsid w:val="0206C630"/>
    <w:rsid w:val="03D9BA1B"/>
    <w:rsid w:val="051FE1C0"/>
    <w:rsid w:val="055707FA"/>
    <w:rsid w:val="08D288B8"/>
    <w:rsid w:val="0946DB06"/>
    <w:rsid w:val="0D4978D7"/>
    <w:rsid w:val="0F9919A2"/>
    <w:rsid w:val="145D2490"/>
    <w:rsid w:val="190478E3"/>
    <w:rsid w:val="1C0ED02F"/>
    <w:rsid w:val="2D90716C"/>
    <w:rsid w:val="2DA41383"/>
    <w:rsid w:val="2FDAF08B"/>
    <w:rsid w:val="302F8409"/>
    <w:rsid w:val="31463B30"/>
    <w:rsid w:val="3176C0EC"/>
    <w:rsid w:val="31CA6D52"/>
    <w:rsid w:val="3A8E0C8B"/>
    <w:rsid w:val="3B327CF0"/>
    <w:rsid w:val="3D123412"/>
    <w:rsid w:val="3F617DAE"/>
    <w:rsid w:val="47EB0A86"/>
    <w:rsid w:val="4954B40B"/>
    <w:rsid w:val="4A3F50A2"/>
    <w:rsid w:val="4DAA31F3"/>
    <w:rsid w:val="4E51A0EA"/>
    <w:rsid w:val="4EC799F2"/>
    <w:rsid w:val="4F460254"/>
    <w:rsid w:val="4F5F2AB1"/>
    <w:rsid w:val="57E465F3"/>
    <w:rsid w:val="584467D4"/>
    <w:rsid w:val="58ECE49A"/>
    <w:rsid w:val="5C2C72E2"/>
    <w:rsid w:val="5DC055BD"/>
    <w:rsid w:val="60695DBB"/>
    <w:rsid w:val="60FFE405"/>
    <w:rsid w:val="638B6CBE"/>
    <w:rsid w:val="65235A34"/>
    <w:rsid w:val="65D35528"/>
    <w:rsid w:val="65E26250"/>
    <w:rsid w:val="676F2589"/>
    <w:rsid w:val="69B52F17"/>
    <w:rsid w:val="6A08BC1F"/>
    <w:rsid w:val="6AA6C64B"/>
    <w:rsid w:val="6BB30005"/>
    <w:rsid w:val="70356BAF"/>
    <w:rsid w:val="711607CF"/>
    <w:rsid w:val="724535E3"/>
    <w:rsid w:val="7584C42B"/>
    <w:rsid w:val="75E978F2"/>
    <w:rsid w:val="7EEA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2490"/>
  <w15:chartTrackingRefBased/>
  <w15:docId w15:val="{804E2999-7D70-4356-AE82-8BE0C5C58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07847F2B3FD4CBE329F159324AC03" ma:contentTypeVersion="9" ma:contentTypeDescription="Crée un document." ma:contentTypeScope="" ma:versionID="d06ee7c0101801bc4b1250db5c948aab">
  <xsd:schema xmlns:xsd="http://www.w3.org/2001/XMLSchema" xmlns:xs="http://www.w3.org/2001/XMLSchema" xmlns:p="http://schemas.microsoft.com/office/2006/metadata/properties" xmlns:ns2="3c45d1bf-c90c-4f04-ae47-31eeb77ac002" xmlns:ns3="f007064d-3a4b-421a-9e29-2f84f66afcdd" targetNamespace="http://schemas.microsoft.com/office/2006/metadata/properties" ma:root="true" ma:fieldsID="3175b9c084423c6195a565a8eaaf4959" ns2:_="" ns3:_="">
    <xsd:import namespace="3c45d1bf-c90c-4f04-ae47-31eeb77ac002"/>
    <xsd:import namespace="f007064d-3a4b-421a-9e29-2f84f66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5d1bf-c90c-4f04-ae47-31eeb77ac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c7a04bd-1c3b-495b-a7a9-cb65676629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7064d-3a4b-421a-9e29-2f84f66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45d1bf-c90c-4f04-ae47-31eeb77ac002">
      <Terms xmlns="http://schemas.microsoft.com/office/infopath/2007/PartnerControls"/>
    </lcf76f155ced4ddcb4097134ff3c332f>
    <SharedWithUsers xmlns="f007064d-3a4b-421a-9e29-2f84f66afcdd">
      <UserInfo>
        <DisplayName>Alexis Leclerc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BEA1FF5-51C0-49B0-BCA4-EED5612E5E57}"/>
</file>

<file path=customXml/itemProps2.xml><?xml version="1.0" encoding="utf-8"?>
<ds:datastoreItem xmlns:ds="http://schemas.openxmlformats.org/officeDocument/2006/customXml" ds:itemID="{EBB25C91-32BB-41B3-ABCD-AA613E441EC4}"/>
</file>

<file path=customXml/itemProps3.xml><?xml version="1.0" encoding="utf-8"?>
<ds:datastoreItem xmlns:ds="http://schemas.openxmlformats.org/officeDocument/2006/customXml" ds:itemID="{6C032431-BCB4-4699-95C4-94F347B737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Pigeon</dc:creator>
  <cp:keywords/>
  <dc:description/>
  <cp:lastModifiedBy>David Pigeon</cp:lastModifiedBy>
  <dcterms:created xsi:type="dcterms:W3CDTF">2023-04-28T18:11:59Z</dcterms:created>
  <dcterms:modified xsi:type="dcterms:W3CDTF">2023-04-30T22:56:07Z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0x01010010F07847F2B3FD4CBE329F159324AC03</vt:lpwstr>
  </property>
  <property fmtid="{D5CDD505-2E9C-101B-9397-08002B2CF9AE}" pid="3" name="MediaServiceImageTags">
    <vt:lpwstr/>
  </property>
</Properties>
</file>