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日常工科技术报告模板</w:t>
      </w:r>
    </w:p>
    <w:p>
      <w:pPr>
        <w:pStyle w:val="ReportLead"/>
      </w:pPr>
      <w:r>
        <w:t>使用说明</w:t>
      </w:r>
    </w:p>
    <w:p>
      <w:r>
        <w:t>以下为格式示例，不是研究结果。正式报告应替换示例内容，删除使用说明；只保留适用章节，不为填满模板编造数据。</w:t>
      </w:r>
    </w:p>
    <w:p>
      <w:pPr>
        <w:pStyle w:val="Heading1"/>
      </w:pPr>
      <w:r>
        <w:t>研究对象与目的</w:t>
      </w:r>
    </w:p>
    <w:p>
      <w:r>
        <w:t>这里说明研究对象、问题、资料范围和目的。正文采用宋体与 Times New Roman，12 pt、1.5 倍行距、首行缩进 24 pt。</w:t>
      </w:r>
    </w:p>
    <w:p>
      <w:pPr>
        <w:pStyle w:val="Heading2"/>
      </w:pPr>
      <w:r>
        <w:t>方法与评价指标</w:t>
      </w:r>
    </w:p>
    <w:p>
      <w:pPr>
        <w:pStyle w:val="ReportItem"/>
      </w:pPr>
      <w:r>
        <w:t>（1）分项标题。此处为解释性正文，整段不因分项编号而加粗。</w:t>
      </w:r>
    </w:p>
    <w:p>
      <w:pPr>
        <w:pStyle w:val="ReportItem"/>
      </w:pPr>
      <w:r>
        <w:t>（2）后续分项。分项应结合整组内容检查编号和句末标点。</w:t>
      </w:r>
    </w:p>
    <w:p>
      <w:pPr>
        <w:pStyle w:val="Heading3"/>
      </w:pPr>
      <w:r>
        <w:t>适用条件</w:t>
      </w:r>
    </w:p>
    <w:p>
      <w:r>
        <w:t>方法的条件、符号和单位在此解释。变量与单位分别设置字形，不对数学符号执行全局替换。</w:t>
      </w:r>
    </w:p>
    <w:p>
      <w:pPr>
        <w:pStyle w:val="ReportTableCaption"/>
      </w:pPr>
      <w:r>
        <w:t xml:space="preserve">表 </w:t>
      </w:r>
      <w:r>
        <w:fldChar w:fldCharType="begin"/>
      </w:r>
      <w:r>
        <w:instrText xml:space="preserve"> SEQ ReportTable \* ARABIC </w:instrText>
      </w:r>
      <w:r>
        <w:fldChar w:fldCharType="separate"/>
      </w:r>
      <w:r>
        <w:t>1</w:t>
      </w:r>
      <w:r>
        <w:fldChar w:fldCharType="end"/>
      </w:r>
      <w:r>
        <w:t xml:space="preserve"> 评价指标表格示例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4" w:color="000000"/>
          <w:bottom w:val="single" w:sz="8" w:color="000000"/>
          <w:right w:val="nil" w:sz="4" w:color="000000"/>
          <w:insideH w:val="nil" w:sz="4" w:color="000000"/>
          <w:insideV w:val="nil" w:sz="4" w:color="000000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bottom w:val="single" w:sz="4" w:color="000000"/>
            </w:tcBorders>
          </w:tcPr>
          <w:p>
            <w:pPr>
              <w:pStyle w:val="ReportTableHeader"/>
            </w:pPr>
            <w:r>
              <w:t>指标</w:t>
            </w:r>
          </w:p>
        </w:tc>
        <w:tc>
          <w:tcPr>
            <w:tcW w:type="dxa" w:w="3024"/>
            <w:vAlign w:val="center"/>
            <w:tcBorders>
              <w:bottom w:val="single" w:sz="4" w:color="000000"/>
            </w:tcBorders>
          </w:tcPr>
          <w:p>
            <w:pPr>
              <w:pStyle w:val="ReportTableHeader"/>
            </w:pPr>
            <w:r>
              <w:t>定义或单位</w:t>
            </w:r>
          </w:p>
        </w:tc>
        <w:tc>
          <w:tcPr>
            <w:tcW w:type="dxa" w:w="3024"/>
            <w:vAlign w:val="center"/>
            <w:tcBorders>
              <w:bottom w:val="single" w:sz="4" w:color="000000"/>
            </w:tcBorders>
          </w:tcPr>
          <w:p>
            <w:pPr>
              <w:pStyle w:val="ReportTableHeader"/>
            </w:pPr>
            <w:r>
              <w:t>资料要求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ReportTableText"/>
            </w:pPr>
            <w:r>
              <w:t>动作时间</w:t>
            </w:r>
          </w:p>
        </w:tc>
        <w:tc>
          <w:tcPr>
            <w:tcW w:type="dxa" w:w="3024"/>
            <w:vAlign w:val="center"/>
          </w:tcPr>
          <w:p>
            <w:pPr>
              <w:pStyle w:val="ReportTableValue"/>
            </w:pPr>
            <w:r>
              <w:t>ms</w:t>
            </w:r>
          </w:p>
        </w:tc>
        <w:tc>
          <w:tcPr>
            <w:tcW w:type="dxa" w:w="3024"/>
            <w:vAlign w:val="center"/>
          </w:tcPr>
          <w:p>
            <w:pPr>
              <w:pStyle w:val="ReportTableText"/>
            </w:pPr>
            <w:r>
              <w:t>真实记录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ReportTableText"/>
            </w:pPr>
            <w:r>
              <w:t>相对误差</w:t>
            </w:r>
          </w:p>
        </w:tc>
        <w:tc>
          <w:tcPr>
            <w:tcW w:type="dxa" w:w="3024"/>
            <w:vAlign w:val="center"/>
          </w:tcPr>
          <w:p>
            <w:pPr>
              <w:pStyle w:val="ReportTableValue"/>
            </w:pPr>
            <w:r>
              <w:t>%</w:t>
            </w:r>
          </w:p>
        </w:tc>
        <w:tc>
          <w:tcPr>
            <w:tcW w:type="dxa" w:w="3024"/>
            <w:vAlign w:val="center"/>
          </w:tcPr>
          <w:p>
            <w:pPr>
              <w:pStyle w:val="ReportTableText"/>
            </w:pPr>
            <w:r>
              <w:t>明确基准与分母</w:t>
            </w:r>
          </w:p>
        </w:tc>
      </w:tr>
    </w:tbl>
    <w:p>
      <w:pPr>
        <w:pStyle w:val="ReportNote"/>
      </w:pPr>
      <w:r>
        <w:t>注：以上仅演示表格格式，不代表实际测试数据。</w:t>
      </w:r>
    </w:p>
    <w:p>
      <w:pPr>
        <w:pStyle w:val="ReportFigure"/>
      </w:pPr>
      <w:r>
        <w:t>图像位置示例</w:t>
      </w:r>
    </w:p>
    <w:p>
      <w:pPr>
        <w:pStyle w:val="ReportFigureCaption"/>
      </w:pPr>
      <w:r>
        <w:t xml:space="preserve">图 </w:t>
      </w:r>
      <w:r>
        <w:fldChar w:fldCharType="begin"/>
      </w:r>
      <w:r>
        <w:instrText xml:space="preserve"> SEQ ReportFigure \* ARABIC </w:instrText>
      </w:r>
      <w:r>
        <w:fldChar w:fldCharType="separate"/>
      </w:r>
      <w:r>
        <w:t>1</w:t>
      </w:r>
      <w:r>
        <w:fldChar w:fldCharType="end"/>
      </w:r>
      <w:r>
        <w:t xml:space="preserve"> 图题在图下方</w:t>
      </w:r>
    </w:p>
    <w:p>
      <w:pPr>
        <w:pStyle w:val="ReportSection"/>
      </w:pPr>
      <w:r>
        <w:t>参考文献</w:t>
      </w:r>
    </w:p>
    <w:p>
      <w:pPr>
        <w:pStyle w:val="ReportReference"/>
      </w:pPr>
      <w:r>
        <w:t>[1] 此处为参考文献格式槽位，正式成稿替换为核对过的真实条目。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decimal"/>
      <w:pStyle w:val="Heading1"/>
      <w:suff w:val="space"/>
      <w:lvlText w:val="%1"/>
      <w:lvlJc w:val="left"/>
    </w:lvl>
    <w:lvl w:ilvl="1">
      <w:start w:val="1"/>
      <w:numFmt w:val="decimal"/>
      <w:pStyle w:val="Heading2"/>
      <w:suff w:val="space"/>
      <w:lvlText w:val="%1.%2"/>
      <w:lvlJc w:val="left"/>
    </w:lvl>
    <w:lvl w:ilvl="2">
      <w:start w:val="1"/>
      <w:numFmt w:val="decimal"/>
      <w:pStyle w:val="Heading3"/>
      <w:suff w:val="space"/>
      <w:lvlText w:val="%1.%2.%3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360" w:lineRule="auto" w:before="0" w:after="0"/>
      <w:ind w:firstLine="480" w:left="0"/>
      <w:jc w:val="both"/>
      <w:snapToGrid w:val="0"/>
    </w:pPr>
    <w:rPr>
      <w:rFonts w:ascii="Times New Roman" w:hAnsi="Times New Roman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360" w:lineRule="auto"/>
      <w:ind w:firstLine="0" w:left="0"/>
      <w:jc w:val="left"/>
      <w:outlineLvl w:val="0"/>
      <w:numPr>
        <w:ilvl w:val="0"/>
        <w:numId w:val="10"/>
      </w:numPr>
      <w:snapToGrid w:val="0"/>
    </w:pPr>
    <w:rPr>
      <w:rFonts w:ascii="Times New Roman" w:hAnsi="Times New Roman" w:eastAsia="黑体"/>
      <w:b w:val="0"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60" w:line="360" w:lineRule="auto"/>
      <w:ind w:firstLine="0" w:left="0"/>
      <w:jc w:val="left"/>
      <w:outlineLvl w:val="1"/>
      <w:numPr>
        <w:ilvl w:val="1"/>
        <w:numId w:val="10"/>
      </w:numPr>
      <w:snapToGrid w:val="0"/>
    </w:pPr>
    <w:rPr>
      <w:rFonts w:ascii="Times New Roman" w:hAnsi="Times New Roman" w:eastAsia="黑体"/>
      <w:b w:val="0"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360" w:lineRule="auto"/>
      <w:ind w:firstLine="0" w:left="0"/>
      <w:jc w:val="left"/>
      <w:outlineLvl w:val="2"/>
      <w:numPr>
        <w:ilvl w:val="2"/>
        <w:numId w:val="10"/>
      </w:numPr>
      <w:snapToGrid w:val="0"/>
    </w:pPr>
    <w:rPr>
      <w:rFonts w:ascii="Times New Roman" w:hAnsi="Times New Roman" w:eastAsia="黑体"/>
      <w:b w:val="0"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240" w:line="360" w:lineRule="auto" w:before="0"/>
      <w:ind w:firstLine="0" w:left="0"/>
      <w:contextualSpacing/>
      <w:jc w:val="center"/>
      <w:snapToGrid w:val="0"/>
    </w:pPr>
    <w:rPr>
      <w:rFonts w:ascii="Times New Roman" w:hAnsi="Times New Roman" w:eastAsia="黑体"/>
      <w:b w:val="0"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ection">
    <w:name w:val="Report Section"/>
    <w:basedOn w:val="Normal"/>
    <w:pPr>
      <w:keepNext/>
      <w:widowControl/>
      <w:spacing w:line="360" w:lineRule="auto" w:before="240" w:after="120"/>
      <w:ind w:firstLine="0" w:left="0"/>
      <w:jc w:val="left"/>
      <w:snapToGrid w:val="0"/>
    </w:pPr>
    <w:rPr>
      <w:rFonts w:ascii="Times New Roman" w:hAnsi="Times New Roman" w:eastAsia="黑体"/>
      <w:b w:val="0"/>
      <w:i w:val="0"/>
      <w:color w:val="000000"/>
      <w:sz w:val="32"/>
    </w:rPr>
  </w:style>
  <w:style w:type="paragraph" w:customStyle="1" w:styleId="ReportItem">
    <w:name w:val="Report Item"/>
    <w:basedOn w:val="Normal"/>
    <w:pPr>
      <w:keepNext w:val="0"/>
      <w:widowControl/>
      <w:spacing w:line="360" w:lineRule="auto" w:before="0" w:after="0"/>
      <w:ind w:hanging="480" w:left="480"/>
      <w:jc w:val="both"/>
      <w:snapToGrid w:val="0"/>
    </w:pPr>
    <w:rPr>
      <w:rFonts w:ascii="Times New Roman" w:hAnsi="Times New Roman" w:eastAsia="宋体"/>
      <w:b w:val="0"/>
      <w:i w:val="0"/>
      <w:color w:val="000000"/>
      <w:sz w:val="24"/>
    </w:rPr>
  </w:style>
  <w:style w:type="paragraph" w:customStyle="1" w:styleId="ReportLead">
    <w:name w:val="Report Lead"/>
    <w:basedOn w:val="Normal"/>
    <w:pPr>
      <w:keepNext/>
      <w:widowControl/>
      <w:spacing w:line="360" w:lineRule="auto" w:before="60" w:after="0"/>
      <w:ind w:firstLine="0" w:left="0"/>
      <w:jc w:val="left"/>
      <w:snapToGrid w:val="0"/>
    </w:pPr>
    <w:rPr>
      <w:rFonts w:ascii="Times New Roman" w:hAnsi="Times New Roman" w:eastAsia="宋体"/>
      <w:b/>
      <w:i w:val="0"/>
      <w:color w:val="000000"/>
      <w:sz w:val="24"/>
    </w:rPr>
  </w:style>
  <w:style w:type="paragraph" w:customStyle="1" w:styleId="ReportFigure">
    <w:name w:val="Report Figure"/>
    <w:basedOn w:val="Normal"/>
    <w:pPr>
      <w:keepNext/>
      <w:widowControl/>
      <w:spacing w:line="240" w:lineRule="auto" w:before="120" w:after="0"/>
      <w:ind w:firstLine="0" w:left="0"/>
      <w:jc w:val="center"/>
      <w:snapToGrid w:val="0"/>
    </w:pPr>
    <w:rPr>
      <w:rFonts w:ascii="Times New Roman" w:hAnsi="Times New Roman" w:eastAsia="宋体"/>
      <w:b w:val="0"/>
      <w:i w:val="0"/>
      <w:color w:val="000000"/>
      <w:sz w:val="24"/>
    </w:rPr>
  </w:style>
  <w:style w:type="paragraph" w:customStyle="1" w:styleId="ReportFigureCaption">
    <w:name w:val="Report Figure Caption"/>
    <w:basedOn w:val="Normal"/>
    <w:pPr>
      <w:keepNext w:val="0"/>
      <w:widowControl/>
      <w:spacing w:line="240" w:lineRule="auto" w:before="60" w:after="120"/>
      <w:ind w:firstLine="0" w:left="0"/>
      <w:jc w:val="center"/>
      <w:snapToGrid w:val="0"/>
    </w:pPr>
    <w:rPr>
      <w:rFonts w:ascii="Times New Roman" w:hAnsi="Times New Roman" w:eastAsia="黑体"/>
      <w:b w:val="0"/>
      <w:i w:val="0"/>
      <w:color w:val="000000"/>
      <w:sz w:val="21"/>
    </w:rPr>
  </w:style>
  <w:style w:type="paragraph" w:customStyle="1" w:styleId="ReportTableCaption">
    <w:name w:val="Report Table Caption"/>
    <w:basedOn w:val="Normal"/>
    <w:pPr>
      <w:keepNext/>
      <w:widowControl/>
      <w:spacing w:line="240" w:lineRule="auto" w:before="120" w:after="60"/>
      <w:ind w:firstLine="0" w:left="0"/>
      <w:jc w:val="center"/>
      <w:snapToGrid w:val="0"/>
    </w:pPr>
    <w:rPr>
      <w:rFonts w:ascii="Times New Roman" w:hAnsi="Times New Roman" w:eastAsia="黑体"/>
      <w:b w:val="0"/>
      <w:i w:val="0"/>
      <w:color w:val="000000"/>
      <w:sz w:val="21"/>
    </w:rPr>
  </w:style>
  <w:style w:type="paragraph" w:customStyle="1" w:styleId="ReportTableText">
    <w:name w:val="Report Table Text"/>
    <w:basedOn w:val="Normal"/>
    <w:pPr>
      <w:keepNext w:val="0"/>
      <w:widowControl/>
      <w:spacing w:line="240" w:lineRule="auto" w:before="0" w:after="0"/>
      <w:ind w:firstLine="0" w:left="0"/>
      <w:jc w:val="left"/>
      <w:snapToGrid w:val="0"/>
    </w:pPr>
    <w:rPr>
      <w:rFonts w:ascii="Times New Roman" w:hAnsi="Times New Roman" w:eastAsia="宋体"/>
      <w:b w:val="0"/>
      <w:i w:val="0"/>
      <w:color w:val="000000"/>
      <w:sz w:val="21"/>
    </w:rPr>
  </w:style>
  <w:style w:type="paragraph" w:customStyle="1" w:styleId="ReportTableValue">
    <w:name w:val="Report Table Value"/>
    <w:basedOn w:val="Normal"/>
    <w:pPr>
      <w:keepNext w:val="0"/>
      <w:widowControl/>
      <w:spacing w:line="240" w:lineRule="auto" w:before="0" w:after="0"/>
      <w:ind w:firstLine="0" w:left="0"/>
      <w:jc w:val="center"/>
      <w:snapToGrid w:val="0"/>
    </w:pPr>
    <w:rPr>
      <w:rFonts w:ascii="Times New Roman" w:hAnsi="Times New Roman" w:eastAsia="宋体"/>
      <w:b w:val="0"/>
      <w:i w:val="0"/>
      <w:color w:val="000000"/>
      <w:sz w:val="21"/>
    </w:rPr>
  </w:style>
  <w:style w:type="paragraph" w:customStyle="1" w:styleId="ReportTableHeader">
    <w:name w:val="Report Table Header"/>
    <w:basedOn w:val="Normal"/>
    <w:pPr>
      <w:keepNext w:val="0"/>
      <w:widowControl/>
      <w:spacing w:line="240" w:lineRule="auto" w:before="0" w:after="0"/>
      <w:ind w:firstLine="0" w:left="0"/>
      <w:jc w:val="center"/>
      <w:snapToGrid w:val="0"/>
    </w:pPr>
    <w:rPr>
      <w:rFonts w:ascii="Times New Roman" w:hAnsi="Times New Roman" w:eastAsia="宋体"/>
      <w:b/>
      <w:i w:val="0"/>
      <w:color w:val="000000"/>
      <w:sz w:val="21"/>
    </w:rPr>
  </w:style>
  <w:style w:type="paragraph" w:customStyle="1" w:styleId="ReportNote">
    <w:name w:val="Report Note"/>
    <w:basedOn w:val="Normal"/>
    <w:pPr>
      <w:keepNext w:val="0"/>
      <w:widowControl/>
      <w:spacing w:line="240" w:lineRule="auto" w:before="60" w:after="60"/>
      <w:ind w:firstLine="0" w:left="0"/>
      <w:jc w:val="left"/>
      <w:snapToGrid w:val="0"/>
    </w:pPr>
    <w:rPr>
      <w:rFonts w:ascii="Times New Roman" w:hAnsi="Times New Roman" w:eastAsia="宋体"/>
      <w:b w:val="0"/>
      <w:i w:val="0"/>
      <w:color w:val="000000"/>
      <w:sz w:val="18"/>
    </w:rPr>
  </w:style>
  <w:style w:type="paragraph" w:customStyle="1" w:styleId="ReportReference">
    <w:name w:val="Report Reference"/>
    <w:basedOn w:val="Normal"/>
    <w:pPr>
      <w:keepNext w:val="0"/>
      <w:widowControl/>
      <w:spacing w:line="240" w:lineRule="auto" w:before="0" w:after="60"/>
      <w:ind w:hanging="420" w:left="420"/>
      <w:jc w:val="left"/>
      <w:snapToGrid w:val="0"/>
    </w:pPr>
    <w:rPr>
      <w:rFonts w:ascii="Times New Roman" w:hAnsi="Times New Roman" w:eastAsia="宋体"/>
      <w:b w:val="0"/>
      <w:i w:val="0"/>
      <w:color w:val="000000"/>
      <w:sz w:val="21"/>
    </w:rPr>
  </w:style>
  <w:style w:type="paragraph" w:customStyle="1" w:styleId="ReportEquation">
    <w:name w:val="Report Equation"/>
    <w:basedOn w:val="Normal"/>
    <w:pPr>
      <w:keepNext w:val="0"/>
      <w:widowControl/>
      <w:spacing w:line="360" w:lineRule="auto" w:before="60" w:after="60"/>
      <w:ind w:firstLine="0" w:left="0"/>
      <w:jc w:val="center"/>
      <w:snapToGrid w:val="0"/>
    </w:pPr>
    <w:rPr>
      <w:rFonts w:ascii="Times New Roman" w:hAnsi="Times New Roman" w:eastAsia="宋体"/>
      <w:b w:val="0"/>
      <w:i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