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增压舱构件截面分组优化方法及案例"/>
    <w:p>
      <w:pPr>
        <w:pStyle w:val="Heading1"/>
      </w:pPr>
      <w:r>
        <w:rPr>
          <w:rFonts w:hint="eastAsia"/>
        </w:rPr>
        <w:t xml:space="preserve">增压舱构件截面分组优化方法及案例</w:t>
      </w:r>
    </w:p>
    <w:bookmarkStart w:id="20" w:name="Xf41ffa9a3127eac103ed2e55af09d34d3937abb"/>
    <w:p>
      <w:pPr>
        <w:pStyle w:val="Heading2"/>
      </w:pPr>
      <w:r>
        <w:t xml:space="preserve">1. </w:t>
      </w:r>
      <w:r>
        <w:rPr>
          <w:rFonts w:hint="eastAsia"/>
        </w:rPr>
        <w:t xml:space="preserve">分组优化的目标和意义</w:t>
      </w:r>
    </w:p>
    <w:p>
      <w:pPr>
        <w:pStyle w:val="FirstParagraph"/>
      </w:pPr>
      <w:r>
        <w:rPr>
          <w:rFonts w:hint="eastAsia"/>
        </w:rPr>
        <w:t xml:space="preserve">增压舱钢框架主要由框架梁、主梁、次梁和支撑梁构成。传统截面优化通常规定同一类构件采用同一种截面。这种方法变量少、实施简单，但默认了同类构件具有相同的受力需求。实际上，构件所处位置、边界条件和传力路径不同，其应力和变形贡献存在明显差异：关键部位需要较大的截面，低受力部位继续使用相同截面则会造成材料冗余。</w:t>
      </w:r>
    </w:p>
    <w:p>
      <w:pPr>
        <w:pStyle w:val="BodyText"/>
      </w:pPr>
      <w:r>
        <w:rPr>
          <w:rFonts w:hint="eastAsia"/>
        </w:rPr>
        <w:t xml:space="preserve">构件截面分组优化的核心思想是：</w:t>
      </w:r>
      <w:r>
        <w:rPr>
          <w:rFonts w:hint="eastAsia"/>
          <w:b/>
          <w:bCs/>
        </w:rPr>
        <w:t xml:space="preserve">保留构件功能分类，在每一类构件内部进一步识别受力相近、空间位置协调的构件组，再为不同组独立选择截面。</w:t>
      </w:r>
    </w:p>
    <w:p>
      <w:pPr>
        <w:pStyle w:val="BodyText"/>
      </w:pPr>
      <w:r>
        <w:rPr>
          <w:rFonts w:hint="eastAsia"/>
        </w:rPr>
        <w:t xml:space="preserve">其主要意义包括：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提高材料利用率，使截面配置更贴近真实受力分布；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在满足承载力和变形要求的前提下降低结构质量；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保持结构布置的对称性和工程协调性，避免出现零散、无规律的截面变化；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将原有“四类构件、四个截面变量”的优化方式扩展为更灵活的设计空间；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为不同舱体尺寸、压力等级和构件布置提供可复用的截面分组方法。</w:t>
      </w:r>
    </w:p>
    <w:p>
      <w:pPr>
        <w:pStyle w:val="FirstParagraph"/>
      </w:pPr>
      <w:r>
        <w:rPr>
          <w:rFonts w:hint="eastAsia"/>
        </w:rPr>
        <w:t xml:space="preserve">不分组方案也可以统一表示为一种特殊分组：框架梁、主梁、次梁和支撑梁各只有一个组。因此，分组优化不是对原有方法的推翻，而是在同一优化框架下增加截面配置自由度。</w:t>
      </w:r>
    </w:p>
    <w:bookmarkEnd w:id="20"/>
    <w:bookmarkStart w:id="21" w:name="Xb53dc608107f05aa931e5f3e88cf15038215f10"/>
    <w:p>
      <w:pPr>
        <w:pStyle w:val="Heading2"/>
      </w:pPr>
      <w:r>
        <w:t xml:space="preserve">2. </w:t>
      </w:r>
      <w:r>
        <w:rPr>
          <w:rFonts w:hint="eastAsia"/>
        </w:rPr>
        <w:t xml:space="preserve">分组优化的技术流程</w:t>
      </w:r>
    </w:p>
    <w:p>
      <w:pPr>
        <w:pStyle w:val="FirstParagraph"/>
      </w:pPr>
      <w:r>
        <w:rPr>
          <w:rFonts w:hint="eastAsia"/>
        </w:rPr>
        <w:t xml:space="preserve">分组优化采用“离线发现规律、在线快速应用、有限元闭环复核”的技术路线。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A[选取代表性结构]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B[参数化建模]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C[有限元分析]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D[提取受力、变形和空间特征]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E[对称约束下的构件聚类]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F[形成稳定分组规则]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G[新方案按几何特征自动分组]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H[拓扑与各组截面联合优化]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I[有限元复核]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/>
        </w:rPr>
        <w:t xml:space="preserve">--&gt;|不满足|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J[截面或拓扑回调]</w:t>
      </w:r>
      <w:r>
        <w:br/>
      </w:r>
      <w:r>
        <w:rPr>
          <w:rStyle w:val="VerbatimChar"/>
        </w:rPr>
        <w:t xml:space="preserve">    J --&gt; I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/>
        </w:rPr>
        <w:t xml:space="preserve">--&gt;|满足|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K[输出优化方案]</w:t>
      </w:r>
    </w:p>
    <w:p>
      <w:pPr>
        <w:pStyle w:val="FirstParagraph"/>
      </w:pPr>
      <w:r>
        <w:rPr>
          <w:rFonts w:hint="eastAsia"/>
        </w:rPr>
        <w:t xml:space="preserve">这一路线解决了两个关键问题。</w:t>
      </w:r>
    </w:p>
    <w:p>
      <w:pPr>
        <w:pStyle w:val="BodyText"/>
      </w:pPr>
      <w:r>
        <w:rPr>
          <w:rFonts w:hint="eastAsia"/>
        </w:rPr>
        <w:t xml:space="preserve">第一，分组必须反映结构受力特点，不能简单按照构件编号或随机划分。因此，规则发现阶段使用有限元结果识别受力和变形规律。</w:t>
      </w:r>
    </w:p>
    <w:p>
      <w:pPr>
        <w:pStyle w:val="BodyText"/>
      </w:pPr>
      <w:r>
        <w:rPr>
          <w:rFonts w:hint="eastAsia"/>
        </w:rPr>
        <w:t xml:space="preserve">第二，结构优化过程中主梁间距、支撑梁间距等拓扑参数会变化，构件数量和编号也随之变化。如果直接保存“构件编号—组别”的对应关系，规则将无法跨模型使用。因此，最终保存的是与构件编号无关的空间分组规律。</w:t>
      </w:r>
    </w:p>
    <w:bookmarkEnd w:id="21"/>
    <w:bookmarkStart w:id="26" w:name="X2e6397dfc759e22dfdfdd014b6c6a6006bbd5c2"/>
    <w:p>
      <w:pPr>
        <w:pStyle w:val="Heading2"/>
      </w:pPr>
      <w:r>
        <w:t xml:space="preserve">3. </w:t>
      </w:r>
      <w:r>
        <w:rPr>
          <w:rFonts w:hint="eastAsia"/>
        </w:rPr>
        <w:t xml:space="preserve">离线分组规则的生成</w:t>
      </w:r>
    </w:p>
    <w:bookmarkStart w:id="22" w:name="Xc5ede30f75bfc8e2917b9926ddcdc8932da1ecd"/>
    <w:p>
      <w:pPr>
        <w:pStyle w:val="Heading3"/>
      </w:pPr>
      <w:r>
        <w:t xml:space="preserve">3.1 </w:t>
      </w:r>
      <w:r>
        <w:rPr>
          <w:rFonts w:hint="eastAsia"/>
        </w:rPr>
        <w:t xml:space="preserve">代表性结构样本</w:t>
      </w:r>
    </w:p>
    <w:p>
      <w:pPr>
        <w:pStyle w:val="FirstParagraph"/>
      </w:pPr>
      <w:r>
        <w:rPr>
          <w:rFonts w:hint="eastAsia"/>
        </w:rPr>
        <w:t xml:space="preserve">离线阶段首先选取能够覆盖主要设计范围的代表性结构，包括不同舱体长度、压力等级和构件布置。每个样本完成参数化建模和有限元分析，分别获得承载力组合下的应力响应和正常使用组合下的位移响应。</w:t>
      </w:r>
    </w:p>
    <w:p>
      <w:pPr>
        <w:pStyle w:val="BodyText"/>
      </w:pPr>
      <w:r>
        <w:rPr>
          <w:rFonts w:hint="eastAsia"/>
        </w:rPr>
        <w:t xml:space="preserve">代表性样本越能覆盖后续优化空间，分组规则的适用性越好。当结构形式、门窗布置或尺寸范围发生较大变化时，应补充样本并重新生成规则。</w:t>
      </w:r>
    </w:p>
    <w:bookmarkEnd w:id="22"/>
    <w:bookmarkStart w:id="23" w:name="X60bc6fe6119fa24d39d26ea1be088c58042668c"/>
    <w:p>
      <w:pPr>
        <w:pStyle w:val="Heading3"/>
      </w:pPr>
      <w:r>
        <w:t xml:space="preserve">3.2 </w:t>
      </w:r>
      <w:r>
        <w:rPr>
          <w:rFonts w:hint="eastAsia"/>
        </w:rPr>
        <w:t xml:space="preserve">构件特征</w:t>
      </w:r>
    </w:p>
    <w:p>
      <w:pPr>
        <w:pStyle w:val="FirstParagraph"/>
      </w:pPr>
      <w:r>
        <w:rPr>
          <w:rFonts w:hint="eastAsia"/>
        </w:rPr>
        <w:t xml:space="preserve">每根梁由三类信息描述：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构件类型、梁方向、所在表面、梁长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保证不同功能和构造特征的梁不会被随意混合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归一化后的构件中点坐标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描述构件位于舱体端部、中部、顶部或侧面等位置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力学响应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应力利用率、应力水平、节点位移和相对位移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识别高需求与低需求构件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构件编号仅用于结果回查，不参与分组。这样即使重新建模后编号发生变化，也不会影响分组依据。</w:t>
      </w:r>
    </w:p>
    <w:bookmarkEnd w:id="23"/>
    <w:bookmarkStart w:id="24" w:name="X813ac6c1b2482a45e57d5e444bf3e3a617df096"/>
    <w:p>
      <w:pPr>
        <w:pStyle w:val="Heading3"/>
      </w:pPr>
      <w:r>
        <w:t xml:space="preserve">3.3 </w:t>
      </w:r>
      <w:r>
        <w:rPr>
          <w:rFonts w:hint="eastAsia"/>
        </w:rPr>
        <w:t xml:space="preserve">对称性约束</w:t>
      </w:r>
    </w:p>
    <w:p>
      <w:pPr>
        <w:pStyle w:val="FirstParagraph"/>
      </w:pPr>
      <w:r>
        <w:rPr>
          <w:rFonts w:hint="eastAsia"/>
        </w:rPr>
        <w:t xml:space="preserve">增压舱整体布置规则，具有明显的纵向、横向或高度方向对称关系。若只根据应力数值聚类，细小的计算差异可能使对称位置的构件落入不同组，造成截面布置不协调。</w:t>
      </w:r>
    </w:p>
    <w:p>
      <w:pPr>
        <w:pStyle w:val="BodyText"/>
      </w:pPr>
      <w:r>
        <w:rPr>
          <w:rFonts w:hint="eastAsia"/>
        </w:rPr>
        <w:t xml:space="preserve">为避免这一问题，算法先依据构件类型、方向、所在表面和镜像位置，将近似对称构件合并为“对称等价组”；随后以对称等价组作为最小单位进行聚类，而不是直接对单根梁聚类。由此保证具有相同结构作用的对称构件始终采用同一组截面。</w:t>
      </w:r>
    </w:p>
    <w:bookmarkEnd w:id="24"/>
    <w:bookmarkStart w:id="25" w:name="X66d5eac4a9a1bc73e41390fb8faa36b7ae70334"/>
    <w:p>
      <w:pPr>
        <w:pStyle w:val="Heading3"/>
      </w:pPr>
      <w:r>
        <w:t xml:space="preserve">3.4 </w:t>
      </w:r>
      <w:r>
        <w:rPr>
          <w:rFonts w:hint="eastAsia"/>
        </w:rPr>
        <w:t xml:space="preserve">聚类与规则固化</w:t>
      </w:r>
    </w:p>
    <w:p>
      <w:pPr>
        <w:pStyle w:val="FirstParagraph"/>
      </w:pPr>
      <w:r>
        <w:rPr>
          <w:rFonts w:hint="eastAsia"/>
        </w:rPr>
        <w:t xml:space="preserve">框架梁、主梁、次梁和支撑梁分别聚类，组数由设计人员根据结构复杂程度设定。算法综合考虑应力、位移和空间位置，并通过权重调节三类因素的重要程度。</w:t>
      </w:r>
    </w:p>
    <w:p>
      <w:pPr>
        <w:pStyle w:val="BodyText"/>
      </w:pPr>
      <w:r>
        <w:rPr>
          <w:rFonts w:hint="eastAsia"/>
        </w:rPr>
        <w:t xml:space="preserve">聚类完成后，每个组形成一个几何原型，记录该组典型的空间位置、方向、梁长和所在表面特征。组号按照力学需求由高到低排列，例如</w:t>
      </w:r>
      <w:r>
        <w:t xml:space="preserve"> </w:t>
      </w:r>
      <w:r>
        <w:rPr>
          <w:rStyle w:val="VerbatimChar"/>
        </w:rPr>
        <w:t xml:space="preserve">MAIN-SG1</w:t>
      </w:r>
      <w:r>
        <w:t xml:space="preserve"> </w:t>
      </w:r>
      <w:r>
        <w:rPr>
          <w:rFonts w:hint="eastAsia"/>
        </w:rPr>
        <w:t xml:space="preserve">表示主梁中相对高需求的一组。</w:t>
      </w:r>
    </w:p>
    <w:p>
      <w:pPr>
        <w:pStyle w:val="BodyText"/>
      </w:pPr>
      <w:r>
        <w:rPr>
          <w:rFonts w:hint="eastAsia"/>
        </w:rPr>
        <w:t xml:space="preserve">最终规则只保留以下稳定信息：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每类构件的分组数量；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每个组对应的构件类型；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每个组的几何原型；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该组在代表样本中的应力、位移统计指标。</w:t>
      </w:r>
    </w:p>
    <w:p>
      <w:pPr>
        <w:pStyle w:val="FirstParagraph"/>
      </w:pPr>
      <w:r>
        <w:rPr>
          <w:rFonts w:hint="eastAsia"/>
        </w:rPr>
        <w:t xml:space="preserve">这种表达既保留了有限元分析所揭示的受力规律，又避免依赖某一个固定模型的构件编号。</w:t>
      </w:r>
    </w:p>
    <w:bookmarkEnd w:id="25"/>
    <w:bookmarkEnd w:id="26"/>
    <w:bookmarkStart w:id="30" w:name="X4cc2df33f819c11a4889a72155d81c2976488fb"/>
    <w:p>
      <w:pPr>
        <w:pStyle w:val="Heading2"/>
      </w:pPr>
      <w:r>
        <w:t xml:space="preserve">4. </w:t>
      </w:r>
      <w:r>
        <w:rPr>
          <w:rFonts w:hint="eastAsia"/>
        </w:rPr>
        <w:t xml:space="preserve">分组应用与优化</w:t>
      </w:r>
    </w:p>
    <w:bookmarkStart w:id="27" w:name="Xf8f856dedf3703b13eacd62cba03381a0702459"/>
    <w:p>
      <w:pPr>
        <w:pStyle w:val="Heading3"/>
      </w:pPr>
      <w:r>
        <w:t xml:space="preserve">4.1 </w:t>
      </w:r>
      <w:r>
        <w:rPr>
          <w:rFonts w:hint="eastAsia"/>
        </w:rPr>
        <w:t xml:space="preserve">新模型的动态分组</w:t>
      </w:r>
    </w:p>
    <w:p>
      <w:pPr>
        <w:pStyle w:val="FirstParagraph"/>
      </w:pPr>
      <w:r>
        <w:rPr>
          <w:rFonts w:hint="eastAsia"/>
        </w:rPr>
        <w:t xml:space="preserve">对一个新的候选结构，程序在有限元分析之前提取每根梁的类型、方向、所在表面、归一化位置和梁长，再与同类构件的各个几何原型比较，将其分配到最接近的组。</w:t>
      </w:r>
    </w:p>
    <w:p>
      <w:pPr>
        <w:pStyle w:val="BodyText"/>
      </w:pPr>
      <w:r>
        <w:rPr>
          <w:rFonts w:hint="eastAsia"/>
        </w:rPr>
        <w:t xml:space="preserve">在线分组不使用当前候选结构的应力和位移，因此不需要为“确定组别”额外进行一次有限元计算。即使优化过程中构件数量改变，新生成的构件仍可根据自身几何特征自动找到所属组别。</w:t>
      </w:r>
    </w:p>
    <w:bookmarkEnd w:id="27"/>
    <w:bookmarkStart w:id="28" w:name="X8ef3544b100a29b1a37d26ff917f79e7d242953"/>
    <w:p>
      <w:pPr>
        <w:pStyle w:val="Heading3"/>
      </w:pPr>
      <w:r>
        <w:t xml:space="preserve">4.2 </w:t>
      </w:r>
      <w:r>
        <w:rPr>
          <w:rFonts w:hint="eastAsia"/>
        </w:rPr>
        <w:t xml:space="preserve">优化变量</w:t>
      </w:r>
    </w:p>
    <w:p>
      <w:pPr>
        <w:pStyle w:val="FirstParagraph"/>
      </w:pPr>
      <w:r>
        <w:rPr>
          <w:rFonts w:hint="eastAsia"/>
        </w:rPr>
        <w:t xml:space="preserve">构件分组确定后，每个组对应一个独立截面变量。例如框架梁2组、主梁2组、次梁3组、支撑梁2组时，共有9个截面变量。它们与主梁间距、支撑梁间距、是否设置支撑梁等拓扑变量共同进入优化算法。</w:t>
      </w:r>
    </w:p>
    <w:p>
      <w:pPr>
        <w:pStyle w:val="BodyText"/>
      </w:pPr>
      <w:r>
        <w:rPr>
          <w:rFonts w:hint="eastAsia"/>
        </w:rPr>
        <w:t xml:space="preserve">优化目标为结构质量最小，约束条件为：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承载力组合下最大应力利用率不大于1.0；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正常使用组合下最大位移利用率不大于1.0。</w:t>
      </w:r>
    </w:p>
    <w:p>
      <w:pPr>
        <w:pStyle w:val="FirstParagraph"/>
      </w:pPr>
      <w:r>
        <w:rPr>
          <w:rFonts w:hint="eastAsia"/>
        </w:rPr>
        <w:t xml:space="preserve">代理模型可用于快速筛选大量候选方案，遗传算法等方法负责搜索拓扑和各组截面的组合。由于应力指标对局部截面变化较敏感，最终候选方案必须通过真实有限元分析复核。</w:t>
      </w:r>
    </w:p>
    <w:bookmarkEnd w:id="28"/>
    <w:bookmarkStart w:id="29" w:name="X0e5fd2175f43d4f62ede107c1d6ea9fef2a0859"/>
    <w:p>
      <w:pPr>
        <w:pStyle w:val="Heading3"/>
      </w:pPr>
      <w:r>
        <w:t xml:space="preserve">4.3 </w:t>
      </w:r>
      <w:r>
        <w:rPr>
          <w:rFonts w:hint="eastAsia"/>
        </w:rPr>
        <w:t xml:space="preserve">有限元闭环复核</w:t>
      </w:r>
    </w:p>
    <w:p>
      <w:pPr>
        <w:pStyle w:val="FirstParagraph"/>
      </w:pPr>
      <w:r>
        <w:rPr>
          <w:rFonts w:hint="eastAsia"/>
        </w:rPr>
        <w:t xml:space="preserve">完整优化闭环包括：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代理模型辅助搜索候选方案；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对候选方案进行真实有限元分析；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若应力或位移超限，针对控制构件组增大截面，或调整主梁、支撑梁间距；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重新分析，直至满足约束；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在所有可行方案中选择质量较小、构造协调的方案。</w:t>
      </w:r>
    </w:p>
    <w:p>
      <w:pPr>
        <w:pStyle w:val="FirstParagraph"/>
      </w:pPr>
      <w:r>
        <w:rPr>
          <w:rFonts w:hint="eastAsia"/>
        </w:rPr>
        <w:t xml:space="preserve">这一闭环保证代理模型用于提高搜索效率，而不替代最终的工程校核。</w:t>
      </w:r>
    </w:p>
    <w:bookmarkEnd w:id="29"/>
    <w:bookmarkEnd w:id="30"/>
    <w:bookmarkStart w:id="38" w:name="X58d9a96c150662b0d56f81167deee06cec2fb36"/>
    <w:p>
      <w:pPr>
        <w:pStyle w:val="Heading2"/>
      </w:pPr>
      <w:r>
        <w:t xml:space="preserve">5. </w:t>
      </w:r>
      <w:r>
        <w:rPr>
          <w:rFonts w:hint="eastAsia"/>
        </w:rPr>
        <w:t xml:space="preserve">案例分析</w:t>
      </w:r>
    </w:p>
    <w:bookmarkStart w:id="31" w:name="X2125c80a9dbd00de2c28f944252d2d6add6fc56"/>
    <w:p>
      <w:pPr>
        <w:pStyle w:val="Heading3"/>
      </w:pPr>
      <w:r>
        <w:t xml:space="preserve">5.1 </w:t>
      </w:r>
      <w:r>
        <w:rPr>
          <w:rFonts w:hint="eastAsia"/>
        </w:rPr>
        <w:t xml:space="preserve">案例设置</w:t>
      </w:r>
    </w:p>
    <w:p>
      <w:pPr>
        <w:pStyle w:val="FirstParagraph"/>
      </w:pPr>
      <w:r>
        <w:rPr>
          <w:rFonts w:hint="eastAsia"/>
        </w:rPr>
        <w:t xml:space="preserve">选取三个工程版增压舱原型进行阶段性验证。三个舱体宽度均为3.6</w:t>
      </w:r>
      <w:r>
        <w:t xml:space="preserve"> </w:t>
      </w:r>
      <w:r>
        <w:rPr>
          <w:rFonts w:hint="eastAsia"/>
        </w:rPr>
        <w:t xml:space="preserve">m、高度均为3.3</w:t>
      </w:r>
      <w:r>
        <w:t xml:space="preserve"> </w:t>
      </w:r>
      <w:r>
        <w:rPr>
          <w:rFonts w:hint="eastAsia"/>
        </w:rPr>
        <w:t xml:space="preserve">m，长度和内压分别覆盖短舱低压力、中等长度中高压力以及长舱高压力工况。</w:t>
      </w:r>
    </w:p>
    <w:p>
      <w:pPr>
        <w:pStyle w:val="BodyText"/>
      </w:pPr>
      <w:r>
        <w:rPr>
          <w:rFonts w:hint="eastAsia"/>
        </w:rPr>
        <w:t xml:space="preserve">分组规则采用框架梁2组、主梁2组、次梁3组、支撑梁2组，共9个截面组。优化采用代理模型辅助遗传算法搜索，并对最终方案进行0.5</w:t>
      </w:r>
      <w:r>
        <w:t xml:space="preserve"> </w:t>
      </w:r>
      <w:r>
        <w:rPr>
          <w:rFonts w:hint="eastAsia"/>
        </w:rPr>
        <w:t xml:space="preserve">m网格尺度的真实有限元复核。</w:t>
      </w:r>
    </w:p>
    <w:p>
      <w:pPr>
        <w:pStyle w:val="BodyText"/>
      </w:pPr>
      <w:r>
        <w:rPr>
          <w:rFonts w:hint="eastAsia"/>
        </w:rPr>
        <w:t xml:space="preserve">为准确评价分组本身的作用，本节采用两级对比口径：首先完成不分组优化，每类梁仅使用一种截面；随后固定其拓扑参数，以该方案作为分组优化的可行起点，允许同类梁的各分组独立调整截面。这样，两者的质量差只来源于截面细分，而不受主梁间距、支撑梁间距等拓扑差异影响。</w:t>
      </w:r>
    </w:p>
    <w:bookmarkEnd w:id="31"/>
    <w:bookmarkStart w:id="32" w:name="Xbf21875791e8abcd438d75c65cf47a43aebf970"/>
    <w:p>
      <w:pPr>
        <w:pStyle w:val="Heading3"/>
      </w:pPr>
      <w:r>
        <w:t xml:space="preserve">5.2 </w:t>
      </w:r>
      <w:r>
        <w:rPr>
          <w:rFonts w:hint="eastAsia"/>
        </w:rPr>
        <w:t xml:space="preserve">总体结果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  <w:r>
              <w:t xml:space="preserve"> </w:t>
            </w:r>
            <w:r>
              <w:rPr>
                <w:rFonts w:hint="eastAsia"/>
              </w:rPr>
              <w:t xml:space="preserve">L×W×H（m）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内压（kPa）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不分组质量（kg）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分组质量（kg）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分组进一步节材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分组应力利用率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分组位移利用率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FEA校核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原型一</w:t>
            </w:r>
          </w:p>
        </w:tc>
        <w:tc>
          <w:tcPr/>
          <w:p>
            <w:pPr>
              <w:pStyle w:val="Compact"/>
            </w:pPr>
            <w:r>
              <w:t xml:space="preserve">7.2×3.6×3.3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11,119.70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10,234.71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原型二</w:t>
            </w:r>
          </w:p>
        </w:tc>
        <w:tc>
          <w:tcPr/>
          <w:p>
            <w:pPr>
              <w:pStyle w:val="Compact"/>
            </w:pPr>
            <w:r>
              <w:t xml:space="preserve">9.6×3.6×3.3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17,449.94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15,962.03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原型三</w:t>
            </w:r>
          </w:p>
        </w:tc>
        <w:tc>
          <w:tcPr/>
          <w:p>
            <w:pPr>
              <w:pStyle w:val="Compact"/>
            </w:pPr>
            <w:r>
              <w:t xml:space="preserve">12.0×3.6×3.3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22,052.49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19,858.49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注：表中应力利用率来自承载力组合，位移利用率来自正常使用组合；两者均不大于1.0时判定为通过。三个分组方案与各自的不分组方案采用相同拓扑。分组进一步节材率为两类方案的质量差与不分组质量之比。</w:t>
      </w:r>
    </w:p>
    <w:bookmarkEnd w:id="32"/>
    <w:bookmarkStart w:id="36" w:name="X1eae8560835157682071ace06532a37385a4e85"/>
    <w:p>
      <w:pPr>
        <w:pStyle w:val="Heading3"/>
      </w:pPr>
      <w:r>
        <w:t xml:space="preserve">5.3 </w:t>
      </w:r>
      <w:r>
        <w:rPr>
          <w:rFonts w:hint="eastAsia"/>
        </w:rPr>
        <w:t xml:space="preserve">最终截面方案</w:t>
      </w:r>
    </w:p>
    <w:p>
      <w:pPr>
        <w:pStyle w:val="FirstParagraph"/>
      </w:pPr>
      <w:r>
        <w:rPr>
          <w:rFonts w:hint="eastAsia"/>
        </w:rPr>
        <w:t xml:space="preserve">表中</w:t>
      </w:r>
      <w:r>
        <w:t xml:space="preserve"> </w:t>
      </w:r>
      <w:r>
        <w:rPr>
          <w:rStyle w:val="VerbatimChar"/>
        </w:rPr>
        <w:t xml:space="preserve">SG1</w:t>
      </w:r>
      <w:r>
        <w:t xml:space="preserve">、</w:t>
      </w:r>
      <w:r>
        <w:rPr>
          <w:rStyle w:val="VerbatimChar"/>
        </w:rPr>
        <w:t xml:space="preserve">SG2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SG3</w:t>
      </w:r>
      <w:r>
        <w:t xml:space="preserve"> </w:t>
      </w:r>
      <w:r>
        <w:rPr>
          <w:rFonts w:hint="eastAsia"/>
        </w:rPr>
        <w:t xml:space="preserve">是依据受力及空间规律形成的构件组编号，并非截面尺寸等级。截面后的括号数字为截面库索引，便于计算模型复现。</w:t>
      </w:r>
    </w:p>
    <w:bookmarkStart w:id="33" w:name="原型一72-m20-kpa"/>
    <w:p>
      <w:pPr>
        <w:pStyle w:val="Heading4"/>
      </w:pPr>
      <w:r>
        <w:rPr>
          <w:rFonts w:hint="eastAsia"/>
        </w:rPr>
        <w:t xml:space="preserve">原型一：7.2</w:t>
      </w:r>
      <w:r>
        <w:t xml:space="preserve"> m、20 kPa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不分组方案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BOX-150x4（0）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SG1：BOX-150x4（0）；SG2：BOX-150x4（0）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H-150x100.0（8）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SG1：H-148x100.0（6）；SG2：H-148x100.0（6）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H-100x100.0（6）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SG1：H-96x99.0（5）；SG2：H-120x59.0（4）；SG3：H-95x48.0（0）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C-50x37x4.5（0）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SG1：C-50x37x4.5（0）；SG2：C-50x37x4.5（0）</w:t>
            </w:r>
          </w:p>
        </w:tc>
      </w:tr>
    </w:tbl>
    <w:bookmarkEnd w:id="33"/>
    <w:bookmarkStart w:id="34" w:name="原型二96-m35-kpa"/>
    <w:p>
      <w:pPr>
        <w:pStyle w:val="Heading4"/>
      </w:pPr>
      <w:r>
        <w:rPr>
          <w:rFonts w:hint="eastAsia"/>
        </w:rPr>
        <w:t xml:space="preserve">原型二：9.6</w:t>
      </w:r>
      <w:r>
        <w:t xml:space="preserve"> m、35 kPa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不分组方案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BOX-150x4（0）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SG1：BOX-150x4（0）；SG2：BOX-150x4（0）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H-150x150.0（10）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SG1：H-147x149.0（9）；SG2：H-147x149.0（9）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H-125x60.0（7）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SG1：H-95x48.0（0）；SG2：H-95x48.0（0）；SG3：H-95x48.0（0）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C-140x58x6.0（7）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SG1：C-140x58x6.0（7）；SG2：C-140x58x6.0（7）</w:t>
            </w:r>
          </w:p>
        </w:tc>
      </w:tr>
    </w:tbl>
    <w:bookmarkEnd w:id="34"/>
    <w:bookmarkStart w:id="35" w:name="原型三120-m40-kpa"/>
    <w:p>
      <w:pPr>
        <w:pStyle w:val="Heading4"/>
      </w:pPr>
      <w:r>
        <w:rPr>
          <w:rFonts w:hint="eastAsia"/>
        </w:rPr>
        <w:t xml:space="preserve">原型三：12.0</w:t>
      </w:r>
      <w:r>
        <w:t xml:space="preserve"> m、40 kPa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不分组方案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BOX-150x4（0）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SG1：BOX-150x4（0）；SG2：BOX-150x4（0）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H-150x150.0（10）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SG1：H-147x149.0（9）；SG2：H-150x150.0（10）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H-120x59.0（4）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SG1：H-95x48.0（0）；SG2：H-95x48.0（0）；SG3：H-95x48.0（0）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C-200x73x7.0（13）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SG1：C-160x63x6.5（9）；SG2：C-140x60x8.0（8）</w:t>
            </w:r>
          </w:p>
        </w:tc>
      </w:tr>
    </w:tbl>
    <w:bookmarkEnd w:id="35"/>
    <w:bookmarkEnd w:id="36"/>
    <w:bookmarkStart w:id="37" w:name="X336830b71b4db2bd68adfb82ac91ebe9b64808e"/>
    <w:p>
      <w:pPr>
        <w:pStyle w:val="Heading3"/>
      </w:pPr>
      <w:r>
        <w:t xml:space="preserve">5.4 </w:t>
      </w:r>
      <w:r>
        <w:rPr>
          <w:rFonts w:hint="eastAsia"/>
        </w:rPr>
        <w:t xml:space="preserve">结果认识</w:t>
      </w:r>
    </w:p>
    <w:p>
      <w:pPr>
        <w:pStyle w:val="FirstParagraph"/>
      </w:pPr>
      <w:r>
        <w:rPr>
          <w:rFonts w:hint="eastAsia"/>
        </w:rPr>
        <w:t xml:space="preserve">三个原型均获得了满足应力和位移要求的分组截面方案。在拓扑完全相同的条件下，分组方案较不分组方案进一步降低质量约8.0%～9.9%，说明同类构件内部确实存在可利用的受力差异。原型一的收益主要来自主梁和次梁细化；原型二主要来自主梁及次梁截面缩减；原型三则同时利用了主梁、次梁和支撑梁不同空间分组的需求差异。</w:t>
      </w:r>
    </w:p>
    <w:p>
      <w:pPr>
        <w:pStyle w:val="BodyText"/>
      </w:pPr>
      <w:r>
        <w:rPr>
          <w:rFonts w:hint="eastAsia"/>
        </w:rPr>
        <w:t xml:space="preserve">结果还表明，分组并不要求每个组最终都采用不同截面。当两个组的控制需求接近，或当前截面库粒度不足时，优化结果可能仍选择相同截面。这种结果不会削弱分组方法的合理性，而是说明算法只在存在明确节材收益且满足约束时才增加截面差异。</w:t>
      </w:r>
    </w:p>
    <w:p>
      <w:pPr>
        <w:pStyle w:val="BodyText"/>
      </w:pPr>
      <w:r>
        <w:rPr>
          <w:rFonts w:hint="eastAsia"/>
        </w:rPr>
        <w:t xml:space="preserve">案例同时说明，合理分组并不等于简单增加优化变量。真正有效的分组需要同时满足三点：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分组依据包含真实力学响应，能够区分高需求和低需求区域；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对称位置和相同结构作用的构件保持同组，保证工程协调性；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分组规则不依赖构件编号，能够适应拓扑变化并服务于后续优化。</w:t>
      </w:r>
    </w:p>
    <w:p>
      <w:pPr>
        <w:pStyle w:val="FirstParagraph"/>
      </w:pPr>
      <w:r>
        <w:rPr>
          <w:rFonts w:hint="eastAsia"/>
        </w:rPr>
        <w:t xml:space="preserve">当前方法已经形成“代表样本分析—稳定规则发现—新模型动态分组—拓扑与截面联合优化—有限元复核”的完整流程。下一阶段可进一步扩大代表样本范围、改进局部应力代理模型，并研究面向构造标准化的组数选择方法，在节材效果与加工安装便利性之间取得更合理的平衡。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2026-07-13T08:55:55Z</dcterms:created>
  <dcterms:modified xsi:type="dcterms:W3CDTF">2026-07-13T08:55:55Z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