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42DE5" w:rsidRDefault="003964B4" w:rsidP="00A1775C">
      <w:pPr>
        <w:spacing w:after="0"/>
        <w:jc w:val="center"/>
        <w:rPr>
          <w:b/>
          <w:bCs w:val="0"/>
        </w:rPr>
      </w:pPr>
      <w:r>
        <w:rPr>
          <w:b/>
          <w:bCs w:val="0"/>
        </w:rPr>
        <w:t>Нахождение центра масс с учетом и без учета звездной видимой величины</w:t>
      </w:r>
    </w:p>
    <w:p w:rsidR="003964B4" w:rsidRDefault="003964B4" w:rsidP="00A1775C">
      <w:pPr>
        <w:spacing w:after="0"/>
        <w:ind w:firstLine="708"/>
        <w:rPr>
          <w:lang w:val="en-US"/>
        </w:rPr>
      </w:pPr>
      <w:r>
        <w:t>Была поставлена задача посчитать центры масс созвездий в сферической системе координат. Для этого использовались формулы</w:t>
      </w:r>
      <w:r>
        <w:rPr>
          <w:lang w:val="en-US"/>
        </w:rPr>
        <w:t>:</w:t>
      </w:r>
    </w:p>
    <w:p w:rsidR="003964B4" w:rsidRPr="003964B4" w:rsidRDefault="003964B4" w:rsidP="00A1775C">
      <w:pPr>
        <w:pStyle w:val="a6"/>
        <w:numPr>
          <w:ilvl w:val="0"/>
          <w:numId w:val="1"/>
        </w:numPr>
        <w:spacing w:after="0"/>
      </w:pPr>
      <m:oMath>
        <m:r>
          <w:rPr>
            <w:rFonts w:ascii="Cambria Math" w:hAnsi="Cambria Math"/>
            <w:lang w:val="en-US"/>
          </w:rPr>
          <m:t>rc</m:t>
        </m:r>
        <m:r>
          <w:rPr>
            <w:rFonts w:ascii="Cambria Math" w:hAnsi="Cambria Math"/>
          </w:rPr>
          <m:t>(</m:t>
        </m:r>
        <m:r>
          <w:rPr>
            <w:rFonts w:ascii="Cambria Math" w:hAnsi="Cambria Math"/>
            <w:lang w:val="en-US"/>
          </w:rPr>
          <m:t>φ</m:t>
        </m:r>
        <m:r>
          <w:rPr>
            <w:rFonts w:ascii="Cambria Math" w:hAnsi="Cambria Math"/>
          </w:rPr>
          <m:t xml:space="preserve">)= </m:t>
        </m:r>
        <m:f>
          <m:fPr>
            <m:ctrlPr>
              <w:rPr>
                <w:rFonts w:ascii="Cambria Math" w:hAnsi="Cambria Math"/>
                <w:i/>
                <w:lang w:val="en-US"/>
              </w:rPr>
            </m:ctrlPr>
          </m:fPr>
          <m:num>
            <m:nary>
              <m:naryPr>
                <m:chr m:val="∑"/>
                <m:limLoc m:val="undOvr"/>
                <m:subHide m:val="1"/>
                <m:supHide m:val="1"/>
                <m:ctrlPr>
                  <w:rPr>
                    <w:rFonts w:ascii="Cambria Math" w:hAnsi="Cambria Math"/>
                    <w:i/>
                    <w:lang w:val="en-US"/>
                  </w:rPr>
                </m:ctrlPr>
              </m:naryPr>
              <m:sub/>
              <m:sup/>
              <m:e>
                <m:r>
                  <w:rPr>
                    <w:rFonts w:ascii="Cambria Math" w:hAnsi="Cambria Math"/>
                    <w:lang w:val="en-US"/>
                  </w:rPr>
                  <m:t>φ</m:t>
                </m:r>
              </m:e>
            </m:nary>
          </m:num>
          <m:den>
            <m:r>
              <w:rPr>
                <w:rFonts w:ascii="Cambria Math" w:hAnsi="Cambria Math"/>
                <w:lang w:val="en-US"/>
              </w:rPr>
              <m:t>n</m:t>
            </m:r>
          </m:den>
        </m:f>
      </m:oMath>
      <w:r w:rsidRPr="003964B4">
        <w:rPr>
          <w:rFonts w:eastAsiaTheme="minorEastAsia"/>
        </w:rPr>
        <w:t xml:space="preserve"> </w:t>
      </w:r>
      <w:r>
        <w:rPr>
          <w:rFonts w:eastAsiaTheme="minorEastAsia"/>
        </w:rPr>
        <w:t xml:space="preserve">и </w:t>
      </w:r>
      <m:oMath>
        <m:r>
          <w:rPr>
            <w:rFonts w:ascii="Cambria Math" w:eastAsiaTheme="minorEastAsia" w:hAnsi="Cambria Math"/>
          </w:rPr>
          <m:t>rc</m:t>
        </m:r>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 xml:space="preserve">= </m:t>
        </m:r>
        <m:f>
          <m:fPr>
            <m:ctrlPr>
              <w:rPr>
                <w:rFonts w:ascii="Cambria Math" w:eastAsiaTheme="minorEastAsia" w:hAnsi="Cambria Math"/>
                <w:i/>
              </w:rPr>
            </m:ctrlPr>
          </m:fPr>
          <m:num>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θ</m:t>
                </m:r>
              </m:e>
            </m:nary>
          </m:num>
          <m:den>
            <m:r>
              <w:rPr>
                <w:rFonts w:ascii="Cambria Math" w:eastAsiaTheme="minorEastAsia" w:hAnsi="Cambria Math"/>
              </w:rPr>
              <m:t>n</m:t>
            </m:r>
          </m:den>
        </m:f>
      </m:oMath>
      <w:r w:rsidRPr="003964B4">
        <w:rPr>
          <w:rFonts w:eastAsiaTheme="minorEastAsia"/>
        </w:rPr>
        <w:t xml:space="preserve"> , </w:t>
      </w:r>
      <w:r>
        <w:rPr>
          <w:rFonts w:eastAsiaTheme="minorEastAsia"/>
        </w:rPr>
        <w:t xml:space="preserve">где </w:t>
      </w:r>
      <m:oMath>
        <m:r>
          <w:rPr>
            <w:rFonts w:ascii="Cambria Math" w:hAnsi="Cambria Math"/>
            <w:lang w:val="en-US"/>
          </w:rPr>
          <m:t>φ</m:t>
        </m:r>
      </m:oMath>
      <w:r>
        <w:rPr>
          <w:rFonts w:eastAsiaTheme="minorEastAsia"/>
        </w:rPr>
        <w:t xml:space="preserve"> – прямое восхождение (</w:t>
      </w:r>
      <w:r>
        <w:rPr>
          <w:rFonts w:eastAsiaTheme="minorEastAsia"/>
          <w:lang w:val="en-US"/>
        </w:rPr>
        <w:t>RA</w:t>
      </w:r>
      <w:r w:rsidRPr="003964B4">
        <w:rPr>
          <w:rFonts w:eastAsiaTheme="minorEastAsia"/>
        </w:rPr>
        <w:t>)</w:t>
      </w:r>
      <w:r>
        <w:rPr>
          <w:rFonts w:eastAsiaTheme="minorEastAsia"/>
        </w:rPr>
        <w:t xml:space="preserve">, </w:t>
      </w:r>
      <m:oMath>
        <m:r>
          <w:rPr>
            <w:rFonts w:ascii="Cambria Math" w:eastAsiaTheme="minorEastAsia" w:hAnsi="Cambria Math"/>
          </w:rPr>
          <m:t>θ</m:t>
        </m:r>
      </m:oMath>
      <w:r>
        <w:rPr>
          <w:rFonts w:eastAsiaTheme="minorEastAsia"/>
        </w:rPr>
        <w:t xml:space="preserve"> – склонение (</w:t>
      </w:r>
      <w:r>
        <w:rPr>
          <w:rFonts w:eastAsiaTheme="minorEastAsia"/>
          <w:lang w:val="en-US"/>
        </w:rPr>
        <w:t>Dec</w:t>
      </w:r>
      <w:r>
        <w:rPr>
          <w:rFonts w:eastAsiaTheme="minorEastAsia"/>
        </w:rPr>
        <w:t xml:space="preserve">). </w:t>
      </w:r>
      <w:r w:rsidR="006118FF">
        <w:rPr>
          <w:rFonts w:eastAsiaTheme="minorEastAsia"/>
        </w:rPr>
        <w:t xml:space="preserve">В данном случае </w:t>
      </w:r>
      <w:r>
        <w:rPr>
          <w:rFonts w:eastAsiaTheme="minorEastAsia"/>
        </w:rPr>
        <w:t>будут получены 2 «координаты» центра массы без учета звездной видимой величины.</w:t>
      </w:r>
    </w:p>
    <w:p w:rsidR="003964B4" w:rsidRPr="006118FF" w:rsidRDefault="003964B4" w:rsidP="00A1775C">
      <w:pPr>
        <w:pStyle w:val="a6"/>
        <w:numPr>
          <w:ilvl w:val="0"/>
          <w:numId w:val="1"/>
        </w:numPr>
        <w:spacing w:after="0"/>
      </w:pPr>
      <m:oMath>
        <m:r>
          <w:rPr>
            <w:rFonts w:ascii="Cambria Math" w:hAnsi="Cambria Math"/>
            <w:lang w:val="en-US"/>
          </w:rPr>
          <m:t>rc</m:t>
        </m:r>
        <m:r>
          <w:rPr>
            <w:rFonts w:ascii="Cambria Math" w:hAnsi="Cambria Math"/>
          </w:rPr>
          <m:t>(</m:t>
        </m:r>
        <m:r>
          <w:rPr>
            <w:rFonts w:ascii="Cambria Math" w:hAnsi="Cambria Math"/>
            <w:lang w:val="en-US"/>
          </w:rPr>
          <m:t>φ</m:t>
        </m:r>
        <m:r>
          <w:rPr>
            <w:rFonts w:ascii="Cambria Math" w:hAnsi="Cambria Math"/>
          </w:rPr>
          <m:t xml:space="preserve">)= </m:t>
        </m:r>
        <m:f>
          <m:fPr>
            <m:ctrlPr>
              <w:rPr>
                <w:rFonts w:ascii="Cambria Math" w:hAnsi="Cambria Math"/>
                <w:i/>
                <w:lang w:val="en-US"/>
              </w:rPr>
            </m:ctrlPr>
          </m:fPr>
          <m:num>
            <m:nary>
              <m:naryPr>
                <m:chr m:val="∑"/>
                <m:limLoc m:val="undOvr"/>
                <m:subHide m:val="1"/>
                <m:supHide m:val="1"/>
                <m:ctrlPr>
                  <w:rPr>
                    <w:rFonts w:ascii="Cambria Math" w:hAnsi="Cambria Math"/>
                    <w:i/>
                    <w:lang w:val="en-US"/>
                  </w:rPr>
                </m:ctrlPr>
              </m:naryPr>
              <m:sub/>
              <m:sup/>
              <m:e>
                <m:r>
                  <w:rPr>
                    <w:rFonts w:ascii="Cambria Math" w:hAnsi="Cambria Math"/>
                    <w:lang w:val="en-US"/>
                  </w:rPr>
                  <m:t>φ</m:t>
                </m:r>
                <m:r>
                  <w:rPr>
                    <w:rFonts w:ascii="Cambria Math" w:hAnsi="Cambria Math"/>
                  </w:rPr>
                  <m:t>*</m:t>
                </m:r>
                <m:r>
                  <w:rPr>
                    <w:rFonts w:ascii="Cambria Math" w:hAnsi="Cambria Math"/>
                    <w:lang w:val="en-US"/>
                  </w:rPr>
                  <m:t>m</m:t>
                </m:r>
              </m:e>
            </m:nary>
          </m:num>
          <m:den>
            <m:nary>
              <m:naryPr>
                <m:chr m:val="∑"/>
                <m:limLoc m:val="undOvr"/>
                <m:subHide m:val="1"/>
                <m:supHide m:val="1"/>
                <m:ctrlPr>
                  <w:rPr>
                    <w:rFonts w:ascii="Cambria Math" w:hAnsi="Cambria Math"/>
                    <w:i/>
                    <w:lang w:val="en-US"/>
                  </w:rPr>
                </m:ctrlPr>
              </m:naryPr>
              <m:sub/>
              <m:sup/>
              <m:e>
                <m:r>
                  <w:rPr>
                    <w:rFonts w:ascii="Cambria Math" w:hAnsi="Cambria Math"/>
                    <w:lang w:val="en-US"/>
                  </w:rPr>
                  <m:t>m</m:t>
                </m:r>
              </m:e>
            </m:nary>
          </m:den>
        </m:f>
      </m:oMath>
      <w:r w:rsidRPr="003964B4">
        <w:rPr>
          <w:rFonts w:eastAsiaTheme="minorEastAsia"/>
        </w:rPr>
        <w:t xml:space="preserve"> </w:t>
      </w:r>
      <w:r>
        <w:rPr>
          <w:rFonts w:eastAsiaTheme="minorEastAsia"/>
        </w:rPr>
        <w:t xml:space="preserve">и </w:t>
      </w:r>
      <m:oMath>
        <m:r>
          <w:rPr>
            <w:rFonts w:ascii="Cambria Math" w:eastAsiaTheme="minorEastAsia" w:hAnsi="Cambria Math"/>
          </w:rPr>
          <m:t>rc</m:t>
        </m:r>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 xml:space="preserve">= </m:t>
        </m:r>
        <m:f>
          <m:fPr>
            <m:ctrlPr>
              <w:rPr>
                <w:rFonts w:ascii="Cambria Math" w:eastAsiaTheme="minorEastAsia" w:hAnsi="Cambria Math"/>
                <w:i/>
              </w:rPr>
            </m:ctrlPr>
          </m:fPr>
          <m:num>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θ*m</m:t>
                </m:r>
              </m:e>
            </m:nary>
          </m:num>
          <m:den>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m</m:t>
                </m:r>
              </m:e>
            </m:nary>
          </m:den>
        </m:f>
      </m:oMath>
      <w:r w:rsidRPr="003964B4">
        <w:rPr>
          <w:rFonts w:eastAsiaTheme="minorEastAsia"/>
        </w:rPr>
        <w:t xml:space="preserve"> , </w:t>
      </w:r>
      <w:r>
        <w:rPr>
          <w:rFonts w:eastAsiaTheme="minorEastAsia"/>
        </w:rPr>
        <w:t xml:space="preserve">где </w:t>
      </w:r>
      <m:oMath>
        <m:r>
          <w:rPr>
            <w:rFonts w:ascii="Cambria Math" w:hAnsi="Cambria Math"/>
            <w:lang w:val="en-US"/>
          </w:rPr>
          <m:t>φ</m:t>
        </m:r>
      </m:oMath>
      <w:r>
        <w:rPr>
          <w:rFonts w:eastAsiaTheme="minorEastAsia"/>
        </w:rPr>
        <w:t xml:space="preserve"> – прямое восхождение (</w:t>
      </w:r>
      <w:r>
        <w:rPr>
          <w:rFonts w:eastAsiaTheme="minorEastAsia"/>
          <w:lang w:val="en-US"/>
        </w:rPr>
        <w:t>RA</w:t>
      </w:r>
      <w:r w:rsidRPr="003964B4">
        <w:rPr>
          <w:rFonts w:eastAsiaTheme="minorEastAsia"/>
        </w:rPr>
        <w:t>)</w:t>
      </w:r>
      <w:r>
        <w:rPr>
          <w:rFonts w:eastAsiaTheme="minorEastAsia"/>
        </w:rPr>
        <w:t xml:space="preserve">, </w:t>
      </w:r>
      <m:oMath>
        <m:r>
          <w:rPr>
            <w:rFonts w:ascii="Cambria Math" w:eastAsiaTheme="minorEastAsia" w:hAnsi="Cambria Math"/>
          </w:rPr>
          <m:t>θ</m:t>
        </m:r>
      </m:oMath>
      <w:r>
        <w:rPr>
          <w:rFonts w:eastAsiaTheme="minorEastAsia"/>
        </w:rPr>
        <w:t xml:space="preserve"> – склонение (</w:t>
      </w:r>
      <w:r>
        <w:rPr>
          <w:rFonts w:eastAsiaTheme="minorEastAsia"/>
          <w:lang w:val="en-US"/>
        </w:rPr>
        <w:t>Dec</w:t>
      </w:r>
      <w:r>
        <w:rPr>
          <w:rFonts w:eastAsiaTheme="minorEastAsia"/>
        </w:rPr>
        <w:t>)</w:t>
      </w:r>
      <w:r w:rsidRPr="003964B4">
        <w:rPr>
          <w:rFonts w:eastAsiaTheme="minorEastAsia"/>
        </w:rPr>
        <w:t xml:space="preserve"> </w:t>
      </w:r>
      <w:r>
        <w:rPr>
          <w:rFonts w:eastAsiaTheme="minorEastAsia"/>
        </w:rPr>
        <w:t xml:space="preserve">и </w:t>
      </w:r>
      <w:r>
        <w:rPr>
          <w:rFonts w:eastAsiaTheme="minorEastAsia"/>
          <w:lang w:val="en-US"/>
        </w:rPr>
        <w:t>m</w:t>
      </w:r>
      <w:r w:rsidRPr="003964B4">
        <w:rPr>
          <w:rFonts w:eastAsiaTheme="minorEastAsia"/>
        </w:rPr>
        <w:t xml:space="preserve"> </w:t>
      </w:r>
      <w:r>
        <w:rPr>
          <w:rFonts w:eastAsiaTheme="minorEastAsia"/>
        </w:rPr>
        <w:t>–</w:t>
      </w:r>
      <w:r w:rsidRPr="003964B4">
        <w:rPr>
          <w:rFonts w:eastAsiaTheme="minorEastAsia"/>
        </w:rPr>
        <w:t xml:space="preserve"> </w:t>
      </w:r>
      <w:r>
        <w:rPr>
          <w:rFonts w:eastAsiaTheme="minorEastAsia"/>
        </w:rPr>
        <w:t xml:space="preserve">масса объекта, но в нашей системе было решено использовать другую величину для определения </w:t>
      </w:r>
      <w:r w:rsidR="006118FF">
        <w:rPr>
          <w:rFonts w:eastAsiaTheme="minorEastAsia"/>
        </w:rPr>
        <w:t>центра масс созвездий – видимая звездная величина (</w:t>
      </w:r>
      <w:r w:rsidR="006118FF">
        <w:rPr>
          <w:rFonts w:eastAsiaTheme="minorEastAsia"/>
          <w:lang w:val="en-US"/>
        </w:rPr>
        <w:t>vis</w:t>
      </w:r>
      <w:r w:rsidR="006118FF" w:rsidRPr="006118FF">
        <w:rPr>
          <w:rFonts w:eastAsiaTheme="minorEastAsia"/>
        </w:rPr>
        <w:t>.</w:t>
      </w:r>
      <w:r w:rsidR="006118FF">
        <w:rPr>
          <w:rFonts w:eastAsiaTheme="minorEastAsia"/>
          <w:lang w:val="en-US"/>
        </w:rPr>
        <w:t>mag</w:t>
      </w:r>
      <w:r w:rsidR="006118FF" w:rsidRPr="006118FF">
        <w:rPr>
          <w:rFonts w:eastAsiaTheme="minorEastAsia"/>
        </w:rPr>
        <w:t>.)</w:t>
      </w:r>
      <w:r w:rsidR="006118FF">
        <w:rPr>
          <w:rFonts w:eastAsiaTheme="minorEastAsia"/>
        </w:rPr>
        <w:t>. Чем ярче объект, тем меньше данное значение, однако было решено сделать так, чтобы значение звёздной видимой величины было пропорционально яркости объекта, чем больше значение, тем ярче звезда. Для этого перед вычислением была выполнена обработка</w:t>
      </w:r>
      <w:r w:rsidR="00463968" w:rsidRPr="00463968">
        <w:rPr>
          <w:rFonts w:eastAsiaTheme="minorEastAsia"/>
        </w:rPr>
        <w:t xml:space="preserve"> </w:t>
      </w:r>
      <w:r w:rsidR="006118FF">
        <w:rPr>
          <w:rFonts w:eastAsiaTheme="minorEastAsia"/>
        </w:rPr>
        <w:t>значени</w:t>
      </w:r>
      <w:r w:rsidR="00463968">
        <w:rPr>
          <w:rFonts w:eastAsiaTheme="minorEastAsia"/>
        </w:rPr>
        <w:t>й</w:t>
      </w:r>
      <w:r w:rsidR="006118FF">
        <w:rPr>
          <w:rFonts w:eastAsiaTheme="minorEastAsia"/>
        </w:rPr>
        <w:t xml:space="preserve"> </w:t>
      </w:r>
      <w:r w:rsidR="006118FF">
        <w:rPr>
          <w:rFonts w:eastAsiaTheme="minorEastAsia"/>
          <w:lang w:val="en-US"/>
        </w:rPr>
        <w:t>vis</w:t>
      </w:r>
      <w:r w:rsidR="006118FF" w:rsidRPr="006118FF">
        <w:rPr>
          <w:rFonts w:eastAsiaTheme="minorEastAsia"/>
        </w:rPr>
        <w:t>.</w:t>
      </w:r>
      <w:r w:rsidR="006118FF">
        <w:rPr>
          <w:rFonts w:eastAsiaTheme="minorEastAsia"/>
          <w:lang w:val="en-US"/>
        </w:rPr>
        <w:t>mag</w:t>
      </w:r>
      <w:r w:rsidR="006118FF" w:rsidRPr="006118FF">
        <w:rPr>
          <w:rFonts w:eastAsiaTheme="minorEastAsia"/>
        </w:rPr>
        <w:t xml:space="preserve">. </w:t>
      </w:r>
      <w:r w:rsidR="00463968">
        <w:rPr>
          <w:rFonts w:eastAsiaTheme="minorEastAsia"/>
        </w:rPr>
        <w:t xml:space="preserve">- </w:t>
      </w:r>
      <w:r w:rsidR="006118FF">
        <w:rPr>
          <w:rFonts w:eastAsiaTheme="minorEastAsia"/>
        </w:rPr>
        <w:t xml:space="preserve">умножались на -10 и увеличивались на 160 (при таких параметрах значения </w:t>
      </w:r>
      <w:r w:rsidR="006118FF">
        <w:rPr>
          <w:rFonts w:eastAsiaTheme="minorEastAsia"/>
          <w:lang w:val="en-US"/>
        </w:rPr>
        <w:t>vis</w:t>
      </w:r>
      <w:r w:rsidR="006118FF" w:rsidRPr="006118FF">
        <w:rPr>
          <w:rFonts w:eastAsiaTheme="minorEastAsia"/>
        </w:rPr>
        <w:t>.</w:t>
      </w:r>
      <w:r w:rsidR="006118FF">
        <w:rPr>
          <w:rFonts w:eastAsiaTheme="minorEastAsia"/>
          <w:lang w:val="en-US"/>
        </w:rPr>
        <w:t>mag</w:t>
      </w:r>
      <w:r w:rsidR="006118FF" w:rsidRPr="006118FF">
        <w:rPr>
          <w:rFonts w:eastAsiaTheme="minorEastAsia"/>
        </w:rPr>
        <w:t xml:space="preserve"> </w:t>
      </w:r>
      <w:r w:rsidR="006118FF">
        <w:rPr>
          <w:rFonts w:eastAsiaTheme="minorEastAsia"/>
        </w:rPr>
        <w:t>никогда не будет отрицательным).</w:t>
      </w:r>
    </w:p>
    <w:p w:rsidR="006118FF" w:rsidRDefault="006118FF" w:rsidP="00A1775C">
      <w:pPr>
        <w:pStyle w:val="a6"/>
        <w:spacing w:after="0"/>
        <w:ind w:left="0" w:firstLine="709"/>
      </w:pPr>
      <w:r>
        <w:t xml:space="preserve">На вход программы подавись данные всех созвездий </w:t>
      </w:r>
      <w:proofErr w:type="spellStart"/>
      <w:r>
        <w:t>спарсенных</w:t>
      </w:r>
      <w:proofErr w:type="spellEnd"/>
      <w:r>
        <w:t xml:space="preserve"> с английской странички вики в виде </w:t>
      </w:r>
      <w:r>
        <w:rPr>
          <w:lang w:val="en-US"/>
        </w:rPr>
        <w:t>csv</w:t>
      </w:r>
      <w:r w:rsidRPr="006118FF">
        <w:t xml:space="preserve"> </w:t>
      </w:r>
      <w:r>
        <w:t xml:space="preserve">файла. Из полученных документов для обработки изымались столбцы </w:t>
      </w:r>
      <w:r>
        <w:rPr>
          <w:lang w:val="en-US"/>
        </w:rPr>
        <w:t>RA</w:t>
      </w:r>
      <w:r w:rsidRPr="006118FF">
        <w:t xml:space="preserve">, </w:t>
      </w:r>
      <w:r>
        <w:rPr>
          <w:lang w:val="en-US"/>
        </w:rPr>
        <w:t>Dec</w:t>
      </w:r>
      <w:r w:rsidRPr="006118FF">
        <w:t xml:space="preserve">, </w:t>
      </w:r>
      <w:r>
        <w:rPr>
          <w:lang w:val="en-US"/>
        </w:rPr>
        <w:t>vis</w:t>
      </w:r>
      <w:r w:rsidRPr="006118FF">
        <w:t>.</w:t>
      </w:r>
      <w:r>
        <w:rPr>
          <w:lang w:val="en-US"/>
        </w:rPr>
        <w:t>mag</w:t>
      </w:r>
      <w:r w:rsidRPr="006118FF">
        <w:t xml:space="preserve"> (</w:t>
      </w:r>
      <w:r>
        <w:rPr>
          <w:lang w:val="en-US"/>
        </w:rPr>
        <w:t>RA</w:t>
      </w:r>
      <w:r w:rsidRPr="006118FF">
        <w:t xml:space="preserve"> </w:t>
      </w:r>
      <w:r>
        <w:t xml:space="preserve">и </w:t>
      </w:r>
      <w:r>
        <w:rPr>
          <w:lang w:val="en-US"/>
        </w:rPr>
        <w:t>Dec</w:t>
      </w:r>
      <w:r w:rsidRPr="006118FF">
        <w:t xml:space="preserve"> </w:t>
      </w:r>
      <w:r>
        <w:t xml:space="preserve">предварительно переведены в градусы и тип </w:t>
      </w:r>
      <w:r>
        <w:rPr>
          <w:lang w:val="en-US"/>
        </w:rPr>
        <w:t>float</w:t>
      </w:r>
      <w:r>
        <w:t>). Далее данные прогоняются по формулам</w:t>
      </w:r>
      <w:r w:rsidR="000B7993">
        <w:t xml:space="preserve"> (1, 2)</w:t>
      </w:r>
      <w:r>
        <w:t xml:space="preserve"> и выводятся в отдельные </w:t>
      </w:r>
      <w:r>
        <w:rPr>
          <w:lang w:val="en-US"/>
        </w:rPr>
        <w:t>csv</w:t>
      </w:r>
      <w:r w:rsidRPr="006118FF">
        <w:t xml:space="preserve"> </w:t>
      </w:r>
      <w:r>
        <w:t>файлы – с учетом звездной видимой величины и без учета.</w:t>
      </w:r>
    </w:p>
    <w:p w:rsidR="00915FEB" w:rsidRPr="000F678D" w:rsidRDefault="00915FEB" w:rsidP="00A1775C">
      <w:pPr>
        <w:pStyle w:val="a6"/>
        <w:spacing w:after="0"/>
        <w:ind w:left="0" w:firstLine="709"/>
        <w:rPr>
          <w:u w:val="single"/>
        </w:rPr>
      </w:pPr>
      <w:r>
        <w:t>В процессе выполнения была обнаружена одна особенность – значения с учетом звездной величины и без учета получились практически одинаковыми, благодаря этому для дальнейших операций можно использовать только значения, полученные с учетом видимой звездной величины. Но чтобы использовать данное условие к нашей системе, необходимо было проверить все значения центра масс для всех созвездий. Результат в процентах представлен на рисунке 1.</w:t>
      </w:r>
      <w:r w:rsidR="000B7993">
        <w:t xml:space="preserve"> </w:t>
      </w:r>
    </w:p>
    <w:p w:rsidR="00915FEB" w:rsidRDefault="00463968" w:rsidP="00A1775C">
      <w:pPr>
        <w:spacing w:after="0"/>
        <w:jc w:val="center"/>
      </w:pPr>
      <w:r>
        <w:rPr>
          <w:noProof/>
        </w:rPr>
        <w:lastRenderedPageBreak/>
        <w:drawing>
          <wp:inline distT="0" distB="0" distL="0" distR="0" wp14:anchorId="54ECD78F" wp14:editId="37D4BF4D">
            <wp:extent cx="5940425" cy="3794760"/>
            <wp:effectExtent l="0" t="0" r="3175" b="0"/>
            <wp:docPr id="72350472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504728" name=""/>
                    <pic:cNvPicPr/>
                  </pic:nvPicPr>
                  <pic:blipFill>
                    <a:blip r:embed="rId5"/>
                    <a:stretch>
                      <a:fillRect/>
                    </a:stretch>
                  </pic:blipFill>
                  <pic:spPr>
                    <a:xfrm>
                      <a:off x="0" y="0"/>
                      <a:ext cx="5940425" cy="3794760"/>
                    </a:xfrm>
                    <a:prstGeom prst="rect">
                      <a:avLst/>
                    </a:prstGeom>
                  </pic:spPr>
                </pic:pic>
              </a:graphicData>
            </a:graphic>
          </wp:inline>
        </w:drawing>
      </w:r>
    </w:p>
    <w:p w:rsidR="00915FEB" w:rsidRDefault="00915FEB" w:rsidP="00A1775C">
      <w:pPr>
        <w:spacing w:after="0"/>
        <w:jc w:val="center"/>
      </w:pPr>
      <w:r>
        <w:t>Рисунок 1 – Эффективность значений с учетом видимой звездной величины и без</w:t>
      </w:r>
    </w:p>
    <w:p w:rsidR="00915FEB" w:rsidRPr="00463968" w:rsidRDefault="00915FEB" w:rsidP="00A1775C">
      <w:pPr>
        <w:spacing w:after="0"/>
        <w:ind w:firstLine="709"/>
        <w:rPr>
          <w:b/>
          <w:bCs w:val="0"/>
        </w:rPr>
      </w:pPr>
      <w:r>
        <w:t xml:space="preserve">Из рисунка 1 видно, что среди всех созвездий есть </w:t>
      </w:r>
      <w:r w:rsidR="00463968">
        <w:t>5</w:t>
      </w:r>
      <w:r>
        <w:t xml:space="preserve"> таких, у которых наблюдаются скачки больше 4</w:t>
      </w:r>
      <w:r w:rsidRPr="00915FEB">
        <w:t>%</w:t>
      </w:r>
      <w:r>
        <w:t xml:space="preserve">. Это связано с тем, что </w:t>
      </w:r>
      <w:r w:rsidR="00C913CC">
        <w:t xml:space="preserve">объекты </w:t>
      </w:r>
      <w:r>
        <w:t>д</w:t>
      </w:r>
      <w:r w:rsidR="00C913CC">
        <w:t>а</w:t>
      </w:r>
      <w:r>
        <w:t>нны</w:t>
      </w:r>
      <w:r w:rsidR="00C913CC">
        <w:t>х</w:t>
      </w:r>
      <w:r>
        <w:t xml:space="preserve"> созвезди</w:t>
      </w:r>
      <w:r w:rsidR="00C913CC">
        <w:t>й сгруппированы</w:t>
      </w:r>
      <w:r w:rsidR="00463968">
        <w:t xml:space="preserve"> (в виде скопления)</w:t>
      </w:r>
      <w:r>
        <w:t xml:space="preserve"> относительно нас</w:t>
      </w:r>
      <w:r w:rsidR="00C913CC">
        <w:t>. С учетом того, что остальные созвездия</w:t>
      </w:r>
      <w:r>
        <w:t xml:space="preserve"> </w:t>
      </w:r>
      <w:r w:rsidR="00C913CC">
        <w:t>8</w:t>
      </w:r>
      <w:r w:rsidR="00463968">
        <w:t>3</w:t>
      </w:r>
      <w:r w:rsidR="00C913CC">
        <w:t xml:space="preserve"> созвездия из 88 практически удовлетворяют нашему условию, данные «аномальные» созвездия было решено исключить из нашей системы.</w:t>
      </w:r>
      <w:r w:rsidR="00463968">
        <w:t xml:space="preserve"> </w:t>
      </w:r>
      <w:r w:rsidR="00463968" w:rsidRPr="00463968">
        <w:rPr>
          <w:b/>
          <w:bCs w:val="0"/>
          <w:lang w:val="en-US"/>
        </w:rPr>
        <w:t>P</w:t>
      </w:r>
      <w:r w:rsidR="00463968" w:rsidRPr="00463968">
        <w:rPr>
          <w:b/>
          <w:bCs w:val="0"/>
        </w:rPr>
        <w:t>.</w:t>
      </w:r>
      <w:r w:rsidR="00463968" w:rsidRPr="00463968">
        <w:rPr>
          <w:b/>
          <w:bCs w:val="0"/>
          <w:lang w:val="en-US"/>
        </w:rPr>
        <w:t>S</w:t>
      </w:r>
      <w:r w:rsidR="00463968" w:rsidRPr="00463968">
        <w:rPr>
          <w:b/>
          <w:bCs w:val="0"/>
        </w:rPr>
        <w:t xml:space="preserve">. Значение </w:t>
      </w:r>
      <w:r w:rsidR="00463968" w:rsidRPr="00463968">
        <w:rPr>
          <w:b/>
          <w:bCs w:val="0"/>
          <w:lang w:val="en-US"/>
        </w:rPr>
        <w:t>phi</w:t>
      </w:r>
      <w:r w:rsidR="00463968" w:rsidRPr="00463968">
        <w:rPr>
          <w:b/>
          <w:bCs w:val="0"/>
        </w:rPr>
        <w:t xml:space="preserve"> созвездия </w:t>
      </w:r>
      <w:r w:rsidR="00463968" w:rsidRPr="00463968">
        <w:rPr>
          <w:b/>
          <w:bCs w:val="0"/>
          <w:lang w:val="en-US"/>
        </w:rPr>
        <w:t>Sculptor</w:t>
      </w:r>
      <w:r w:rsidR="00463968" w:rsidRPr="00463968">
        <w:rPr>
          <w:b/>
          <w:bCs w:val="0"/>
        </w:rPr>
        <w:t xml:space="preserve"> было занижено, так как оно получалось слишком большим из-за чего график был читаем.</w:t>
      </w:r>
    </w:p>
    <w:p w:rsidR="000B7993" w:rsidRPr="00EC2A58" w:rsidRDefault="000B7993" w:rsidP="00EC2A58">
      <w:pPr>
        <w:ind w:firstLine="708"/>
      </w:pPr>
    </w:p>
    <w:sectPr w:rsidR="000B7993" w:rsidRPr="00EC2A5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5399A"/>
    <w:multiLevelType w:val="hybridMultilevel"/>
    <w:tmpl w:val="FC84FAEE"/>
    <w:lvl w:ilvl="0" w:tplc="4C5E31A6">
      <w:start w:val="1"/>
      <w:numFmt w:val="decimal"/>
      <w:suff w:val="space"/>
      <w:lvlText w:val="%1)"/>
      <w:lvlJc w:val="left"/>
      <w:pPr>
        <w:ind w:left="0" w:firstLine="708"/>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16cid:durableId="1865435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4B4"/>
    <w:rsid w:val="000B7993"/>
    <w:rsid w:val="000F678D"/>
    <w:rsid w:val="003964B4"/>
    <w:rsid w:val="00403757"/>
    <w:rsid w:val="00463968"/>
    <w:rsid w:val="00573697"/>
    <w:rsid w:val="006118FF"/>
    <w:rsid w:val="0061342F"/>
    <w:rsid w:val="00915FEB"/>
    <w:rsid w:val="00A1775C"/>
    <w:rsid w:val="00A34DC4"/>
    <w:rsid w:val="00B42DE5"/>
    <w:rsid w:val="00C913CC"/>
    <w:rsid w:val="00EC2A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DF787"/>
  <w15:chartTrackingRefBased/>
  <w15:docId w15:val="{FA97AC57-7AD1-4A70-80EA-F4D3F6B68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Cs/>
        <w:kern w:val="2"/>
        <w:sz w:val="28"/>
        <w:szCs w:val="28"/>
        <w:lang w:val="ru-RU" w:eastAsia="en-US" w:bidi="ar-SA"/>
        <w14:ligatures w14:val="standardContextual"/>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aliases w:val="Заголовок_общий"/>
    <w:basedOn w:val="a"/>
    <w:next w:val="a"/>
    <w:link w:val="10"/>
    <w:uiPriority w:val="9"/>
    <w:qFormat/>
    <w:rsid w:val="00A34DC4"/>
    <w:pPr>
      <w:keepNext/>
      <w:keepLines/>
      <w:spacing w:before="240" w:after="0"/>
      <w:jc w:val="center"/>
      <w:outlineLvl w:val="0"/>
    </w:pPr>
    <w:rPr>
      <w:rFonts w:eastAsiaTheme="majorEastAsia" w:cstheme="majorBidi"/>
      <w:b/>
      <w:bCs w:val="0"/>
      <w:sz w:val="32"/>
      <w:szCs w:val="32"/>
      <w:lang w:eastAsia="ru-RU"/>
    </w:rPr>
  </w:style>
  <w:style w:type="paragraph" w:styleId="2">
    <w:name w:val="heading 2"/>
    <w:aliases w:val="Заголовок_раздел"/>
    <w:basedOn w:val="a"/>
    <w:next w:val="a"/>
    <w:link w:val="20"/>
    <w:uiPriority w:val="9"/>
    <w:semiHidden/>
    <w:unhideWhenUsed/>
    <w:qFormat/>
    <w:rsid w:val="00A34DC4"/>
    <w:pPr>
      <w:keepNext/>
      <w:keepLines/>
      <w:spacing w:before="40" w:after="0"/>
      <w:outlineLvl w:val="1"/>
    </w:pPr>
    <w:rPr>
      <w:rFonts w:eastAsiaTheme="majorEastAsia" w:cstheme="majorBidi"/>
      <w:b/>
      <w:bCs w:val="0"/>
      <w:sz w:val="32"/>
      <w:szCs w:val="2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Заголовок_общий Знак"/>
    <w:basedOn w:val="a0"/>
    <w:link w:val="1"/>
    <w:uiPriority w:val="9"/>
    <w:rsid w:val="00A34DC4"/>
    <w:rPr>
      <w:rFonts w:eastAsiaTheme="majorEastAsia" w:cstheme="majorBidi"/>
      <w:b/>
      <w:bCs w:val="0"/>
      <w:sz w:val="32"/>
      <w:szCs w:val="32"/>
      <w:lang w:eastAsia="ru-RU"/>
    </w:rPr>
  </w:style>
  <w:style w:type="character" w:customStyle="1" w:styleId="20">
    <w:name w:val="Заголовок 2 Знак"/>
    <w:aliases w:val="Заголовок_раздел Знак"/>
    <w:basedOn w:val="a0"/>
    <w:link w:val="2"/>
    <w:uiPriority w:val="9"/>
    <w:semiHidden/>
    <w:rsid w:val="00A34DC4"/>
    <w:rPr>
      <w:rFonts w:eastAsiaTheme="majorEastAsia" w:cstheme="majorBidi"/>
      <w:b/>
      <w:bCs w:val="0"/>
      <w:sz w:val="32"/>
      <w:szCs w:val="26"/>
      <w:lang w:eastAsia="ru-RU"/>
    </w:rPr>
  </w:style>
  <w:style w:type="paragraph" w:styleId="a3">
    <w:name w:val="Title"/>
    <w:aliases w:val="Заголовок_подраздел"/>
    <w:basedOn w:val="a"/>
    <w:next w:val="a"/>
    <w:link w:val="a4"/>
    <w:uiPriority w:val="10"/>
    <w:qFormat/>
    <w:rsid w:val="00A34DC4"/>
    <w:pPr>
      <w:spacing w:after="0"/>
      <w:contextualSpacing/>
    </w:pPr>
    <w:rPr>
      <w:rFonts w:eastAsiaTheme="majorEastAsia" w:cstheme="majorBidi"/>
      <w:b/>
      <w:bCs w:val="0"/>
      <w:spacing w:val="-10"/>
      <w:kern w:val="28"/>
      <w:szCs w:val="56"/>
      <w:lang w:eastAsia="ru-RU"/>
    </w:rPr>
  </w:style>
  <w:style w:type="character" w:customStyle="1" w:styleId="a4">
    <w:name w:val="Заголовок Знак"/>
    <w:aliases w:val="Заголовок_подраздел Знак"/>
    <w:basedOn w:val="a0"/>
    <w:link w:val="a3"/>
    <w:uiPriority w:val="10"/>
    <w:rsid w:val="00A34DC4"/>
    <w:rPr>
      <w:rFonts w:eastAsiaTheme="majorEastAsia" w:cstheme="majorBidi"/>
      <w:b/>
      <w:bCs w:val="0"/>
      <w:spacing w:val="-10"/>
      <w:kern w:val="28"/>
      <w:szCs w:val="56"/>
      <w:lang w:eastAsia="ru-RU"/>
    </w:rPr>
  </w:style>
  <w:style w:type="paragraph" w:styleId="a5">
    <w:name w:val="No Spacing"/>
    <w:aliases w:val="Обычный текст"/>
    <w:basedOn w:val="a"/>
    <w:next w:val="a"/>
    <w:uiPriority w:val="1"/>
    <w:qFormat/>
    <w:rsid w:val="00A34DC4"/>
    <w:pPr>
      <w:spacing w:after="0"/>
    </w:pPr>
    <w:rPr>
      <w:rFonts w:eastAsia="Times New Roman"/>
      <w:szCs w:val="24"/>
      <w:lang w:eastAsia="ru-RU"/>
    </w:rPr>
  </w:style>
  <w:style w:type="paragraph" w:styleId="a6">
    <w:name w:val="List Paragraph"/>
    <w:basedOn w:val="a"/>
    <w:uiPriority w:val="34"/>
    <w:qFormat/>
    <w:rsid w:val="003964B4"/>
    <w:pPr>
      <w:ind w:left="720"/>
      <w:contextualSpacing/>
    </w:pPr>
  </w:style>
  <w:style w:type="character" w:styleId="a7">
    <w:name w:val="Placeholder Text"/>
    <w:basedOn w:val="a0"/>
    <w:uiPriority w:val="99"/>
    <w:semiHidden/>
    <w:rsid w:val="003964B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361</Words>
  <Characters>2061</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 Бобров</dc:creator>
  <cp:keywords/>
  <dc:description/>
  <cp:lastModifiedBy>Данил Бобров</cp:lastModifiedBy>
  <cp:revision>6</cp:revision>
  <dcterms:created xsi:type="dcterms:W3CDTF">2023-03-31T00:26:00Z</dcterms:created>
  <dcterms:modified xsi:type="dcterms:W3CDTF">2023-05-22T11:43:00Z</dcterms:modified>
</cp:coreProperties>
</file>