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14" w:rsidRDefault="00131931" w:rsidP="00421FE6">
      <w:pPr>
        <w:pStyle w:val="Heading1"/>
      </w:pPr>
      <w:r>
        <w:t>Paging System</w:t>
      </w:r>
    </w:p>
    <w:p w:rsidR="00341BFC" w:rsidRDefault="00341BFC" w:rsidP="001B7B99">
      <w:pPr>
        <w:spacing w:line="360" w:lineRule="auto"/>
        <w:ind w:left="720"/>
      </w:pPr>
      <w:r>
        <w:t>The paging system is capable of mapping the entire 64 bit address space. A multi-level system of page directories and subdirectories is used.</w:t>
      </w:r>
      <w:r w:rsidR="00234EC6">
        <w:t xml:space="preserve"> In most cases the address space mapped will be less than a full 64 bit address space. The paging system accommodates this by using a small</w:t>
      </w:r>
      <w:r w:rsidR="00421FE6">
        <w:t>er</w:t>
      </w:r>
      <w:r w:rsidR="00234EC6">
        <w:t xml:space="preserve"> directory hierarchy.</w:t>
      </w:r>
      <w:r w:rsidR="00421FE6">
        <w:t xml:space="preserve"> For instance, if an application is less than 1GB in size, a two level page system is used. If the application can fit within 2MB only a single level is required. The depth of the directory system is controllable on an application basis.</w:t>
      </w:r>
      <w:r w:rsidR="00513F0A">
        <w:t xml:space="preserve"> </w:t>
      </w:r>
      <w:r w:rsidR="00405B91">
        <w:t>T</w:t>
      </w:r>
      <w:r w:rsidR="00513F0A">
        <w:t>he page memory management unit takes care of walking the page tables in hardware in order to find a translation. Translations are stored in a translation look</w:t>
      </w:r>
      <w:r w:rsidR="00405B91">
        <w:t>-</w:t>
      </w:r>
      <w:r w:rsidR="00513F0A">
        <w:t>aside buffer (TLB</w:t>
      </w:r>
      <w:r w:rsidR="00405B91">
        <w:t>) which is a translation cache, so that the page tables don’t have to be walked for every translation.</w:t>
      </w:r>
    </w:p>
    <w:p w:rsidR="00AE62F4" w:rsidRDefault="00AE62F4" w:rsidP="001B7B99">
      <w:pPr>
        <w:spacing w:line="360" w:lineRule="auto"/>
        <w:ind w:left="720"/>
      </w:pPr>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EE31EC" w:rsidRDefault="00EE31EC" w:rsidP="00EE31EC">
      <w:pPr>
        <w:pStyle w:val="Heading2"/>
      </w:pPr>
      <w:r>
        <w:lastRenderedPageBreak/>
        <w:t>Page Tables</w:t>
      </w:r>
    </w:p>
    <w:p w:rsidR="00EE31EC" w:rsidRDefault="00EE31EC" w:rsidP="001B7B99">
      <w:pPr>
        <w:spacing w:line="360" w:lineRule="auto"/>
        <w:ind w:left="720"/>
      </w:pPr>
      <w:r>
        <w:t>Page tables are 4kB in size and contain 512, 8 byte entries. The page table format is the same for both page directories, and page mapping tables.</w:t>
      </w:r>
    </w:p>
    <w:p w:rsidR="00341BFC" w:rsidRDefault="00341BFC" w:rsidP="00421FE6">
      <w:pPr>
        <w:pStyle w:val="Heading2"/>
      </w:pPr>
      <w:r>
        <w:t>The Page Table Address Register</w:t>
      </w:r>
    </w:p>
    <w:p w:rsidR="00341BFC" w:rsidRDefault="00341BFC" w:rsidP="001B7B99">
      <w:pPr>
        <w:spacing w:line="360" w:lineRule="auto"/>
        <w:ind w:left="720"/>
      </w:pPr>
      <w:r>
        <w:t>This register contains the base address of the page table in memory. The page table must be aligned on a 4kB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341BFC" w:rsidTr="00341BFC">
        <w:tc>
          <w:tcPr>
            <w:tcW w:w="6051" w:type="dxa"/>
          </w:tcPr>
          <w:p w:rsidR="00341BFC" w:rsidRDefault="00341BFC" w:rsidP="00341BFC">
            <w:pPr>
              <w:jc w:val="center"/>
            </w:pPr>
            <w:r>
              <w:t>Address</w:t>
            </w:r>
            <w:r w:rsidRPr="00341BFC">
              <w:rPr>
                <w:vertAlign w:val="subscript"/>
              </w:rPr>
              <w:t>63</w:t>
            </w:r>
            <w:proofErr w:type="gramStart"/>
            <w:r w:rsidRPr="00341BFC">
              <w:rPr>
                <w:vertAlign w:val="subscript"/>
              </w:rPr>
              <w:t>..</w:t>
            </w:r>
            <w:proofErr w:type="gramEnd"/>
            <w:r w:rsidRPr="00341BFC">
              <w:rPr>
                <w:vertAlign w:val="subscript"/>
              </w:rPr>
              <w:t>12</w:t>
            </w:r>
          </w:p>
        </w:tc>
        <w:tc>
          <w:tcPr>
            <w:tcW w:w="1559" w:type="dxa"/>
            <w:shd w:val="clear" w:color="auto" w:fill="D9D9D9" w:themeFill="background1" w:themeFillShade="D9"/>
          </w:tcPr>
          <w:p w:rsidR="00341BFC" w:rsidRDefault="00341BFC" w:rsidP="00341BFC">
            <w:pPr>
              <w:jc w:val="center"/>
            </w:pPr>
            <w:r>
              <w:t>~</w:t>
            </w:r>
            <w:r w:rsidRPr="00341BFC">
              <w:rPr>
                <w:vertAlign w:val="subscript"/>
              </w:rPr>
              <w:t>9</w:t>
            </w:r>
          </w:p>
        </w:tc>
        <w:tc>
          <w:tcPr>
            <w:tcW w:w="567" w:type="dxa"/>
          </w:tcPr>
          <w:p w:rsidR="00341BFC" w:rsidRDefault="00341BFC" w:rsidP="00341BFC">
            <w:pPr>
              <w:jc w:val="center"/>
            </w:pPr>
            <w:r>
              <w:t>TS</w:t>
            </w:r>
            <w:r w:rsidRPr="00341BFC">
              <w:rPr>
                <w:vertAlign w:val="subscript"/>
              </w:rPr>
              <w:t>3</w:t>
            </w:r>
          </w:p>
        </w:tc>
      </w:tr>
    </w:tbl>
    <w:p w:rsidR="00131931" w:rsidRDefault="00131931"/>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341BFC" w:rsidTr="00341BFC">
        <w:tc>
          <w:tcPr>
            <w:tcW w:w="806" w:type="dxa"/>
          </w:tcPr>
          <w:p w:rsidR="00341BFC" w:rsidRDefault="00341BFC" w:rsidP="00341BFC">
            <w:pPr>
              <w:jc w:val="center"/>
            </w:pPr>
            <w:r>
              <w:t>TS</w:t>
            </w:r>
            <w:r w:rsidRPr="00341BFC">
              <w:rPr>
                <w:vertAlign w:val="subscript"/>
              </w:rPr>
              <w:t>3</w:t>
            </w:r>
          </w:p>
        </w:tc>
        <w:tc>
          <w:tcPr>
            <w:tcW w:w="2693" w:type="dxa"/>
          </w:tcPr>
          <w:p w:rsidR="00341BFC" w:rsidRDefault="00341BFC" w:rsidP="00341BFC">
            <w:r>
              <w:t>Translation Space</w:t>
            </w:r>
          </w:p>
        </w:tc>
        <w:tc>
          <w:tcPr>
            <w:tcW w:w="4678" w:type="dxa"/>
            <w:gridSpan w:val="6"/>
          </w:tcPr>
          <w:p w:rsidR="00341BFC" w:rsidRDefault="00EB09A9" w:rsidP="00341BFC">
            <w:r>
              <w:t>Address Processed</w:t>
            </w:r>
          </w:p>
        </w:tc>
      </w:tr>
      <w:tr w:rsidR="007A2013" w:rsidTr="00EB09A9">
        <w:tc>
          <w:tcPr>
            <w:tcW w:w="806" w:type="dxa"/>
          </w:tcPr>
          <w:p w:rsidR="007A2013" w:rsidRDefault="007A2013" w:rsidP="00341BFC">
            <w:pPr>
              <w:jc w:val="center"/>
            </w:pPr>
            <w:r>
              <w:t>0</w:t>
            </w:r>
          </w:p>
        </w:tc>
        <w:tc>
          <w:tcPr>
            <w:tcW w:w="2693" w:type="dxa"/>
          </w:tcPr>
          <w:p w:rsidR="007A2013" w:rsidRDefault="007A2013" w:rsidP="00341BFC">
            <w:r>
              <w:t>2MB</w:t>
            </w:r>
          </w:p>
        </w:tc>
        <w:tc>
          <w:tcPr>
            <w:tcW w:w="3119" w:type="dxa"/>
            <w:gridSpan w:val="5"/>
          </w:tcPr>
          <w:p w:rsidR="007A2013" w:rsidRDefault="007A2013" w:rsidP="00341BFC"/>
        </w:tc>
        <w:tc>
          <w:tcPr>
            <w:tcW w:w="1559" w:type="dxa"/>
          </w:tcPr>
          <w:p w:rsidR="007A2013" w:rsidRDefault="00EB09A9" w:rsidP="00EB09A9">
            <w:pPr>
              <w:jc w:val="center"/>
            </w:pPr>
            <w:r>
              <w:t>Address</w:t>
            </w:r>
            <w:r w:rsidRPr="00EB09A9">
              <w:rPr>
                <w:vertAlign w:val="subscript"/>
              </w:rPr>
              <w:t>20</w:t>
            </w:r>
            <w:proofErr w:type="gramStart"/>
            <w:r w:rsidRPr="00EB09A9">
              <w:rPr>
                <w:vertAlign w:val="subscript"/>
              </w:rPr>
              <w:t>..</w:t>
            </w:r>
            <w:proofErr w:type="gramEnd"/>
            <w:r w:rsidRPr="00EB09A9">
              <w:rPr>
                <w:vertAlign w:val="subscript"/>
              </w:rPr>
              <w:t>12</w:t>
            </w:r>
          </w:p>
        </w:tc>
      </w:tr>
      <w:tr w:rsidR="00EB09A9" w:rsidTr="00EB09A9">
        <w:tc>
          <w:tcPr>
            <w:tcW w:w="806" w:type="dxa"/>
          </w:tcPr>
          <w:p w:rsidR="00EB09A9" w:rsidRDefault="00EB09A9" w:rsidP="00341BFC">
            <w:pPr>
              <w:jc w:val="center"/>
            </w:pPr>
            <w:r>
              <w:t>1</w:t>
            </w:r>
          </w:p>
        </w:tc>
        <w:tc>
          <w:tcPr>
            <w:tcW w:w="2693" w:type="dxa"/>
          </w:tcPr>
          <w:p w:rsidR="00EB09A9" w:rsidRDefault="00EB09A9" w:rsidP="00341BFC">
            <w:r>
              <w:t>1GB</w:t>
            </w:r>
          </w:p>
        </w:tc>
        <w:tc>
          <w:tcPr>
            <w:tcW w:w="2552" w:type="dxa"/>
            <w:gridSpan w:val="4"/>
          </w:tcPr>
          <w:p w:rsidR="00EB09A9" w:rsidRDefault="00EB09A9" w:rsidP="00341BFC"/>
        </w:tc>
        <w:tc>
          <w:tcPr>
            <w:tcW w:w="2126" w:type="dxa"/>
            <w:gridSpan w:val="2"/>
          </w:tcPr>
          <w:p w:rsidR="00EB09A9" w:rsidRDefault="00EB09A9" w:rsidP="00EB09A9">
            <w:pPr>
              <w:jc w:val="center"/>
            </w:pPr>
            <w:r>
              <w:t>Address</w:t>
            </w:r>
            <w:r w:rsidRPr="00EB09A9">
              <w:rPr>
                <w:vertAlign w:val="subscript"/>
              </w:rPr>
              <w:t>29</w:t>
            </w:r>
            <w:proofErr w:type="gramStart"/>
            <w:r w:rsidRPr="00EB09A9">
              <w:rPr>
                <w:vertAlign w:val="subscript"/>
              </w:rPr>
              <w:t>..</w:t>
            </w:r>
            <w:proofErr w:type="gramEnd"/>
            <w:r w:rsidRPr="00EB09A9">
              <w:rPr>
                <w:vertAlign w:val="subscript"/>
              </w:rPr>
              <w:t>12</w:t>
            </w:r>
          </w:p>
        </w:tc>
      </w:tr>
      <w:tr w:rsidR="00EB09A9" w:rsidTr="00EB09A9">
        <w:tc>
          <w:tcPr>
            <w:tcW w:w="806" w:type="dxa"/>
          </w:tcPr>
          <w:p w:rsidR="00EB09A9" w:rsidRDefault="00EB09A9" w:rsidP="00341BFC">
            <w:pPr>
              <w:jc w:val="center"/>
            </w:pPr>
            <w:r>
              <w:t>2</w:t>
            </w:r>
          </w:p>
        </w:tc>
        <w:tc>
          <w:tcPr>
            <w:tcW w:w="2693" w:type="dxa"/>
          </w:tcPr>
          <w:p w:rsidR="00EB09A9" w:rsidRDefault="00EB09A9" w:rsidP="00341BFC">
            <w:r>
              <w:t>512 GB</w:t>
            </w:r>
          </w:p>
        </w:tc>
        <w:tc>
          <w:tcPr>
            <w:tcW w:w="1985" w:type="dxa"/>
            <w:gridSpan w:val="3"/>
          </w:tcPr>
          <w:p w:rsidR="00EB09A9" w:rsidRDefault="00EB09A9" w:rsidP="00341BFC"/>
        </w:tc>
        <w:tc>
          <w:tcPr>
            <w:tcW w:w="2693" w:type="dxa"/>
            <w:gridSpan w:val="3"/>
          </w:tcPr>
          <w:p w:rsidR="00EB09A9" w:rsidRDefault="00EB09A9" w:rsidP="00EB09A9">
            <w:pPr>
              <w:jc w:val="center"/>
            </w:pPr>
            <w:r>
              <w:t>Address</w:t>
            </w:r>
            <w:r w:rsidRPr="00EB09A9">
              <w:rPr>
                <w:vertAlign w:val="subscript"/>
              </w:rPr>
              <w:t>38</w:t>
            </w:r>
            <w:proofErr w:type="gramStart"/>
            <w:r w:rsidRPr="00EB09A9">
              <w:rPr>
                <w:vertAlign w:val="subscript"/>
              </w:rPr>
              <w:t>..</w:t>
            </w:r>
            <w:proofErr w:type="gramEnd"/>
            <w:r w:rsidRPr="00EB09A9">
              <w:rPr>
                <w:vertAlign w:val="subscript"/>
              </w:rPr>
              <w:t>12</w:t>
            </w:r>
          </w:p>
        </w:tc>
      </w:tr>
      <w:tr w:rsidR="00EB09A9" w:rsidTr="00EB09A9">
        <w:tc>
          <w:tcPr>
            <w:tcW w:w="806" w:type="dxa"/>
          </w:tcPr>
          <w:p w:rsidR="00EB09A9" w:rsidRDefault="00EB09A9" w:rsidP="00341BFC">
            <w:pPr>
              <w:jc w:val="center"/>
            </w:pPr>
            <w:r>
              <w:t>3</w:t>
            </w:r>
          </w:p>
        </w:tc>
        <w:tc>
          <w:tcPr>
            <w:tcW w:w="2693" w:type="dxa"/>
          </w:tcPr>
          <w:p w:rsidR="00EB09A9" w:rsidRDefault="00EB09A9" w:rsidP="00341BFC">
            <w:r>
              <w:t>256 TB</w:t>
            </w:r>
          </w:p>
        </w:tc>
        <w:tc>
          <w:tcPr>
            <w:tcW w:w="1276" w:type="dxa"/>
            <w:gridSpan w:val="2"/>
          </w:tcPr>
          <w:p w:rsidR="00EB09A9" w:rsidRDefault="00EB09A9" w:rsidP="00341BFC"/>
        </w:tc>
        <w:tc>
          <w:tcPr>
            <w:tcW w:w="3402" w:type="dxa"/>
            <w:gridSpan w:val="4"/>
          </w:tcPr>
          <w:p w:rsidR="00EB09A9" w:rsidRDefault="00EB09A9" w:rsidP="00EB09A9">
            <w:pPr>
              <w:jc w:val="center"/>
            </w:pPr>
            <w:r>
              <w:t>Address</w:t>
            </w:r>
            <w:r w:rsidRPr="00EB09A9">
              <w:rPr>
                <w:vertAlign w:val="subscript"/>
              </w:rPr>
              <w:t>47</w:t>
            </w:r>
            <w:proofErr w:type="gramStart"/>
            <w:r w:rsidRPr="00EB09A9">
              <w:rPr>
                <w:vertAlign w:val="subscript"/>
              </w:rPr>
              <w:t>..</w:t>
            </w:r>
            <w:proofErr w:type="gramEnd"/>
            <w:r w:rsidRPr="00EB09A9">
              <w:rPr>
                <w:vertAlign w:val="subscript"/>
              </w:rPr>
              <w:t>12</w:t>
            </w:r>
          </w:p>
        </w:tc>
      </w:tr>
      <w:tr w:rsidR="007A2013" w:rsidTr="00EB09A9">
        <w:tc>
          <w:tcPr>
            <w:tcW w:w="806" w:type="dxa"/>
          </w:tcPr>
          <w:p w:rsidR="007A2013" w:rsidRDefault="007A2013" w:rsidP="00341BFC">
            <w:pPr>
              <w:jc w:val="center"/>
            </w:pPr>
            <w:r>
              <w:t>4</w:t>
            </w:r>
          </w:p>
        </w:tc>
        <w:tc>
          <w:tcPr>
            <w:tcW w:w="2693" w:type="dxa"/>
          </w:tcPr>
          <w:p w:rsidR="007A2013" w:rsidRDefault="007A2013" w:rsidP="00341BFC">
            <w:r>
              <w:t>128 XB</w:t>
            </w:r>
          </w:p>
        </w:tc>
        <w:tc>
          <w:tcPr>
            <w:tcW w:w="567" w:type="dxa"/>
          </w:tcPr>
          <w:p w:rsidR="007A2013" w:rsidRDefault="007A2013" w:rsidP="00341BFC"/>
        </w:tc>
        <w:tc>
          <w:tcPr>
            <w:tcW w:w="4111" w:type="dxa"/>
            <w:gridSpan w:val="5"/>
          </w:tcPr>
          <w:p w:rsidR="007A2013" w:rsidRDefault="00EB09A9" w:rsidP="00EB09A9">
            <w:pPr>
              <w:jc w:val="center"/>
            </w:pPr>
            <w:r>
              <w:t>Address</w:t>
            </w:r>
            <w:r w:rsidRPr="00EB09A9">
              <w:rPr>
                <w:vertAlign w:val="subscript"/>
              </w:rPr>
              <w:t>56</w:t>
            </w:r>
            <w:proofErr w:type="gramStart"/>
            <w:r w:rsidRPr="00EB09A9">
              <w:rPr>
                <w:vertAlign w:val="subscript"/>
              </w:rPr>
              <w:t>..</w:t>
            </w:r>
            <w:proofErr w:type="gramEnd"/>
            <w:r w:rsidRPr="00EB09A9">
              <w:rPr>
                <w:vertAlign w:val="subscript"/>
              </w:rPr>
              <w:t>12</w:t>
            </w:r>
          </w:p>
        </w:tc>
      </w:tr>
      <w:tr w:rsidR="00341BFC" w:rsidTr="00341BFC">
        <w:tc>
          <w:tcPr>
            <w:tcW w:w="806" w:type="dxa"/>
          </w:tcPr>
          <w:p w:rsidR="00341BFC" w:rsidRDefault="00341BFC" w:rsidP="00341BFC">
            <w:pPr>
              <w:jc w:val="center"/>
            </w:pPr>
            <w:r>
              <w:t>5</w:t>
            </w:r>
          </w:p>
        </w:tc>
        <w:tc>
          <w:tcPr>
            <w:tcW w:w="2693" w:type="dxa"/>
          </w:tcPr>
          <w:p w:rsidR="00341BFC" w:rsidRDefault="00341BFC" w:rsidP="00341BFC">
            <w:r>
              <w:t>2^64</w:t>
            </w:r>
          </w:p>
        </w:tc>
        <w:tc>
          <w:tcPr>
            <w:tcW w:w="4678" w:type="dxa"/>
            <w:gridSpan w:val="6"/>
          </w:tcPr>
          <w:p w:rsidR="00341BFC" w:rsidRDefault="00EB09A9" w:rsidP="00EB09A9">
            <w:pPr>
              <w:jc w:val="center"/>
            </w:pPr>
            <w:r>
              <w:t>Address</w:t>
            </w:r>
            <w:r>
              <w:rPr>
                <w:vertAlign w:val="subscript"/>
              </w:rPr>
              <w:t>63</w:t>
            </w:r>
            <w:proofErr w:type="gramStart"/>
            <w:r w:rsidRPr="00EB09A9">
              <w:rPr>
                <w:vertAlign w:val="subscript"/>
              </w:rPr>
              <w:t>..</w:t>
            </w:r>
            <w:proofErr w:type="gramEnd"/>
            <w:r w:rsidRPr="00EB09A9">
              <w:rPr>
                <w:vertAlign w:val="subscript"/>
              </w:rPr>
              <w:t>12</w:t>
            </w:r>
          </w:p>
        </w:tc>
      </w:tr>
      <w:tr w:rsidR="00341BFC" w:rsidTr="00341BFC">
        <w:tc>
          <w:tcPr>
            <w:tcW w:w="806" w:type="dxa"/>
          </w:tcPr>
          <w:p w:rsidR="00341BFC" w:rsidRDefault="00341BFC" w:rsidP="00341BFC">
            <w:pPr>
              <w:jc w:val="center"/>
            </w:pPr>
            <w:r>
              <w:t>6</w:t>
            </w:r>
          </w:p>
        </w:tc>
        <w:tc>
          <w:tcPr>
            <w:tcW w:w="2693" w:type="dxa"/>
          </w:tcPr>
          <w:p w:rsidR="00341BFC" w:rsidRDefault="00341BFC" w:rsidP="00341BFC">
            <w:r>
              <w:t>not used</w:t>
            </w:r>
          </w:p>
        </w:tc>
        <w:tc>
          <w:tcPr>
            <w:tcW w:w="4678" w:type="dxa"/>
            <w:gridSpan w:val="6"/>
          </w:tcPr>
          <w:p w:rsidR="00341BFC" w:rsidRDefault="00341BFC" w:rsidP="00341BFC"/>
        </w:tc>
      </w:tr>
      <w:tr w:rsidR="00341BFC" w:rsidTr="00341BFC">
        <w:tc>
          <w:tcPr>
            <w:tcW w:w="806" w:type="dxa"/>
          </w:tcPr>
          <w:p w:rsidR="00341BFC" w:rsidRDefault="00341BFC" w:rsidP="00341BFC">
            <w:pPr>
              <w:jc w:val="center"/>
            </w:pPr>
            <w:r>
              <w:t>7</w:t>
            </w:r>
          </w:p>
        </w:tc>
        <w:tc>
          <w:tcPr>
            <w:tcW w:w="2693" w:type="dxa"/>
          </w:tcPr>
          <w:p w:rsidR="00341BFC" w:rsidRDefault="00341BFC" w:rsidP="00341BFC">
            <w:r>
              <w:t>not used</w:t>
            </w:r>
          </w:p>
        </w:tc>
        <w:tc>
          <w:tcPr>
            <w:tcW w:w="4678" w:type="dxa"/>
            <w:gridSpan w:val="6"/>
          </w:tcPr>
          <w:p w:rsidR="00341BFC" w:rsidRDefault="00341BFC" w:rsidP="00341BFC"/>
        </w:tc>
      </w:tr>
    </w:tbl>
    <w:p w:rsidR="00341BFC" w:rsidRDefault="00341BFC" w:rsidP="00341BFC">
      <w:pPr>
        <w:ind w:left="720"/>
      </w:pPr>
    </w:p>
    <w:p w:rsidR="00EB6775" w:rsidRDefault="00EB6775">
      <w:r>
        <w:br w:type="page"/>
      </w:r>
    </w:p>
    <w:p w:rsidR="00ED684D" w:rsidRDefault="00ED684D" w:rsidP="00341BFC">
      <w:pPr>
        <w:ind w:left="720"/>
      </w:pPr>
      <w:r>
        <w:lastRenderedPageBreak/>
        <w:t>Page Directory Entries (PDE’s)</w:t>
      </w:r>
    </w:p>
    <w:p w:rsidR="00ED684D" w:rsidRDefault="00ED684D" w:rsidP="00341BFC">
      <w:pPr>
        <w:ind w:left="720"/>
      </w:pPr>
      <w:r>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F92DFC" w:rsidTr="00F92DFC">
        <w:tc>
          <w:tcPr>
            <w:tcW w:w="4491" w:type="dxa"/>
          </w:tcPr>
          <w:p w:rsidR="00F92DFC" w:rsidRDefault="00F92DFC" w:rsidP="008F1CBC">
            <w:pPr>
              <w:jc w:val="center"/>
            </w:pPr>
            <w:r>
              <w:t>Address</w:t>
            </w:r>
            <w:r w:rsidRPr="007A2013">
              <w:rPr>
                <w:vertAlign w:val="subscript"/>
              </w:rPr>
              <w:t>63</w:t>
            </w:r>
            <w:proofErr w:type="gramStart"/>
            <w:r w:rsidRPr="007A2013">
              <w:rPr>
                <w:vertAlign w:val="subscript"/>
              </w:rPr>
              <w:t>..</w:t>
            </w:r>
            <w:proofErr w:type="gramEnd"/>
            <w:r w:rsidRPr="007A2013">
              <w:rPr>
                <w:vertAlign w:val="subscript"/>
              </w:rPr>
              <w:t>12</w:t>
            </w:r>
          </w:p>
        </w:tc>
        <w:tc>
          <w:tcPr>
            <w:tcW w:w="425" w:type="dxa"/>
            <w:shd w:val="clear" w:color="auto" w:fill="D9D9D9" w:themeFill="background1" w:themeFillShade="D9"/>
          </w:tcPr>
          <w:p w:rsidR="00F92DFC" w:rsidRDefault="00F92DFC" w:rsidP="00F92DFC">
            <w:pPr>
              <w:jc w:val="center"/>
            </w:pPr>
            <w:r>
              <w:t>~</w:t>
            </w:r>
            <w:r>
              <w:rPr>
                <w:vertAlign w:val="subscript"/>
              </w:rPr>
              <w:t>2</w:t>
            </w:r>
          </w:p>
        </w:tc>
        <w:tc>
          <w:tcPr>
            <w:tcW w:w="425" w:type="dxa"/>
            <w:shd w:val="clear" w:color="auto" w:fill="auto"/>
          </w:tcPr>
          <w:p w:rsidR="00F92DFC" w:rsidRDefault="00F92DFC" w:rsidP="008F1CBC">
            <w:pPr>
              <w:jc w:val="center"/>
            </w:pPr>
            <w:r>
              <w:t>a</w:t>
            </w:r>
            <w:r w:rsidRPr="00F92DFC">
              <w:rPr>
                <w:vertAlign w:val="subscript"/>
              </w:rPr>
              <w:t>1</w:t>
            </w:r>
          </w:p>
        </w:tc>
        <w:tc>
          <w:tcPr>
            <w:tcW w:w="426" w:type="dxa"/>
            <w:shd w:val="clear" w:color="auto" w:fill="auto"/>
          </w:tcPr>
          <w:p w:rsidR="00F92DFC" w:rsidRDefault="00F92DFC" w:rsidP="008F1CBC">
            <w:pPr>
              <w:jc w:val="center"/>
            </w:pPr>
            <w:r>
              <w:t>d</w:t>
            </w:r>
            <w:r w:rsidRPr="00F92DFC">
              <w:rPr>
                <w:vertAlign w:val="subscript"/>
              </w:rPr>
              <w:t>1</w:t>
            </w:r>
          </w:p>
        </w:tc>
        <w:tc>
          <w:tcPr>
            <w:tcW w:w="709" w:type="dxa"/>
          </w:tcPr>
          <w:p w:rsidR="00F92DFC" w:rsidRDefault="00F92DFC" w:rsidP="008F1CBC">
            <w:pPr>
              <w:jc w:val="center"/>
            </w:pPr>
            <w:r>
              <w:t>p</w:t>
            </w:r>
            <w:r w:rsidRPr="007A2013">
              <w:rPr>
                <w:vertAlign w:val="subscript"/>
              </w:rPr>
              <w:t>4</w:t>
            </w:r>
          </w:p>
        </w:tc>
        <w:tc>
          <w:tcPr>
            <w:tcW w:w="425" w:type="dxa"/>
          </w:tcPr>
          <w:p w:rsidR="00F92DFC" w:rsidRDefault="00F92DFC" w:rsidP="008F1CBC">
            <w:pPr>
              <w:jc w:val="center"/>
            </w:pPr>
            <w:r>
              <w:t>c</w:t>
            </w:r>
            <w:r w:rsidRPr="007A2013">
              <w:rPr>
                <w:vertAlign w:val="subscript"/>
              </w:rPr>
              <w:t>1</w:t>
            </w:r>
          </w:p>
        </w:tc>
        <w:tc>
          <w:tcPr>
            <w:tcW w:w="425" w:type="dxa"/>
          </w:tcPr>
          <w:p w:rsidR="00F92DFC" w:rsidRDefault="00F92DFC" w:rsidP="008F1CBC">
            <w:pPr>
              <w:jc w:val="center"/>
            </w:pPr>
            <w:r>
              <w:t>r</w:t>
            </w:r>
            <w:r w:rsidRPr="007A2013">
              <w:rPr>
                <w:vertAlign w:val="subscript"/>
              </w:rPr>
              <w:t>1</w:t>
            </w:r>
          </w:p>
        </w:tc>
        <w:tc>
          <w:tcPr>
            <w:tcW w:w="426" w:type="dxa"/>
          </w:tcPr>
          <w:p w:rsidR="00F92DFC" w:rsidRDefault="00F92DFC" w:rsidP="008F1CBC">
            <w:pPr>
              <w:jc w:val="center"/>
            </w:pPr>
            <w:r>
              <w:t>x</w:t>
            </w:r>
            <w:r w:rsidRPr="007A2013">
              <w:rPr>
                <w:vertAlign w:val="subscript"/>
              </w:rPr>
              <w:t>1</w:t>
            </w:r>
          </w:p>
        </w:tc>
        <w:tc>
          <w:tcPr>
            <w:tcW w:w="445" w:type="dxa"/>
          </w:tcPr>
          <w:p w:rsidR="00F92DFC" w:rsidRDefault="00F92DFC" w:rsidP="008F1CBC">
            <w:pPr>
              <w:jc w:val="center"/>
            </w:pPr>
            <w:r>
              <w:t>w</w:t>
            </w:r>
            <w:r w:rsidRPr="007A2013">
              <w:rPr>
                <w:vertAlign w:val="subscript"/>
              </w:rPr>
              <w:t>1</w:t>
            </w:r>
          </w:p>
        </w:tc>
      </w:tr>
    </w:tbl>
    <w:p w:rsidR="00ED684D" w:rsidRDefault="00ED684D" w:rsidP="00341BFC">
      <w:pPr>
        <w:ind w:left="720"/>
      </w:pPr>
    </w:p>
    <w:p w:rsidR="007A2013" w:rsidRDefault="007A2013" w:rsidP="00341BFC">
      <w:pPr>
        <w:ind w:left="720"/>
      </w:pPr>
      <w:r>
        <w:t>Page Table Entries (PTE’s)</w:t>
      </w:r>
    </w:p>
    <w:p w:rsidR="00ED684D" w:rsidRDefault="00ED684D" w:rsidP="00341BFC">
      <w:pPr>
        <w:ind w:left="720"/>
      </w:pPr>
      <w:r>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F92DFC" w:rsidTr="008F1CBC">
        <w:tc>
          <w:tcPr>
            <w:tcW w:w="4491" w:type="dxa"/>
          </w:tcPr>
          <w:p w:rsidR="00F92DFC" w:rsidRDefault="00F92DFC" w:rsidP="008F1CBC">
            <w:pPr>
              <w:jc w:val="center"/>
            </w:pPr>
            <w:r>
              <w:t>Address</w:t>
            </w:r>
            <w:r w:rsidRPr="007A2013">
              <w:rPr>
                <w:vertAlign w:val="subscript"/>
              </w:rPr>
              <w:t>63</w:t>
            </w:r>
            <w:proofErr w:type="gramStart"/>
            <w:r w:rsidRPr="007A2013">
              <w:rPr>
                <w:vertAlign w:val="subscript"/>
              </w:rPr>
              <w:t>..</w:t>
            </w:r>
            <w:proofErr w:type="gramEnd"/>
            <w:r w:rsidRPr="007A2013">
              <w:rPr>
                <w:vertAlign w:val="subscript"/>
              </w:rPr>
              <w:t>12</w:t>
            </w:r>
          </w:p>
        </w:tc>
        <w:tc>
          <w:tcPr>
            <w:tcW w:w="425" w:type="dxa"/>
            <w:shd w:val="clear" w:color="auto" w:fill="D9D9D9" w:themeFill="background1" w:themeFillShade="D9"/>
          </w:tcPr>
          <w:p w:rsidR="00F92DFC" w:rsidRDefault="00F92DFC" w:rsidP="008F1CBC">
            <w:pPr>
              <w:jc w:val="center"/>
            </w:pPr>
            <w:r>
              <w:t>~</w:t>
            </w:r>
            <w:r>
              <w:rPr>
                <w:vertAlign w:val="subscript"/>
              </w:rPr>
              <w:t>2</w:t>
            </w:r>
          </w:p>
        </w:tc>
        <w:tc>
          <w:tcPr>
            <w:tcW w:w="425" w:type="dxa"/>
            <w:shd w:val="clear" w:color="auto" w:fill="auto"/>
          </w:tcPr>
          <w:p w:rsidR="00F92DFC" w:rsidRDefault="00F92DFC" w:rsidP="008F1CBC">
            <w:pPr>
              <w:jc w:val="center"/>
            </w:pPr>
            <w:r>
              <w:t>a</w:t>
            </w:r>
            <w:r w:rsidRPr="00F92DFC">
              <w:rPr>
                <w:vertAlign w:val="subscript"/>
              </w:rPr>
              <w:t>1</w:t>
            </w:r>
          </w:p>
        </w:tc>
        <w:tc>
          <w:tcPr>
            <w:tcW w:w="426" w:type="dxa"/>
            <w:shd w:val="clear" w:color="auto" w:fill="auto"/>
          </w:tcPr>
          <w:p w:rsidR="00F92DFC" w:rsidRDefault="00F92DFC" w:rsidP="008F1CBC">
            <w:pPr>
              <w:jc w:val="center"/>
            </w:pPr>
            <w:r>
              <w:t>d</w:t>
            </w:r>
            <w:r w:rsidRPr="00F92DFC">
              <w:rPr>
                <w:vertAlign w:val="subscript"/>
              </w:rPr>
              <w:t>1</w:t>
            </w:r>
          </w:p>
        </w:tc>
        <w:tc>
          <w:tcPr>
            <w:tcW w:w="709" w:type="dxa"/>
          </w:tcPr>
          <w:p w:rsidR="00F92DFC" w:rsidRDefault="00F92DFC" w:rsidP="008F1CBC">
            <w:pPr>
              <w:jc w:val="center"/>
            </w:pPr>
            <w:r>
              <w:t>p</w:t>
            </w:r>
            <w:r w:rsidRPr="007A2013">
              <w:rPr>
                <w:vertAlign w:val="subscript"/>
              </w:rPr>
              <w:t>4</w:t>
            </w:r>
          </w:p>
        </w:tc>
        <w:tc>
          <w:tcPr>
            <w:tcW w:w="425" w:type="dxa"/>
          </w:tcPr>
          <w:p w:rsidR="00F92DFC" w:rsidRDefault="00F92DFC" w:rsidP="008F1CBC">
            <w:pPr>
              <w:jc w:val="center"/>
            </w:pPr>
            <w:r>
              <w:t>c</w:t>
            </w:r>
            <w:r w:rsidRPr="007A2013">
              <w:rPr>
                <w:vertAlign w:val="subscript"/>
              </w:rPr>
              <w:t>1</w:t>
            </w:r>
          </w:p>
        </w:tc>
        <w:tc>
          <w:tcPr>
            <w:tcW w:w="425" w:type="dxa"/>
          </w:tcPr>
          <w:p w:rsidR="00F92DFC" w:rsidRDefault="00F92DFC" w:rsidP="008F1CBC">
            <w:pPr>
              <w:jc w:val="center"/>
            </w:pPr>
            <w:r>
              <w:t>r</w:t>
            </w:r>
            <w:r w:rsidRPr="007A2013">
              <w:rPr>
                <w:vertAlign w:val="subscript"/>
              </w:rPr>
              <w:t>1</w:t>
            </w:r>
          </w:p>
        </w:tc>
        <w:tc>
          <w:tcPr>
            <w:tcW w:w="426" w:type="dxa"/>
          </w:tcPr>
          <w:p w:rsidR="00F92DFC" w:rsidRDefault="00F92DFC" w:rsidP="008F1CBC">
            <w:pPr>
              <w:jc w:val="center"/>
            </w:pPr>
            <w:r>
              <w:t>x</w:t>
            </w:r>
            <w:r w:rsidRPr="007A2013">
              <w:rPr>
                <w:vertAlign w:val="subscript"/>
              </w:rPr>
              <w:t>1</w:t>
            </w:r>
          </w:p>
        </w:tc>
        <w:tc>
          <w:tcPr>
            <w:tcW w:w="445" w:type="dxa"/>
          </w:tcPr>
          <w:p w:rsidR="00F92DFC" w:rsidRDefault="00F92DFC" w:rsidP="008F1CBC">
            <w:pPr>
              <w:jc w:val="center"/>
            </w:pPr>
            <w:r>
              <w:t>w</w:t>
            </w:r>
            <w:r w:rsidRPr="007A2013">
              <w:rPr>
                <w:vertAlign w:val="subscript"/>
              </w:rPr>
              <w:t>1</w:t>
            </w:r>
          </w:p>
        </w:tc>
      </w:tr>
    </w:tbl>
    <w:p w:rsidR="00EB6775" w:rsidRDefault="00EB6775" w:rsidP="007A2013">
      <w:pPr>
        <w:spacing w:after="0"/>
        <w:ind w:left="720"/>
      </w:pPr>
      <w:r>
        <w:t>a</w:t>
      </w:r>
      <w:r w:rsidRPr="00EB6775">
        <w:rPr>
          <w:vertAlign w:val="subscript"/>
        </w:rPr>
        <w:t>1</w:t>
      </w:r>
      <w:r>
        <w:t>: accessed</w:t>
      </w:r>
    </w:p>
    <w:p w:rsidR="00EB6775" w:rsidRDefault="00EB6775" w:rsidP="007A2013">
      <w:pPr>
        <w:spacing w:after="0"/>
        <w:ind w:left="720"/>
      </w:pPr>
      <w:r>
        <w:t>d</w:t>
      </w:r>
      <w:r w:rsidRPr="00EB6775">
        <w:rPr>
          <w:vertAlign w:val="subscript"/>
        </w:rPr>
        <w:t>1</w:t>
      </w:r>
      <w:r>
        <w:t>: dirty</w:t>
      </w:r>
    </w:p>
    <w:p w:rsidR="007A2013" w:rsidRDefault="007A2013" w:rsidP="007A2013">
      <w:pPr>
        <w:spacing w:after="0"/>
        <w:ind w:left="720"/>
      </w:pPr>
      <w:r>
        <w:t>p</w:t>
      </w:r>
      <w:r w:rsidRPr="007A2013">
        <w:rPr>
          <w:vertAlign w:val="subscript"/>
        </w:rPr>
        <w:t>4</w:t>
      </w:r>
      <w:r>
        <w:t>: privilege level</w:t>
      </w:r>
    </w:p>
    <w:p w:rsidR="007A2013" w:rsidRDefault="007A2013" w:rsidP="007A2013">
      <w:pPr>
        <w:spacing w:after="0"/>
        <w:ind w:left="720"/>
      </w:pPr>
      <w:r>
        <w:t>c</w:t>
      </w:r>
      <w:r w:rsidRPr="007A2013">
        <w:rPr>
          <w:vertAlign w:val="subscript"/>
        </w:rPr>
        <w:t>1</w:t>
      </w:r>
      <w:r>
        <w:t>: cacheable</w:t>
      </w:r>
    </w:p>
    <w:p w:rsidR="007A2013" w:rsidRDefault="007A2013" w:rsidP="007A2013">
      <w:pPr>
        <w:spacing w:after="0"/>
        <w:ind w:left="720"/>
      </w:pPr>
      <w:r>
        <w:t>r</w:t>
      </w:r>
      <w:r w:rsidRPr="007A2013">
        <w:rPr>
          <w:vertAlign w:val="subscript"/>
        </w:rPr>
        <w:t>1</w:t>
      </w:r>
      <w:r>
        <w:t>: readable</w:t>
      </w:r>
    </w:p>
    <w:p w:rsidR="007A2013" w:rsidRDefault="007A2013" w:rsidP="007A2013">
      <w:pPr>
        <w:spacing w:after="0"/>
        <w:ind w:left="720"/>
      </w:pPr>
      <w:proofErr w:type="gramStart"/>
      <w:r>
        <w:t>x</w:t>
      </w:r>
      <w:r w:rsidRPr="007A2013">
        <w:rPr>
          <w:vertAlign w:val="subscript"/>
        </w:rPr>
        <w:t>1</w:t>
      </w:r>
      <w:proofErr w:type="gramEnd"/>
      <w:r>
        <w:t>: executable</w:t>
      </w:r>
    </w:p>
    <w:p w:rsidR="007A2013" w:rsidRDefault="007A2013" w:rsidP="007A2013">
      <w:pPr>
        <w:spacing w:after="0"/>
        <w:ind w:left="720"/>
      </w:pPr>
      <w:r>
        <w:t>w</w:t>
      </w:r>
      <w:r w:rsidRPr="007A2013">
        <w:rPr>
          <w:vertAlign w:val="subscript"/>
        </w:rPr>
        <w:t>1</w:t>
      </w:r>
      <w:r>
        <w:t>: writeable</w:t>
      </w:r>
    </w:p>
    <w:p w:rsidR="005A623A" w:rsidRDefault="005A623A" w:rsidP="007A2013">
      <w:pPr>
        <w:spacing w:after="0"/>
        <w:ind w:left="720"/>
      </w:pPr>
    </w:p>
    <w:p w:rsidR="00741FA6" w:rsidRDefault="00741FA6" w:rsidP="007A2013">
      <w:pPr>
        <w:spacing w:after="0"/>
        <w:ind w:left="720"/>
      </w:pPr>
    </w:p>
    <w:p w:rsidR="00A72C75" w:rsidRDefault="00A72C75">
      <w:r>
        <w:br w:type="page"/>
      </w:r>
    </w:p>
    <w:p w:rsidR="00524A76" w:rsidRDefault="00741FA6" w:rsidP="007A2013">
      <w:pPr>
        <w:spacing w:after="0"/>
        <w:ind w:left="720"/>
      </w:pPr>
      <w:r>
        <w:lastRenderedPageBreak/>
        <w:t>NOP Ramps</w:t>
      </w:r>
    </w:p>
    <w:p w:rsidR="00F571D2" w:rsidRDefault="00F571D2" w:rsidP="00A72C75">
      <w:pPr>
        <w:spacing w:after="0" w:line="360" w:lineRule="auto"/>
        <w:ind w:left="720"/>
      </w:pPr>
    </w:p>
    <w:p w:rsidR="00F2140B" w:rsidRDefault="00F2140B" w:rsidP="00A72C75">
      <w:pPr>
        <w:spacing w:after="0" w:line="360" w:lineRule="auto"/>
        <w:ind w:left="720"/>
      </w:pPr>
      <w:r>
        <w:t>In a paged memory management unit, address translations take place continuously, not just at segment load time as would be for a segmentation unit. One nice feature about segmentation is that one can be sure that if the segment is loaded it is a continuously available memory range.</w:t>
      </w:r>
    </w:p>
    <w:p w:rsidR="005A623A" w:rsidRDefault="00F2140B" w:rsidP="00A72C75">
      <w:pPr>
        <w:spacing w:after="0" w:line="360" w:lineRule="auto"/>
        <w:ind w:left="720"/>
      </w:pPr>
      <w:r>
        <w:t>With paging on the other hand, p</w:t>
      </w:r>
      <w:r w:rsidR="005A623A">
        <w:t>age faults may occur at 4kB boundaries. When the page isn’t present in memory, it has to be loaded then the instruction can be executed. In Table888 most instructions are a single instruction word in length</w:t>
      </w:r>
      <w:r w:rsidR="00524A76">
        <w:t xml:space="preserve"> so they won’t cross a page boundary</w:t>
      </w:r>
      <w:r w:rsidR="005A623A">
        <w:t>. However there are several prefix instructions, when combined with a prefix an instruction might cross a page boundary.</w:t>
      </w:r>
      <w:r w:rsidR="00524A76">
        <w:t xml:space="preserve"> This is bad news. The problem is that the prefixing would get lost in the shuffle to move the missing page into memory. There are two solutions, one is to go back a page in memory and re-execute the prefix after the missing page is loaded. This is complicated by the fact that both pages are required to be present in </w:t>
      </w:r>
      <w:proofErr w:type="gramStart"/>
      <w:r w:rsidR="00524A76">
        <w:t>memory,</w:t>
      </w:r>
      <w:proofErr w:type="gramEnd"/>
      <w:r w:rsidR="00524A76">
        <w:t xml:space="preserve"> otherwise the processor would thrash back and forth trying to execute the instruction.</w:t>
      </w:r>
      <w:r w:rsidR="00741FA6">
        <w:t xml:space="preserve"> The second solution is to force the instruction stream to output the prefixes so that they don’t cross page boundaries. This can be handled by the assembler.</w:t>
      </w:r>
      <w:r w:rsidR="00A72C75">
        <w:t xml:space="preserve"> The assembler handles the occasional case where a prefix instruction would cause an instruction to span a page boundary by outputting a series of NOPs to force the instruction onto the next memory page.</w:t>
      </w:r>
      <w:r w:rsidR="00402F34">
        <w:t xml:space="preserve"> The following example shows that the prefix instruction to a store byte operation is forced onto the next page of memory.</w:t>
      </w:r>
    </w:p>
    <w:p w:rsidR="005A623A" w:rsidRDefault="005A623A" w:rsidP="007A2013">
      <w:pPr>
        <w:spacing w:after="0"/>
        <w:ind w:left="720"/>
      </w:pPr>
    </w:p>
    <w:tbl>
      <w:tblPr>
        <w:tblStyle w:val="TableGrid"/>
        <w:tblW w:w="0" w:type="auto"/>
        <w:tblInd w:w="720" w:type="dxa"/>
        <w:shd w:val="clear" w:color="auto" w:fill="FFFF99"/>
        <w:tblLook w:val="04A0" w:firstRow="1" w:lastRow="0" w:firstColumn="1" w:lastColumn="0" w:noHBand="0" w:noVBand="1"/>
      </w:tblPr>
      <w:tblGrid>
        <w:gridCol w:w="8856"/>
      </w:tblGrid>
      <w:tr w:rsidR="005A623A" w:rsidTr="005A623A">
        <w:tc>
          <w:tcPr>
            <w:tcW w:w="9576" w:type="dxa"/>
            <w:shd w:val="clear" w:color="auto" w:fill="FFFF99"/>
          </w:tcPr>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00008FF0</w:t>
            </w:r>
            <w:r>
              <w:rPr>
                <w:rFonts w:ascii="Courier New" w:hAnsi="Courier New" w:cs="Courier New"/>
                <w:sz w:val="18"/>
                <w:szCs w:val="18"/>
              </w:rPr>
              <w:tab/>
              <w:t xml:space="preserve">41 F8 2A 90 00        </w:t>
            </w:r>
            <w:r>
              <w:rPr>
                <w:rFonts w:ascii="Courier New" w:hAnsi="Courier New" w:cs="Courier New"/>
                <w:sz w:val="18"/>
                <w:szCs w:val="18"/>
              </w:rPr>
              <w:tab/>
            </w:r>
            <w:proofErr w:type="spellStart"/>
            <w:r>
              <w:rPr>
                <w:rFonts w:ascii="Courier New" w:hAnsi="Courier New" w:cs="Courier New"/>
                <w:sz w:val="18"/>
                <w:szCs w:val="18"/>
              </w:rPr>
              <w:t>bne</w:t>
            </w:r>
            <w:proofErr w:type="spellEnd"/>
            <w:r>
              <w:rPr>
                <w:rFonts w:ascii="Courier New" w:hAnsi="Courier New" w:cs="Courier New"/>
                <w:sz w:val="18"/>
                <w:szCs w:val="18"/>
              </w:rPr>
              <w:tab/>
            </w:r>
            <w:r>
              <w:rPr>
                <w:rFonts w:ascii="Courier New" w:hAnsi="Courier New" w:cs="Courier New"/>
                <w:sz w:val="18"/>
                <w:szCs w:val="18"/>
              </w:rPr>
              <w:tab/>
              <w:t>fl0,kbdi2</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00008FF5</w:t>
            </w:r>
            <w:r>
              <w:rPr>
                <w:rFonts w:ascii="Courier New" w:hAnsi="Courier New" w:cs="Courier New"/>
                <w:sz w:val="18"/>
                <w:szCs w:val="18"/>
              </w:rPr>
              <w:tab/>
              <w:t xml:space="preserve">16 01 24 00 00        </w:t>
            </w:r>
            <w:r>
              <w:rPr>
                <w:rFonts w:ascii="Courier New" w:hAnsi="Courier New" w:cs="Courier New"/>
                <w:sz w:val="18"/>
                <w:szCs w:val="18"/>
              </w:rPr>
              <w:tab/>
            </w:r>
            <w:proofErr w:type="spellStart"/>
            <w:r>
              <w:rPr>
                <w:rFonts w:ascii="Courier New" w:hAnsi="Courier New" w:cs="Courier New"/>
                <w:sz w:val="18"/>
                <w:szCs w:val="18"/>
              </w:rPr>
              <w:t>ldi</w:t>
            </w:r>
            <w:proofErr w:type="spellEnd"/>
            <w:r>
              <w:rPr>
                <w:rFonts w:ascii="Courier New" w:hAnsi="Courier New" w:cs="Courier New"/>
                <w:sz w:val="18"/>
                <w:szCs w:val="18"/>
              </w:rPr>
              <w:tab/>
            </w:r>
            <w:r>
              <w:rPr>
                <w:rFonts w:ascii="Courier New" w:hAnsi="Courier New" w:cs="Courier New"/>
                <w:sz w:val="18"/>
                <w:szCs w:val="18"/>
              </w:rPr>
              <w:tab/>
              <w:t>r1,#36</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noProof/>
                <w:sz w:val="18"/>
                <w:szCs w:val="18"/>
                <w:lang w:eastAsia="en-CA"/>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-635</wp:posOffset>
                      </wp:positionV>
                      <wp:extent cx="100012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1.25pt;margin-top:-.05pt;width:78.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" filled="f" strokecolor="#243f60 [1604]" strokeweight="2pt"/>
                  </w:pict>
                </mc:Fallback>
              </mc:AlternateContent>
            </w:r>
            <w:r>
              <w:rPr>
                <w:rFonts w:ascii="Courier New" w:hAnsi="Courier New" w:cs="Courier New"/>
                <w:sz w:val="18"/>
                <w:szCs w:val="18"/>
              </w:rPr>
              <w:t>00008FFA</w:t>
            </w:r>
            <w:r>
              <w:rPr>
                <w:rFonts w:ascii="Courier New" w:hAnsi="Courier New" w:cs="Courier New"/>
                <w:sz w:val="18"/>
                <w:szCs w:val="18"/>
              </w:rPr>
              <w:tab/>
              <w:t xml:space="preserve">EA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 </w:t>
            </w:r>
            <w:proofErr w:type="spellStart"/>
            <w:r>
              <w:rPr>
                <w:rFonts w:ascii="Courier New" w:hAnsi="Courier New" w:cs="Courier New"/>
                <w:sz w:val="18"/>
                <w:szCs w:val="18"/>
              </w:rPr>
              <w:t>imm</w:t>
            </w:r>
            <w:proofErr w:type="spellEnd"/>
            <w:r>
              <w:rPr>
                <w:rFonts w:ascii="Courier New" w:hAnsi="Courier New" w:cs="Courier New"/>
                <w:sz w:val="18"/>
                <w:szCs w:val="18"/>
              </w:rPr>
              <w:t xml:space="preserve"> </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00009000</w:t>
            </w:r>
            <w:r>
              <w:rPr>
                <w:rFonts w:ascii="Courier New" w:hAnsi="Courier New" w:cs="Courier New"/>
                <w:sz w:val="18"/>
                <w:szCs w:val="18"/>
              </w:rPr>
              <w:tab/>
              <w:t xml:space="preserve">EA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roofErr w:type="spellStart"/>
            <w:r>
              <w:rPr>
                <w:rFonts w:ascii="Courier New" w:hAnsi="Courier New" w:cs="Courier New"/>
                <w:sz w:val="18"/>
                <w:szCs w:val="18"/>
              </w:rPr>
              <w:t>EA</w:t>
            </w:r>
            <w:proofErr w:type="spellEnd"/>
            <w:r>
              <w:rPr>
                <w:rFonts w:ascii="Courier New" w:hAnsi="Courier New" w:cs="Courier New"/>
                <w:sz w:val="18"/>
                <w:szCs w:val="18"/>
              </w:rPr>
              <w:t xml:space="preserve"> </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00009005</w:t>
            </w:r>
            <w:r>
              <w:rPr>
                <w:rFonts w:ascii="Courier New" w:hAnsi="Courier New" w:cs="Courier New"/>
                <w:sz w:val="18"/>
                <w:szCs w:val="18"/>
              </w:rPr>
              <w:tab/>
              <w:t xml:space="preserve">FD 70 FF 03 10 </w:t>
            </w:r>
          </w:p>
          <w:p w:rsidR="005A623A" w:rsidRDefault="00741FA6" w:rsidP="00741FA6">
            <w:r>
              <w:rPr>
                <w:rFonts w:ascii="Courier New" w:hAnsi="Courier New" w:cs="Courier New"/>
                <w:sz w:val="18"/>
                <w:szCs w:val="18"/>
              </w:rPr>
              <w:t>0000900A</w:t>
            </w:r>
            <w:r>
              <w:rPr>
                <w:rFonts w:ascii="Courier New" w:hAnsi="Courier New" w:cs="Courier New"/>
                <w:sz w:val="18"/>
                <w:szCs w:val="18"/>
              </w:rPr>
              <w:tab/>
              <w:t xml:space="preserve">A0 00 01 00 18        </w:t>
            </w:r>
            <w:r>
              <w:rPr>
                <w:rFonts w:ascii="Courier New" w:hAnsi="Courier New" w:cs="Courier New"/>
                <w:sz w:val="18"/>
                <w:szCs w:val="18"/>
              </w:rPr>
              <w:tab/>
            </w:r>
            <w:proofErr w:type="spellStart"/>
            <w:r>
              <w:rPr>
                <w:rFonts w:ascii="Courier New" w:hAnsi="Courier New" w:cs="Courier New"/>
                <w:sz w:val="18"/>
                <w:szCs w:val="18"/>
              </w:rPr>
              <w:t>sb</w:t>
            </w:r>
            <w:proofErr w:type="spellEnd"/>
            <w:r>
              <w:rPr>
                <w:rFonts w:ascii="Courier New" w:hAnsi="Courier New" w:cs="Courier New"/>
                <w:sz w:val="18"/>
                <w:szCs w:val="18"/>
              </w:rPr>
              <w:tab/>
            </w:r>
            <w:r>
              <w:rPr>
                <w:rFonts w:ascii="Courier New" w:hAnsi="Courier New" w:cs="Courier New"/>
                <w:sz w:val="18"/>
                <w:szCs w:val="18"/>
              </w:rPr>
              <w:tab/>
              <w:t>r1,LEDS</w:t>
            </w:r>
          </w:p>
        </w:tc>
      </w:tr>
    </w:tbl>
    <w:p w:rsidR="005A623A" w:rsidRDefault="00402F34" w:rsidP="00A72C75">
      <w:pPr>
        <w:spacing w:after="0"/>
        <w:ind w:left="720"/>
      </w:pPr>
      <w:r>
        <w:t xml:space="preserve">Note that the NOP </w:t>
      </w:r>
      <w:proofErr w:type="gramStart"/>
      <w:r>
        <w:t>ramp’s</w:t>
      </w:r>
      <w:proofErr w:type="gramEnd"/>
      <w:r>
        <w:t xml:space="preserve"> won’t work if address space defined by a segment is paged out of memory and the segment isn’t aligned on a 4kB boundary.</w:t>
      </w:r>
    </w:p>
    <w:sectPr w:rsidR="005A6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31"/>
    <w:rsid w:val="00131931"/>
    <w:rsid w:val="001B7B99"/>
    <w:rsid w:val="00234EC6"/>
    <w:rsid w:val="00341BFC"/>
    <w:rsid w:val="00402F34"/>
    <w:rsid w:val="00405B91"/>
    <w:rsid w:val="00421FE6"/>
    <w:rsid w:val="00513F0A"/>
    <w:rsid w:val="00524A76"/>
    <w:rsid w:val="005A623A"/>
    <w:rsid w:val="00741FA6"/>
    <w:rsid w:val="007A2013"/>
    <w:rsid w:val="00A52A14"/>
    <w:rsid w:val="00A72C75"/>
    <w:rsid w:val="00AE62F4"/>
    <w:rsid w:val="00EB09A9"/>
    <w:rsid w:val="00EB6775"/>
    <w:rsid w:val="00ED684D"/>
    <w:rsid w:val="00EE31EC"/>
    <w:rsid w:val="00F2140B"/>
    <w:rsid w:val="00F571D2"/>
    <w:rsid w:val="00F92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F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21F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1F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E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F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21F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1F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E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cp:revision>
  <dcterms:created xsi:type="dcterms:W3CDTF">2014-06-02T12:38:00Z</dcterms:created>
  <dcterms:modified xsi:type="dcterms:W3CDTF">2014-06-06T16:13:00Z</dcterms:modified>
</cp:coreProperties>
</file>