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Основные операторы Javascript</w:t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Операторы и их приоритеты выполнения. Условные операторы и циклы. </w:t>
      </w:r>
    </w:p>
    <w:p w:rsidR="00000000" w:rsidDel="00000000" w:rsidP="00000000" w:rsidRDefault="00000000" w:rsidRPr="00000000">
      <w:pPr>
        <w:pStyle w:val="Subtitle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ветвления, визуализация, блок-схемы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if, if-else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Тернарный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Комбинации условий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Области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Рекурсия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Угадай число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wyi7cn1ths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o592u646fk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120" w:before="20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Итак, Вы уже знаете, что </w:t>
      </w:r>
      <w:r w:rsidDel="00000000" w:rsidR="00000000" w:rsidRPr="00000000">
        <w:rPr>
          <w:rtl w:val="0"/>
        </w:rPr>
        <w:t xml:space="preserve">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представляют переменные в JavaScript, каких они бывают типов, как они применяются в выражениях. Этих знаний вполне хватит, чтобы написать простую, но работающую программу, выполняющую некие полезные действия. Но разумеется функционал языка гораздо шире. 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120" w:before="200" w:line="276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Критерий истины есть практика. Поэтому новые знания, начиная с этого занятия, мы будем усваивать через реализацию игр.</w:t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Операторы в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Как и у любого языка программирования,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JavaScript также есть операторы. Сам по себе оператор – это наименьшая автономная часть языка программирования, т.е. команда. У операторов есть операнды. Операнд (или аргумент оператора) – это сущность, к которой применяется оператор. К примеру, при сложении двух чисел (3 + 2) работает оператор сложения с двумя операндами.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Операторы бывают унарными и бинарными. Унарный оператор применяется к одному операнду. Например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унарный минус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Бинарный же оператор применяется к двум операндам: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бинарный плюс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 некоторых операторов есть свои особые названия.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Инкремент – увеличение операнда на установленный фиксированный шаг (как правило – единицу). Он же a++ или a+1.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Декремент – обратная инкременту операция. a--  или a-1.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Конкатенация – сложение строк. Обратной операции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"моя"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"строка";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 выполнении бинарных операторов нужно помнить, что JavaScript будет преобразовывать типы операндов, если они различаются.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 конкатенации, если в операторе один из операндов – строка, то и остальные операнды будут преобразованы к строке вне зависимости от того, в каком порядке идут операнды.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66660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"12"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"21"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же мы выполняем другие арифметические операторы, то такого приведения типов не будет – все операнды будут приводиться к числу.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"3"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Разумеется, Вы будете работать со сложными выражениями, содержащими более одного оператора. Тогда возникает необходимость расстановки приоритета операций, т.е. порядка их выполнения.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с арифметическими операторами всё просто – работает классическая логика (например, сначала умножение, потом сложение), то с программными операторами языка JavaScript всё несколько сложнее. Их приоритеты упорядочены в таблице, в которой операторы перечислены в порядке убывания приоритета.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880.0" w:type="dxa"/>
        <w:jc w:val="left"/>
        <w:tblInd w:w="-120.0" w:type="dxa"/>
        <w:tblBorders>
          <w:top w:color="bbbbbb" w:space="0" w:sz="6" w:val="single"/>
          <w:left w:color="bbbbbb" w:space="0" w:sz="6" w:val="single"/>
          <w:bottom w:color="bbbbbb" w:space="0" w:sz="6" w:val="single"/>
          <w:right w:color="bbbbbb" w:space="0" w:sz="6" w:val="single"/>
        </w:tblBorders>
        <w:tblLayout w:type="fixed"/>
        <w:tblLook w:val="0400"/>
      </w:tblPr>
      <w:tblGrid>
        <w:gridCol w:w="2601"/>
        <w:gridCol w:w="7279"/>
        <w:tblGridChange w:id="0">
          <w:tblGrid>
            <w:gridCol w:w="2601"/>
            <w:gridCol w:w="7279"/>
          </w:tblGrid>
        </w:tblGridChange>
      </w:tblGrid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Оператор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. [ ] ( 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Доступ к полям, индексация массивов, вызовы функций и группировка выражений.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++ -- - ~ ! delete new typeof void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Унарные операторы, тип возвращаемых данных, создание объектов, неопредел</w:t>
            </w:r>
            <w:r w:rsidDel="00000000" w:rsidR="00000000" w:rsidRPr="00000000">
              <w:rPr>
                <w:rtl w:val="0"/>
              </w:rPr>
              <w:t xml:space="preserve">ё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нные значения.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* / %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Умножение, деление, деление по модулю..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+ - +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Сложение, вычитание, объединение строк.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&lt;&lt; &gt;&gt; &gt;&gt;&gt;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Сдвиг бит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&lt; &lt;= &gt; &gt;= instanceof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Меньше, меньше или равно, больше, больше или равно, instanceof.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== != === !==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Равенство, неравенство, строгое равенство, строгое неравенство.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Побитовое 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^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Побитовое исключающее ИЛИ.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Побитовое ИЛИ.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&amp;&amp;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Логическое 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||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Логическое ИЛИ.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?: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Условный оператор.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= </w:t>
            </w:r>
            <w:r w:rsidDel="00000000" w:rsidR="00000000" w:rsidRPr="00000000">
              <w:rPr>
                <w:b w:val="0"/>
                <w:i w:val="1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OP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Присваивание, присваивание с операцией (например += и &amp;=).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Вычисление нескольких выражений.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Согласно таблице происходит, казалось бы, очевидны процесс. При выполнении выражения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–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7;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сначала </w:t>
      </w:r>
      <w:r w:rsidDel="00000000" w:rsidR="00000000" w:rsidRPr="00000000">
        <w:rPr>
          <w:rtl w:val="0"/>
        </w:rPr>
        <w:t xml:space="preserve">рассчитывается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арифметическая часть выражения, а только потом произойдёт присвоение, т.к. оно находится ниже, чем сложение и умножение.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Также обратим внимание на унарные операторы инкрементрирования/декрементирования. В JavaScript есть префиксная и постфиксная форма их записи. По сути, обе формы увеличивают значение операнда на 1. Но давайте посмотрим, как они это делают.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выведет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выведет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Таким образом, в постфиксной форме сначала происходит возвращение значения, а потом выполняется инкрементирования. В префиксной форме инкрементирование производится сразу, а возврат происходит уже с обновлённым значением.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Разумеется, также в JS есть и операторы сравнения, которые возвращают логическое значение по выполнению оператора.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"Б"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 побуквенном сравнении в случае, если сравниваются строки из нескольких букв, то сравнение осуществляется пошагово: сначала сравниваются первые буквы, потом вторые, и так далее.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Не стоит забывать и о числовом преобразовании.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"01"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true, значение false становится числом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true, так как true становится числом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Вы хотите, чтобы производилось строгое сравнение на равенство, то применяется другой оператор: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51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false, т.к. типы различны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true, т.к. типы различны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Значения null и undefined равны друг другу, но не равны чему бы то ни было ещё. Это жёсткое правило прописано в спецификации языка. При явном (т.е. при вызванном пользователем) преобразовании в число null принимает значение 0, а undefined - NaN.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Принципы ветвления, визуализация, блок-схемы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программном коде, как и в жизни, множество решений зависят от внешних факторов. И зависимость эта выражается в вербальном виде «Если случится событие А, то я выполню действие Б». Именно по такому принципу начинает строиться ветвление во всех языках программирования.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в русском языке для ветвления используется слово «если», в программировании применяются специальные операторы, обеспечивающие выполнение определённой команды или набора команд только при условии истинности логического выражения или группы выражений. Ветвление — одна из трёх (наряду с последовательным выполнением команд и циклом) базовых конструкций структурного программирования.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Для справки</w:t>
      </w:r>
      <w:r w:rsidDel="00000000" w:rsidR="00000000" w:rsidRPr="00000000">
        <w:rPr>
          <w:rtl w:val="0"/>
        </w:rPr>
        <w:t xml:space="preserve">: в дискретной математике, которая является одной из фундаментальных наук, лежащих в основах программирования, условие ветвления есть предикат. </w:t>
      </w:r>
      <w:r w:rsidDel="00000000" w:rsidR="00000000" w:rsidRPr="00000000">
        <w:rPr>
          <w:rtl w:val="0"/>
        </w:rPr>
        <w:t xml:space="preserve">Почитать об этом можно в дополнительной литературе.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Прежде чем приступать к написанию ветвлений на языке JavaScript, стоит поговорить о случаях, когда на ветвление влияет уйма факторов. В таком случае стоит визуализировать для себя логику программы или её части, чтобы не запутаться при реализации. Для решения задачи визуализации применяются так называемые блок-схемы.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Блок-схема — распространенный тип схем, описывающих алгоритмы 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 Сама блок-схема состоит из стандартных элементов: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Процесс </w:t>
      </w:r>
      <w:r w:rsidDel="00000000" w:rsidR="00000000" w:rsidRPr="00000000">
        <w:rPr>
          <w:rtl w:val="0"/>
        </w:rPr>
        <w:t xml:space="preserve">(функцию обработки данных любого вида)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26875" y="3451387"/>
                          <a:ext cx="1238250" cy="657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Переключить канал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07825" y="3365662"/>
                          <a:ext cx="1276349" cy="82867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Вывести сообщение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Предопределенный процесс</w:t>
      </w:r>
      <w:r w:rsidDel="00000000" w:rsidR="00000000" w:rsidRPr="00000000">
        <w:rPr>
          <w:rtl w:val="0"/>
        </w:rPr>
        <w:t xml:space="preserve"> (Символ отображает предопределенный процесс, состоящий из одной или нескольких операций или шагов программы, которые определены в другом месте)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419100</wp:posOffset>
                </wp:positionV>
                <wp:extent cx="1422400" cy="8763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41150" y="3346612"/>
                          <a:ext cx="1409700" cy="866775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Сортировать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список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419100</wp:posOffset>
                </wp:positionV>
                <wp:extent cx="1422400" cy="8763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Решение </w:t>
      </w:r>
      <w:r w:rsidDel="00000000" w:rsidR="00000000" w:rsidRPr="00000000">
        <w:rPr>
          <w:rtl w:val="0"/>
        </w:rPr>
        <w:t xml:space="preserve">(Это как раз то, о чём мы говорили в самом начале – ситуация, имеющая одну точку входа и ряд альтернативных выходов, один и только один из которых может быть использован после вычисления условий, определённых внутри этого символа.)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3022600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7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3022600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A &lt; B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2108200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4343400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88800" y="3572132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Нет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4343400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63500</wp:posOffset>
                </wp:positionV>
                <wp:extent cx="914400" cy="419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888800" y="3572132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Да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63500</wp:posOffset>
                </wp:positionV>
                <wp:extent cx="914400" cy="419100"/>
                <wp:effectExtent b="0" l="0" r="0" t="0"/>
                <wp:wrapNone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3987800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548" y="3780000"/>
                          <a:ext cx="116290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3987800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2126" y="3775667"/>
                          <a:ext cx="1087745" cy="86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Терминатор </w:t>
      </w:r>
      <w:r w:rsidDel="00000000" w:rsidR="00000000" w:rsidRPr="00000000">
        <w:rPr>
          <w:rtl w:val="0"/>
        </w:rPr>
        <w:t xml:space="preserve">(начало или конец программы)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34825" y="3591485"/>
                          <a:ext cx="1022349" cy="377027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Начало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наших целей на текущий момент перечисленных блоков вполне достаточно, а более подробный материал по блок-схемам можно найти, перейдя по прилагающейся к занятию ссылке.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Итак, для изучения ветвлений нам потребуется элемент «Решение».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Операторы if, if-else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реализации ветвления в JS используется оператор if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7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3632200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3632200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4508500</wp:posOffset>
                </wp:positionH>
                <wp:positionV relativeFrom="paragraph">
                  <wp:posOffset>1422400</wp:posOffset>
                </wp:positionV>
                <wp:extent cx="914400" cy="266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88800" y="3647823"/>
                          <a:ext cx="914400" cy="26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4508500</wp:posOffset>
                </wp:positionH>
                <wp:positionV relativeFrom="paragraph">
                  <wp:posOffset>1422400</wp:posOffset>
                </wp:positionV>
                <wp:extent cx="914400" cy="266700"/>
                <wp:effectExtent b="0" l="0" r="0" t="0"/>
                <wp:wrapNone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7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bidiVisual w:val="0"/>
        <w:tblW w:w="4374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74"/>
        <w:tblGridChange w:id="0">
          <w:tblGrid>
            <w:gridCol w:w="4374"/>
          </w:tblGrid>
        </w:tblGridChange>
      </w:tblGrid>
      <w:tr>
        <w:trPr>
          <w:trHeight w:val="88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Условие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254000</wp:posOffset>
                </wp:positionV>
                <wp:extent cx="1244600" cy="533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3962400</wp:posOffset>
                </wp:positionH>
                <wp:positionV relativeFrom="paragraph">
                  <wp:posOffset>254000</wp:posOffset>
                </wp:positionV>
                <wp:extent cx="1244600" cy="5334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Условие - </w:t>
      </w:r>
      <w:r w:rsidDel="00000000" w:rsidR="00000000" w:rsidRPr="00000000">
        <w:rPr>
          <w:rtl w:val="0"/>
        </w:rPr>
        <w:t xml:space="preserve">это любое выражение, возвращающее булевское значение (true, false)</w:t>
      </w:r>
      <w:r w:rsidDel="00000000" w:rsidR="00000000" w:rsidRPr="00000000">
        <w:rPr>
          <w:rtl w:val="0"/>
        </w:rPr>
        <w:t xml:space="preserve">, т.е. такой вопрос, на который ответить можно только двумя способами: либо да, либо нет. Если выражение возвращает значение, отличное от типа boolean, то возвращаемое значение будет автоматически приведено к типу boolean: 0, null undefined, “” и NaN будут транслированы в false, остальные значения - в true. Действие выполняется тогда, когда условие истинно (true). Обычно условием является операция сравнения, либо несколько таких операций, объединённых логическими связками (И, ИЛИ). В результате проверки какого-либо условия может выполняться сразу несколько операторов: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640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18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Условие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Но что, если одного условия недостаточно? Рассмотрим пример ветвления, когда в случае истины мы выполним одно действие, а иначе – другое.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3832" y="3582819"/>
                          <a:ext cx="4333" cy="3943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5016500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47823"/>
                          <a:ext cx="914400" cy="26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Ложь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5016500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88800" y="3647823"/>
                          <a:ext cx="914400" cy="26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3594100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Действие1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3594100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2564"/>
                          <a:ext cx="0" cy="2548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4203700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5435600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Действие2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5435600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5156200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8655" y="3777832"/>
                          <a:ext cx="294688" cy="43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5156200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bidiVisual w:val="0"/>
        <w:tblW w:w="4345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45"/>
        <w:tblGridChange w:id="0">
          <w:tblGrid>
            <w:gridCol w:w="4345"/>
          </w:tblGrid>
        </w:tblGridChange>
      </w:tblGrid>
      <w:tr>
        <w:trPr>
          <w:trHeight w:val="17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Условие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Давайте попробуем реализовать простой пример: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600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7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Обратите внимание на то, что если по условию нужно выполнять всего один оператор, то можно не ставить фигурные скобки.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Но не всегда можно уложить логику ветвления в две ветки.  Но JS позволяет разделять нашу программу на сколько угодно вариантов с помощью конструкции else if, которая позволяет анализировать дополнительное условие. При этом выполняться будет первое условие, вернувшее true.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Представим следующую задачу: нам даны два произвольных числа. Необходимо вывести на экран, их соотношение друг с другом. По сути, у нас будет три варианта: либо первое число больше, либо второе, либо они равны.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570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17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больше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)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меньше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echo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равен y";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Оператор switch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Теперь представим ситуацию, в которой нам нужно разделить программу не на 2 или 3 варианта, а на большее количество. Конечно, мы можем много раз использовать конструкцию else if, но это может привести к серьёзному ухудшению читаемости кода. Поэтому существует специальный оператор выбора из нескольких вариантов – switch. Он имеет следующий синтаксис:</w:t>
      </w:r>
    </w:p>
    <w:tbl>
      <w:tblPr>
        <w:tblStyle w:val="Table17"/>
        <w:bidiVisual w:val="0"/>
        <w:tblW w:w="9640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7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(переменная){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Оператор switch смотрит на значение переменной (вместо неё также может стоять выражение, возвращающее значение) и сравнивает его с предложенными вариантами. В случае совпадения выполняется соответствующий блок кода. Если же после прохода по всем вариантам совпадения так и не обнаружилось, то выполняются операторы из блока default. Это необязательный блок, и он может отсутствовать.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Обратите внимание на ключевое слово break в конце каждого блока case. Оно ставится в 99% случаев и означает, что нужно прекратить выполнение операций внутри switch. В случае, когда в конце блока case нет оператора break, интерпретатор продолжит </w:t>
      </w:r>
      <w:r w:rsidDel="00000000" w:rsidR="00000000" w:rsidRPr="00000000">
        <w:rPr>
          <w:rtl w:val="0"/>
        </w:rPr>
        <w:t xml:space="preserve">выполнять действия из следующих </w:t>
      </w:r>
      <w:r w:rsidDel="00000000" w:rsidR="00000000" w:rsidRPr="00000000">
        <w:rPr>
          <w:color w:val="000000"/>
          <w:rtl w:val="0"/>
        </w:rPr>
        <w:t xml:space="preserve">блоков.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10478.0" w:type="dxa"/>
        <w:jc w:val="left"/>
        <w:tblInd w:w="-10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5239"/>
        <w:gridCol w:w="5239"/>
        <w:tblGridChange w:id="0">
          <w:tblGrid>
            <w:gridCol w:w="5239"/>
            <w:gridCol w:w="5239"/>
          </w:tblGrid>
        </w:tblGridChange>
      </w:tblGrid>
      <w:tr>
        <w:trPr>
          <w:trHeight w:val="1660" w:hRule="atLeast"/>
        </w:trPr>
        <w:tc>
          <w:tcPr>
            <w:shd w:fill="edeff0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echo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день!'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now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'Добрый день!'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Тернарный оператор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5048250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88800" y="3647823"/>
                          <a:ext cx="914400" cy="26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5048250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Тернарный оператор – это операция, возвращающая либо второй, либо третий операнд в</w:t>
      </w:r>
      <w:r w:rsidDel="00000000" w:rsidR="00000000" w:rsidRPr="00000000">
        <w:rPr>
          <w:color w:val="000000"/>
          <w:rtl w:val="0"/>
        </w:rPr>
        <w:t xml:space="preserve"> зависимости от условия (первого операнда). Звучит страшно, однако выглядит он достаточно просто: </w:t>
      </w:r>
    </w:p>
    <w:tbl>
      <w:tblPr>
        <w:tblStyle w:val="Table19"/>
        <w:bidiVisual w:val="0"/>
        <w:tblW w:w="959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93"/>
        <w:tblGridChange w:id="0">
          <w:tblGrid>
            <w:gridCol w:w="9593"/>
          </w:tblGrid>
        </w:tblGridChange>
      </w:tblGrid>
      <w:tr>
        <w:trPr>
          <w:trHeight w:val="30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(Условие)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(Оператор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истине)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(Оператор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по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лжи);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Например, мы хотим сохранить максимальное из двух произвольных чисел в какую-то переменную. В этом случае, вместо громоздких строк ветвления, можно написать: </w:t>
      </w:r>
    </w:p>
    <w:tbl>
      <w:tblPr>
        <w:tblStyle w:val="Table20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Тернарный оператор – красивая возможность, делающая код лаконичнее. Но, как и любым инструментом, не стоит злоупотреблять данной возможностью, наоборот усложняя код.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своей сути тернарный оператор отличается от оператора if. Во-первых, недопустимо множественное использование тернарного оператора, как в случае if - else if. Это засоряет код. Во-вторых, </w:t>
      </w:r>
      <w:r w:rsidDel="00000000" w:rsidR="00000000" w:rsidRPr="00000000">
        <w:rPr>
          <w:color w:val="000000"/>
          <w:shd w:fill="fbfbfb" w:val="clear"/>
          <w:rtl w:val="0"/>
        </w:rPr>
        <w:t xml:space="preserve">тернарный оператор нужен для встраивания небольших условных веток прямо в выражение, т.е. он не заменяет собой стандартный if-else. В случае, если Вам необходимо описать условия непосредственно в выражении, то следует использовать тернарный оператор. Но если Вы хотите создать более сложное условие с телом, состоящим из более, чем одной инструкции, то Вы используете if и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Комбинации условий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условном операторе можно комбинировать условия при помощи логических операций: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ИЛИ (x || y) - если хотя бы один из аргументов true, то возвращает true, иначе –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И (x &amp;&amp; y) - возвращает true, если оба аргумента истинны, а иначе –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НЕ (!x) - </w:t>
      </w:r>
      <w:r w:rsidDel="00000000" w:rsidR="00000000" w:rsidRPr="00000000"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возвращает противоположное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Таким образом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1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    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20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Представим себе, что, используя код одного из примеров, мы хотим построить с пользователем диалог. Код в любой программе работает последовательно, строка за строкой. Таким образом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условие уже отработано, вернуться к нему невозможно. Как решить эту задачу? Мы можем скопировать весь блок операций ещё несколько раз. Но что, если количество раз неизвестно заранее? Да и copy-paste – это уж совсем плохое решение. Тогда на помощь приходят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20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Функция – это блок кода, к которому можно обращаться из разных частей скрипта. Функции могут иметь входные и выходные параметры. Входные параметры могут использоваться в операциях, которые содержит функция. Выходные параметры устанавливаются функцией, а их значения используются после выполнения функции. Программист может создавать необходимые ему функции и логику их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20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проводить аналогию с реальной жизнью, то функция – это некий навык скрипта, который он знает и умеет делать. Ведь вы не учитесь ходить каждый раз, когда перемещаетесь между точками? Вы просто выполняете функцию «Ходить». Также и скрипт может иметь описанную функцию go, которая может вызываться в любой момент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Функция в JS объявляется с помощью ключевого слова function. За ним следует название функции, которое мы придумываем сами. Затем в круглых скобках через запятую указываются параметры, которые данная функция принимает. По сути, параметры – это входные данные для функции, над которыми она будет выполнять какую-то работу. После указания параметров в фигурных скобках следует тело функции. После объявления функции, мы можем её вызвать и посмотреть, как она работает. Описание функции может находиться и до, и после её вызова.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2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имя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функции(параметр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параметр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…){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Давайте создадим функцию, которая будет сравнивать числа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3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&gt;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&lt;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"x = y"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вызове функции в неё нужно передавать такое количество параметров, которое заявили при её создании. Их может быть 0 и более. Если параметры не переданы, то при вызове функции нужно просто указать пустые скобки.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Оператор return позволяет завершить выполнение функции, вернув конкретное значение. Если в функции не указано, что она возвращает, то, по сути,</w:t>
      </w:r>
      <w:r w:rsidDel="00000000" w:rsidR="00000000" w:rsidRPr="00000000">
        <w:rPr>
          <w:rtl w:val="0"/>
        </w:rPr>
        <w:t xml:space="preserve"> результатом её работы может являться только вывод какого-то текста на экран (см. предыдущую функцию).</w:t>
      </w:r>
      <w:r w:rsidDel="00000000" w:rsidR="00000000" w:rsidRPr="00000000">
        <w:rPr>
          <w:rtl w:val="0"/>
        </w:rPr>
        <w:t xml:space="preserve"> Однако, в большинстве случаев, мы хотим использовать результат работы функции в остальной программе. Тогда необходимо использовать оператор return. Например, напишем функцию, возвращающую среднее арифметическое двух чисел.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4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)/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average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100500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avg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Таким образом, мы не только учим наш скрипт определённым навыкам, но и можем хранить результат выполнения каждой функции для дальнейшего использования.</w:t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vertAlign w:val="baseline"/>
          <w:rtl w:val="0"/>
        </w:rPr>
        <w:t xml:space="preserve">Области видимости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 работе с функциями в JS нужно также помнить о т.н. областях видимости. Они бывают глобальные и локальные. Глобальными называют переменные и функции, которые не находятся внутри какой-то функции.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 JS все глобальные переменные и функции являются свойствами специального объекта, который называется «глобальный объект» (global object). В браузере этот объект явно доступен под именем window. Объект window одновременно является глобальным объектом и содержит ряд свойств и методов для работы с окном браузера, но нас здесь интересует только его роль как глобального объекта.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Локальные переменные доступны только внутри функции. Если на момент определения функции переменная существовала, то она будет существовать и внутри функции, откуда бы ее не вызывали.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changeX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changeX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выводит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vertAlign w:val="baseline"/>
          <w:rtl w:val="0"/>
        </w:rPr>
        <w:t xml:space="preserve">Рекурсия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Одним из наиболее интересных моментов в вопросе использования функций является рекурсия. Рекурсия – это вызов функцией самой себя. </w:t>
      </w:r>
      <w:r w:rsidDel="00000000" w:rsidR="00000000" w:rsidRPr="00000000">
        <w:rPr>
          <w:rtl w:val="0"/>
        </w:rPr>
        <w:t xml:space="preserve">Когда это может быть полезно? </w:t>
      </w:r>
      <w:r w:rsidDel="00000000" w:rsidR="00000000" w:rsidRPr="00000000">
        <w:rPr>
          <w:rtl w:val="0"/>
        </w:rPr>
        <w:t xml:space="preserve">Не стоит сейчас углубляться в решение задач обхода деревьев, но гораздо проще привести пример с вычислением последовательности n чисел Фибоначчи (каждое последующее число равно сумме двух предыдущих чисел). Каждый раз мы не знаем, сколько чисел Фибоначчи запросит пользователь, но, используя рекурсию, мы можем не думать об этом. </w:t>
      </w:r>
    </w:p>
    <w:tbl>
      <w:tblPr>
        <w:tblStyle w:val="Table26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prev1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prev2;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fibonacci_string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 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  <w:t xml:space="preserve">fibonacci_string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current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prev1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fibonacci_string;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fibonacci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Рекурсия важна для структур, которые имеют нефиксированное количество уровней вложенности, но на каждом уровне имеют жёсткую схему. Таким образом, Вы не можете сказать, что для работы с такой структурой Вам понадобится конечное количество обходов, постоянное для каждой структуры. Говоря проще, для разных значений, переданных в ту же функцию fibonacci, потребуется разное количество вызовов этой функции. Разумеется, менять код под каждое передаваемое значение невозможно. И избавиться от этого недостатка помогает рекурсия.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1ksv4uv" w:id="11"/>
      <w:bookmarkEnd w:id="11"/>
      <w:r w:rsidDel="00000000" w:rsidR="00000000" w:rsidRPr="00000000">
        <w:rPr>
          <w:vertAlign w:val="baseline"/>
          <w:rtl w:val="0"/>
        </w:rPr>
        <w:t xml:space="preserve">Практикум. Угадай число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Теперь попробуем написать нашу первую игру. Начнём мы с простого и реализуем игру «Угадай число». Браузер будет загадывать случайное четырёхзначное число, а мы будем пытаться его отгадать.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Попытки отгадать число будут идти через диалоговое окно – prompt. Браузер будет сообщать в ответ, больше или меньше загаданного наше предположение.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Алгоритм будет таким: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Браузер генерирует число и приглашает пользователя к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Выводится окно запроса предположения.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Браузер проверяет число и возвращает результат.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Повторяем до тех пор, пока число не будет угадано.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Как только число угадано, браузер сбрасывает число попыток и генерирует новое число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Пока мы не будем ничего выводить на саму страницу. И пока наш алгоритм будет далёк от совершенства. Но как только мы изучим новые возможности языка, то сразу улучшим его.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vertAlign w:val="baseline"/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200" w:before="20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Дан код: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tbl>
      <w:tblPr>
        <w:tblStyle w:val="Table27"/>
        <w:bidiVisual w:val="0"/>
        <w:tblW w:w="9623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d;</w:t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       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++);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Почему код даёт именно такие результаты?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200" w:before="20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Чему будет равен x в примере ниже?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tbl>
      <w:tblPr>
        <w:tblStyle w:val="Table28"/>
        <w:bidiVisual w:val="0"/>
        <w:tblW w:w="9742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742"/>
        <w:tblGridChange w:id="0">
          <w:tblGrid>
            <w:gridCol w:w="9742"/>
          </w:tblGrid>
        </w:tblGridChange>
      </w:tblGrid>
      <w:tr>
        <w:trPr>
          <w:trHeight w:val="580" w:hRule="atLeast"/>
        </w:trP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360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Объявить две целочисленные переменные a и b и задать им произвольные начальные значения. Затем написать скрипт, который работает по следующему принципу: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a и b положительные, вывести их разность;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а и b отрицательные, вывести их произведение;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если а и b разных знаков, вывести их сумму;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ноль можно считать положительным числом.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Присвоить переменной а значение в промежутке [0..15]. С помощью оператора switch организовать вывод чисел от a до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Реализовать основные 4 арифметические операции в виде функций с двумя параметрами. Обязательно использовать оператор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Реализовать функцию с тремя параметрами: function mathOperation(arg1, arg2, operation), где arg1, arg2 – значения аргументов, operation – строка с названием операции. В зависимости от переданного значения операции выполнить одну из арифметических операций (использовать функции из пункта 3) и вернуть полученное значение (использовать switch).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* Сравнит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 null и 0. Попробуйте объяснить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20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*С помощью рекурсии организовать функцию возведения числа в степень. Формат: function power(val, pow), где val – заданное число, pow – степень.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/>
      </w:pPr>
      <w:bookmarkStart w:colFirst="0" w:colLast="0" w:name="_p6o0l6g458ly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https://habrahabr.ru/post/275813/</w:t>
        </w:r>
      </w:hyperlink>
      <w:r w:rsidDel="00000000" w:rsidR="00000000" w:rsidRPr="00000000">
        <w:rPr>
          <w:rtl w:val="0"/>
        </w:rPr>
        <w:t xml:space="preserve"> - ещё о рекурсии</w:t>
      </w:r>
    </w:p>
    <w:p w:rsidR="00000000" w:rsidDel="00000000" w:rsidP="00000000" w:rsidRDefault="00000000" w:rsidRPr="00000000">
      <w:pPr>
        <w:pStyle w:val="Heading1"/>
        <w:keepNext w:val="1"/>
        <w:keepLines w:val="1"/>
        <w:pBdr/>
        <w:spacing w:after="120" w:lineRule="auto"/>
        <w:contextualSpacing w:val="0"/>
        <w:jc w:val="both"/>
        <w:rPr>
          <w:vertAlign w:val="baseline"/>
        </w:rPr>
      </w:pPr>
      <w:bookmarkStart w:colFirst="0" w:colLast="0" w:name="_o592u646fkiw" w:id="14"/>
      <w:bookmarkEnd w:id="14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widowControl w:val="1"/>
        <w:pBdr/>
        <w:spacing w:line="276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«JavaScript. Подробное руководство» - Дэвид Флэнаган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«Изучаем программирование на JavaScript» - Эрик Фримен, Элизабет Робсон</w:t>
      </w:r>
    </w:p>
    <w:sectPr>
      <w:headerReference r:id="rId30" w:type="first"/>
      <w:footerReference r:id="rId31" w:type="default"/>
      <w:pgSz w:h="16838" w:w="11906"/>
      <w:pgMar w:bottom="1133" w:top="1133" w:left="1133" w:right="1133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720" w:before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4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4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4591050</wp:posOffset>
          </wp:positionH>
          <wp:positionV relativeFrom="paragraph">
            <wp:posOffset>447992</wp:posOffset>
          </wp:positionV>
          <wp:extent cx="1295083" cy="1295083"/>
          <wp:effectExtent b="0" l="0" r="0" t="0"/>
          <wp:wrapSquare wrapText="bothSides" distB="114300" distT="114300" distL="114300" distR="114300"/>
          <wp:docPr descr="JavaScript.png" id="1" name="image01.png"/>
          <a:graphic>
            <a:graphicData uri="http://schemas.openxmlformats.org/drawingml/2006/picture">
              <pic:pic>
                <pic:nvPicPr>
                  <pic:cNvPr descr="JavaScript.png" id="0" name="image0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083" cy="12950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b="0" l="0" r="0" t="0"/>
              <wp:wrapTopAndBottom distB="0" distT="0"/>
              <wp:docPr id="19" name=""/>
              <a:graphic>
                <a:graphicData uri="http://schemas.microsoft.com/office/word/2010/wordprocessingShape">
                  <wps:wsp>
                    <wps:cNvSpPr txBox="1"/>
                    <wps:cNvPr id="19" name="Shape 19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Script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2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b="0" l="0" r="0" t="0"/>
              <wp:wrapTopAndBottom distB="0" distT="0"/>
              <wp:docPr id="19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35.png"/><Relationship Id="rId21" Type="http://schemas.openxmlformats.org/officeDocument/2006/relationships/image" Target="media/image03.png"/><Relationship Id="rId24" Type="http://schemas.openxmlformats.org/officeDocument/2006/relationships/image" Target="media/image23.png"/><Relationship Id="rId23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26" Type="http://schemas.openxmlformats.org/officeDocument/2006/relationships/image" Target="media/image09.png"/><Relationship Id="rId25" Type="http://schemas.openxmlformats.org/officeDocument/2006/relationships/image" Target="media/image41.png"/><Relationship Id="rId28" Type="http://schemas.openxmlformats.org/officeDocument/2006/relationships/image" Target="media/image43.png"/><Relationship Id="rId27" Type="http://schemas.openxmlformats.org/officeDocument/2006/relationships/image" Target="media/image39.png"/><Relationship Id="rId5" Type="http://schemas.openxmlformats.org/officeDocument/2006/relationships/image" Target="media/image07.png"/><Relationship Id="rId6" Type="http://schemas.openxmlformats.org/officeDocument/2006/relationships/image" Target="media/image15.png"/><Relationship Id="rId29" Type="http://schemas.openxmlformats.org/officeDocument/2006/relationships/hyperlink" Target="https://habrahabr.ru/post/275813/" TargetMode="External"/><Relationship Id="rId7" Type="http://schemas.openxmlformats.org/officeDocument/2006/relationships/image" Target="media/image33.png"/><Relationship Id="rId8" Type="http://schemas.openxmlformats.org/officeDocument/2006/relationships/image" Target="media/image29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51.png"/><Relationship Id="rId10" Type="http://schemas.openxmlformats.org/officeDocument/2006/relationships/image" Target="media/image53.png"/><Relationship Id="rId13" Type="http://schemas.openxmlformats.org/officeDocument/2006/relationships/image" Target="media/image11.png"/><Relationship Id="rId12" Type="http://schemas.openxmlformats.org/officeDocument/2006/relationships/image" Target="media/image05.png"/><Relationship Id="rId15" Type="http://schemas.openxmlformats.org/officeDocument/2006/relationships/image" Target="media/image31.png"/><Relationship Id="rId14" Type="http://schemas.openxmlformats.org/officeDocument/2006/relationships/image" Target="media/image21.png"/><Relationship Id="rId17" Type="http://schemas.openxmlformats.org/officeDocument/2006/relationships/image" Target="media/image45.png"/><Relationship Id="rId16" Type="http://schemas.openxmlformats.org/officeDocument/2006/relationships/image" Target="media/image49.png"/><Relationship Id="rId19" Type="http://schemas.openxmlformats.org/officeDocument/2006/relationships/image" Target="media/image27.png"/><Relationship Id="rId18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7.png"/><Relationship Id="rId2" Type="http://schemas.openxmlformats.org/officeDocument/2006/relationships/image" Target="media/image01.png"/><Relationship Id="rId3" Type="http://schemas.openxmlformats.org/officeDocument/2006/relationships/image" Target="media/image37.png"/></Relationships>
</file>