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ptos" w:hAnsi="Aptos"/>
          <w:b/>
          <w:i w:val="0"/>
          <w:color w:val="007C89"/>
          <w:sz w:val="28"/>
        </w:rPr>
        <w:t>VERAXIS</w:t>
      </w:r>
    </w:p>
    <w:p>
      <w:pPr>
        <w:pStyle w:val="Title"/>
        <w:jc w:val="center"/>
      </w:pPr>
      <w:r>
        <w:t>Manuale di prodotto</w:t>
      </w:r>
    </w:p>
    <w:p>
      <w:pPr>
        <w:pStyle w:val="Subtitle"/>
        <w:jc w:val="center"/>
      </w:pPr>
      <w:r>
        <w:t>Funzionalità, architettura, amministrazione, API e operations</w:t>
      </w:r>
    </w:p>
    <w:p>
      <w:pPr>
        <w:jc w:val="center"/>
      </w:pPr>
      <w:r>
        <w:rPr>
          <w:rFonts w:ascii="Aptos" w:hAnsi="Aptos"/>
          <w:b w:val="0"/>
          <w:i/>
          <w:color w:val="55606E"/>
          <w:sz w:val="22"/>
        </w:rPr>
        <w:t>Guida commerciale e tecnica per vendita, onboarding e gestione del servizio</w:t>
      </w:r>
    </w:p>
    <w:p/>
    <w:p>
      <w:pPr>
        <w:shd w:fill="EAF2F8"/>
        <w:spacing w:before="80" w:after="160"/>
        <w:ind w:left="160" w:right="160"/>
      </w:pPr>
      <w:r>
        <w:rPr>
          <w:rFonts w:ascii="Aptos" w:hAnsi="Aptos"/>
          <w:b/>
          <w:i w:val="0"/>
          <w:color w:val="007C89"/>
          <w:sz w:val="18"/>
        </w:rPr>
        <w:t>SCOPO DEL DOCUMENTO</w:t>
        <w:br/>
      </w:r>
      <w:r>
        <w:rPr>
          <w:rFonts w:ascii="Aptos" w:hAnsi="Aptos"/>
          <w:b w:val="0"/>
          <w:i w:val="0"/>
          <w:color w:val="0B2545"/>
          <w:sz w:val="21"/>
        </w:rPr>
        <w:t>Spiegare in modo completo che cosa offre Veraxis, come funziona ogni capacità, quali ruoli la utilizzano e quali condizioni operative sono necessarie per commercializzarla in modo responsabile.</w:t>
      </w:r>
    </w:p>
    <w:p>
      <w:pPr>
        <w:shd w:fill="FFF4D6"/>
        <w:spacing w:before="80" w:after="160"/>
        <w:ind w:left="160" w:right="160"/>
      </w:pPr>
      <w:r>
        <w:rPr>
          <w:rFonts w:ascii="Aptos" w:hAnsi="Aptos"/>
          <w:b/>
          <w:i w:val="0"/>
          <w:color w:val="007C89"/>
          <w:sz w:val="18"/>
        </w:rPr>
        <w:t>STATO DEL PRODOTTO</w:t>
        <w:br/>
      </w:r>
      <w:r>
        <w:rPr>
          <w:rFonts w:ascii="Aptos" w:hAnsi="Aptos"/>
          <w:b w:val="0"/>
          <w:i w:val="0"/>
          <w:color w:val="0B2545"/>
          <w:sz w:val="21"/>
        </w:rPr>
        <w:t>Il documento descrive il perimetro attuale della private beta. Le capacità Kernel sperimentali non sono presentate come production boundary: la pipeline commerciale resta basata sul Coordinator.</w:t>
      </w:r>
    </w:p>
    <w:p>
      <w:pPr>
        <w:jc w:val="center"/>
      </w:pPr>
      <w:r>
        <w:rPr>
          <w:rFonts w:ascii="Aptos" w:hAnsi="Aptos"/>
          <w:b/>
          <w:i w:val="0"/>
          <w:color w:val="B47E14"/>
          <w:sz w:val="20"/>
        </w:rPr>
        <w:t>Edizione Private Beta - Luglio 2026</w:t>
      </w:r>
    </w:p>
    <w:p>
      <w:r>
        <w:br w:type="page"/>
      </w:r>
    </w:p>
    <w:p>
      <w:pPr>
        <w:pStyle w:val="Heading1"/>
      </w:pPr>
      <w:r>
        <w:t>Indice funzionale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1. Posizionamento del prodotto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2. Utenti, ruoli e casi d'uso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3. Architettura e componenti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4. Accesso, organizzazioni e sicurezza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5. Portale e gestione delle analisi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6. Ingestion e preparazione dei dati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7. Motore analitico e intenti supportati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8. Ciclo asincrono, stati e cancellazione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9. Pagina risultato e report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10. Feedback e misurazione della qualità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11. Knowledge Intelligence Workspace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12. Product Intelligence e narrativa opzionale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13. REST API e integrazioni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14. Amministrazione, osservabilità e operations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15. Lifecycle dei dati, backup e retention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16. Deployment e responsabilità del cliente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17. Readiness commerciale, limiti e roadmap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18. Glossario e matrice delle funzionalità</w:t>
      </w:r>
    </w:p>
    <w:p>
      <w:pPr>
        <w:shd w:fill="E6F4EA"/>
        <w:spacing w:before="80" w:after="160"/>
        <w:ind w:left="160" w:right="160"/>
      </w:pPr>
      <w:r>
        <w:rPr>
          <w:rFonts w:ascii="Aptos" w:hAnsi="Aptos"/>
          <w:b/>
          <w:i w:val="0"/>
          <w:color w:val="007C89"/>
          <w:sz w:val="18"/>
        </w:rPr>
        <w:t>COME LEGGERLO</w:t>
        <w:br/>
      </w:r>
      <w:r>
        <w:rPr>
          <w:rFonts w:ascii="Aptos" w:hAnsi="Aptos"/>
          <w:b w:val="0"/>
          <w:i w:val="0"/>
          <w:color w:val="0B2545"/>
          <w:sz w:val="21"/>
        </w:rPr>
        <w:t>I capitoli 1-3 servono a vendita e decision maker; 4-12 a utenti e product owner; 13-16 a IT e amministratori; 17-18 a governance, procurement e supporto.</w:t>
      </w:r>
    </w:p>
    <w:p>
      <w:pPr>
        <w:pStyle w:val="Heading1"/>
      </w:pPr>
      <w:r>
        <w:t>1. Posizionamento del prodotto</w:t>
      </w:r>
    </w:p>
    <w:p>
      <w:r>
        <w:t>Veraxis è una piattaforma analitica multi-tenant che trasforma file CSV o Excel e domande in linguaggio naturale in analisi riproducibili, report verificabili e memoria organizzativa. Il valore commerciale nasce dall'unione di calcolo deterministico, spiegabilità, isolamento dei clienti e Knowledge Intelligence.</w:t>
      </w:r>
    </w:p>
    <w:p>
      <w:pPr>
        <w:pStyle w:val="Heading2"/>
      </w:pPr>
      <w:r>
        <w:t>Proposta di valore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Un ambiente unico per chiedere, calcolare, verificare e riutilizzare analisi.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Riduce il passaggio manuale tra fogli, script, report e memoria delle decisioni.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Team business, operations, data analyst, amministratori e sistemi integrati.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Il cliente accede al portale, carica dati autorizzati, formula una domanda e valuta il risultato.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Report, risultati deterministici, profilo dati, intelligence, feedback e lineage.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Limiti e attenzioni: </w:t>
      </w:r>
      <w:r>
        <w:rPr>
          <w:rFonts w:ascii="Aptos" w:hAnsi="Aptos"/>
          <w:b w:val="0"/>
          <w:i w:val="0"/>
          <w:color w:val="0B2545"/>
          <w:sz w:val="21"/>
        </w:rPr>
        <w:t>Non sostituisce la validazione umana né autorizza decisioni automatiche ad alto impatto.</w:t>
      </w:r>
    </w:p>
    <w:p>
      <w:pPr>
        <w:pStyle w:val="Heading2"/>
      </w:pPr>
      <w:r>
        <w:t>Principi di prodotto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Deterministic-first: i numeri autorevoli vengono da calcoli ripetibili.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Offline-first: le funzioni core non richiedono un LLM.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Tenant isolation: ogni organizzazione opera nel proprio perimetro.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Evidence-first: raccomandazioni e decisioni devono avere provenance.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Human feedback: la qualità viene verificata da utenti reali.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Fail clearly: richieste non supportate devono produrre astensione o errore comprensibile.</w:t>
      </w:r>
    </w:p>
    <w:p>
      <w:pPr>
        <w:pStyle w:val="Heading1"/>
      </w:pPr>
      <w:r>
        <w:t>2. Utenti, ruoli e casi d'uso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Ruolo</w:t>
            </w:r>
          </w:p>
        </w:tc>
        <w:tc>
          <w:tcPr>
            <w:tcW w:type="dxa" w:w="706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Responsabilità principale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Amministratore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Gestisce utenti e governance del tenant; può usare API amministrative e cancellare analisi.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Analista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Carica file, avvia e annulla analisi, consulta risultati e Knowledge Intelligence.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Lettore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Consulta risorse autorizzate senza avviare nuove elaborazioni.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Client API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Integra Veraxis in un processo applicativo mediante token Bearer.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Operatore IT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Gestisce deployment, health, metriche, backup, retention e incidenti.</w:t>
            </w:r>
          </w:p>
        </w:tc>
      </w:tr>
    </w:tbl>
    <w:p>
      <w:pPr>
        <w:pStyle w:val="Heading2"/>
      </w:pPr>
      <w:r>
        <w:t>Casi d'uso commerciali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Conteggi e distribuzioni per stato, categoria, canale o segmento.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Top N, somme, medie, minimi e massimi per gruppo.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Trend temporali, controllo di valori mancanti e duplicati.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Individuazione di anomalie e supporto all'analisi delle cause.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Creazione di un archivio consultabile di analisi, evidenze e report.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Integrazione via API in portali, workflow o applicazioni del cliente.</w:t>
      </w:r>
    </w:p>
    <w:p>
      <w:pPr>
        <w:shd w:fill="EAF2F8"/>
        <w:spacing w:before="80" w:after="160"/>
        <w:ind w:left="160" w:right="160"/>
      </w:pPr>
      <w:r>
        <w:rPr>
          <w:rFonts w:ascii="Aptos" w:hAnsi="Aptos"/>
          <w:b/>
          <w:i w:val="0"/>
          <w:color w:val="007C89"/>
          <w:sz w:val="18"/>
        </w:rPr>
        <w:t>SEGMENTI IDEALI</w:t>
        <w:br/>
      </w:r>
      <w:r>
        <w:rPr>
          <w:rFonts w:ascii="Aptos" w:hAnsi="Aptos"/>
          <w:b w:val="0"/>
          <w:i w:val="0"/>
          <w:color w:val="0B2545"/>
          <w:sz w:val="21"/>
        </w:rPr>
        <w:t>Team che lavorano con dati tabellari e desiderano risultati tracciabili senza costruire ogni volta una pipeline analitica dedicata.</w:t>
      </w:r>
    </w:p>
    <w:p>
      <w:r>
        <w:br w:type="page"/>
      </w:r>
    </w:p>
    <w:p>
      <w:pPr>
        <w:pStyle w:val="Heading1"/>
      </w:pPr>
      <w:r>
        <w:t>3. Architettura e componenti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1" name="Picture 1" descr="Figura 1 - Architettura logica della piattaforma commerciale." title="Figura 1 - Architettura logica della piattaforma commerci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t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 w:val="0"/>
          <w:i/>
          <w:color w:val="55606E"/>
          <w:sz w:val="18"/>
        </w:rPr>
        <w:t>Figura 1 - Architettura logica della piattaforma commerciale.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Gateway Nginx: </w:t>
      </w:r>
      <w:r>
        <w:rPr>
          <w:rFonts w:ascii="Aptos" w:hAnsi="Aptos"/>
          <w:b w:val="0"/>
          <w:i w:val="0"/>
          <w:color w:val="0B2545"/>
          <w:sz w:val="21"/>
        </w:rPr>
        <w:t>Espone un ingresso unico, applica limiti e header di sicurezza.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Platform API / Portal: </w:t>
      </w:r>
      <w:r>
        <w:rPr>
          <w:rFonts w:ascii="Aptos" w:hAnsi="Aptos"/>
          <w:b w:val="0"/>
          <w:i w:val="0"/>
          <w:color w:val="0B2545"/>
          <w:sz w:val="21"/>
        </w:rPr>
        <w:t>Autenticazione, RBAC, sessioni, API, storico e risultati.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PostgreSQL / SQLite: </w:t>
      </w:r>
      <w:r>
        <w:rPr>
          <w:rFonts w:ascii="Aptos" w:hAnsi="Aptos"/>
          <w:b w:val="0"/>
          <w:i w:val="0"/>
          <w:color w:val="0B2545"/>
          <w:sz w:val="21"/>
        </w:rPr>
        <w:t>Persistenza di tenant, utenti, analisi e feedback.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Redis + RQ: </w:t>
      </w:r>
      <w:r>
        <w:rPr>
          <w:rFonts w:ascii="Aptos" w:hAnsi="Aptos"/>
          <w:b w:val="0"/>
          <w:i w:val="0"/>
          <w:color w:val="0B2545"/>
          <w:sz w:val="21"/>
        </w:rPr>
        <w:t>Coda durevole, retry, worker separato e cancellazione cooperativa.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Coordinator: </w:t>
      </w:r>
      <w:r>
        <w:rPr>
          <w:rFonts w:ascii="Aptos" w:hAnsi="Aptos"/>
          <w:b w:val="0"/>
          <w:i w:val="0"/>
          <w:color w:val="0B2545"/>
          <w:sz w:val="21"/>
        </w:rPr>
        <w:t>Production boundary che orchestra ingestion, validazione, analisi e report.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Product Intelligence: </w:t>
      </w:r>
      <w:r>
        <w:rPr>
          <w:rFonts w:ascii="Aptos" w:hAnsi="Aptos"/>
          <w:b w:val="0"/>
          <w:i w:val="0"/>
          <w:color w:val="0B2545"/>
          <w:sz w:val="21"/>
        </w:rPr>
        <w:t>Governance, Knowledge Graph, Experience, Recommendation e Decision.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Tenant storage: </w:t>
      </w:r>
      <w:r>
        <w:rPr>
          <w:rFonts w:ascii="Aptos" w:hAnsi="Aptos"/>
          <w:b w:val="0"/>
          <w:i w:val="0"/>
          <w:color w:val="0B2545"/>
          <w:sz w:val="21"/>
        </w:rPr>
        <w:t>Knowledge Graph, Experience e history isolati per organizzazione.</w:t>
      </w:r>
    </w:p>
    <w:p>
      <w:pPr>
        <w:shd w:fill="FFF4D6"/>
        <w:spacing w:before="80" w:after="160"/>
        <w:ind w:left="160" w:right="160"/>
      </w:pPr>
      <w:r>
        <w:rPr>
          <w:rFonts w:ascii="Aptos" w:hAnsi="Aptos"/>
          <w:b/>
          <w:i w:val="0"/>
          <w:color w:val="007C89"/>
          <w:sz w:val="18"/>
        </w:rPr>
        <w:t>BOUNDARY DI PRODUZIONE</w:t>
        <w:br/>
      </w:r>
      <w:r>
        <w:rPr>
          <w:rFonts w:ascii="Aptos" w:hAnsi="Aptos"/>
          <w:b w:val="0"/>
          <w:i w:val="0"/>
          <w:color w:val="0B2545"/>
          <w:sz w:val="21"/>
        </w:rPr>
        <w:t>Il Coordinator è il motore orchestratore in produzione. Il Kernel sperimentale viene usato per test di parità e non sostituisce ancora questo confine.</w:t>
      </w:r>
    </w:p>
    <w:p>
      <w:pPr>
        <w:pStyle w:val="Heading1"/>
      </w:pPr>
      <w:r>
        <w:t>4. Accesso, organizzazioni e sicurezza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" name="Picture 2" descr="Figura 2 - Accesso e registrazione dell'organizzazione." title="Figura 2 - Accesso e registrazione dell'organizzazio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ccesso_registrazio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 w:val="0"/>
          <w:i/>
          <w:color w:val="55606E"/>
          <w:sz w:val="18"/>
        </w:rPr>
        <w:t>Figura 2 - Accesso e registrazione dell'organizzazione.</w:t>
      </w:r>
    </w:p>
    <w:p>
      <w:pPr>
        <w:pStyle w:val="Heading2"/>
      </w:pPr>
      <w:r>
        <w:t>Registrazione organizzazione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Creazione di un tenant e del primo amministratore.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Genera lo spazio isolato, l'utente admin e le credenziali di sessione.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Amministratore iniziale o onboarding team.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Compilare organizzazione, email e password; in produzione la self-registration può essere disabilitata.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Tenant ID, utente admin e sessione autenticata.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Limiti e attenzioni: </w:t>
      </w:r>
      <w:r>
        <w:rPr>
          <w:rFonts w:ascii="Aptos" w:hAnsi="Aptos"/>
          <w:b w:val="0"/>
          <w:i w:val="0"/>
          <w:color w:val="0B2545"/>
          <w:sz w:val="21"/>
        </w:rPr>
        <w:t>In produzione è raccomandato provisioning controllato e self-registration disattivata.</w:t>
      </w:r>
    </w:p>
    <w:p>
      <w:pPr>
        <w:pStyle w:val="Heading2"/>
      </w:pPr>
      <w:r>
        <w:t>Login e logout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Accesso tenant-aware tramite ID tenant, email e password.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Verifica le credenziali e crea una sessione firmata HttpOnly/SameSite.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Tutti gli utenti del portale.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Inserire i tre dati nel portale; usare Esci al termine della sessione.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Sessione autenticata associata a ruolo e tenant.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Limiti e attenzioni: </w:t>
      </w:r>
      <w:r>
        <w:rPr>
          <w:rFonts w:ascii="Aptos" w:hAnsi="Aptos"/>
          <w:b w:val="0"/>
          <w:i w:val="0"/>
          <w:color w:val="0B2545"/>
          <w:sz w:val="21"/>
        </w:rPr>
        <w:t>HTTPS obbligatorio in produzione; password e tenant ID non vanno condivisi.</w:t>
      </w:r>
    </w:p>
    <w:p>
      <w:pPr>
        <w:pStyle w:val="Heading2"/>
      </w:pPr>
      <w:r>
        <w:t>RBAC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Controllo accessi basato su admin, analyst e viewer.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Limita creazione utenti, invio analisi, cancellazione e consultazione.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Amministratori e security owner.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Assegnare il ruolo minimo necessario durante la creazione dell'utente via API.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Autorizzazioni coerenti applicate a ogni endpoint.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Limiti e attenzioni: </w:t>
      </w:r>
      <w:r>
        <w:rPr>
          <w:rFonts w:ascii="Aptos" w:hAnsi="Aptos"/>
          <w:b w:val="0"/>
          <w:i w:val="0"/>
          <w:color w:val="0B2545"/>
          <w:sz w:val="21"/>
        </w:rPr>
        <w:t>RBAC non sostituisce processi di offboarding e revisione periodica degli accessi.</w:t>
      </w:r>
    </w:p>
    <w:p>
      <w:r>
        <w:br w:type="page"/>
      </w:r>
    </w:p>
    <w:p>
      <w:pPr>
        <w:pStyle w:val="Heading1"/>
      </w:pPr>
      <w:r>
        <w:t>5. Portale e gestione delle analisi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19477"/>
            <wp:docPr id="3" name="Picture 3" descr="Figura 3 - Home autenticata: nuova analisi, tenant, Knowledge Intelligence e storico." title="Figura 3 - Home autenticata: nuova analisi, tenant, Knowledge Intelligence e storic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_nuova_analis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19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 w:val="0"/>
          <w:i/>
          <w:color w:val="55606E"/>
          <w:sz w:val="18"/>
        </w:rPr>
        <w:t>Figura 3 - Home autenticata: nuova analisi, tenant, Knowledge Intelligence e storico.</w:t>
      </w:r>
    </w:p>
    <w:p>
      <w:pPr>
        <w:pStyle w:val="Heading2"/>
      </w:pPr>
      <w:r>
        <w:t>Nuova analisi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Modulo principale per combinare domanda e dataset.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Trasforma il file in record in memoria e crea un job asincrono.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Admin e analyst.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Scrivere la domanda, scegliere CSV/Excel, decidere sulla narrativa e premere Avvia analisi.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ID job, stato iniziale e voce nello storico.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Limiti e attenzioni: </w:t>
      </w:r>
      <w:r>
        <w:rPr>
          <w:rFonts w:ascii="Aptos" w:hAnsi="Aptos"/>
          <w:b w:val="0"/>
          <w:i w:val="0"/>
          <w:color w:val="0B2545"/>
          <w:sz w:val="21"/>
        </w:rPr>
        <w:t>Una domanda troppo generica può produrre astensione o una risposta non pertinente.</w:t>
      </w:r>
    </w:p>
    <w:p>
      <w:pPr>
        <w:pStyle w:val="Heading2"/>
      </w:pPr>
      <w:r>
        <w:t>Storico tenant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Elenco delle analisi del tenant ordinate dalla più recente.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Mostra data, domanda, fonte, stato, avanzamento, ID e azioni.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Utenti autenticati secondo ruolo.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Usare Apri risultato, Annulla o tornare in seguito con lo stesso account.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Vista operativa e accesso persistente ai risultati.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Limiti e attenzioni: </w:t>
      </w:r>
      <w:r>
        <w:rPr>
          <w:rFonts w:ascii="Aptos" w:hAnsi="Aptos"/>
          <w:b w:val="0"/>
          <w:i w:val="0"/>
          <w:color w:val="0B2545"/>
          <w:sz w:val="21"/>
        </w:rPr>
        <w:t>Non mostra dati di tenant diversi; il numero di elementi è bounded.</w:t>
      </w:r>
    </w:p>
    <w:p>
      <w:pPr>
        <w:pStyle w:val="Heading2"/>
      </w:pPr>
      <w:r>
        <w:t>Narrativa opzionale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Flag per richiedere una riscrittura più naturale del contenuto deterministico.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Attiva la facade narrativa soltanto quando configurata e consentita.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Admin e analyst, secondo policy cliente.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Selezionare la checkbox prima dell'invio.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Testo riformattato con provenance e fallback.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Limiti e attenzioni: </w:t>
      </w:r>
      <w:r>
        <w:rPr>
          <w:rFonts w:ascii="Aptos" w:hAnsi="Aptos"/>
          <w:b w:val="0"/>
          <w:i w:val="0"/>
          <w:color w:val="0B2545"/>
          <w:sz w:val="21"/>
        </w:rPr>
        <w:t>Non può introdurre nuovi numeri o fatti e non sostituisce il risultato deterministico.</w:t>
      </w:r>
    </w:p>
    <w:p>
      <w:pPr>
        <w:pStyle w:val="Heading1"/>
      </w:pPr>
      <w:r>
        <w:t>6. Ingestion e preparazione dei dati</w:t>
      </w:r>
    </w:p>
    <w:p>
      <w:pPr>
        <w:pStyle w:val="Heading2"/>
      </w:pPr>
      <w:r>
        <w:t>Upload CSV / Excel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Ingresso tabellare del portale.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Legge file CSV, XLSX o XLS e costruisce un DataFrame in memoria.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Admin e analyst.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Caricare una tabella con intestazione unica, una riga per record e tipi coerenti.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Dataset in memoria e metadati di fonte.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Limiti e attenzioni: </w:t>
      </w:r>
      <w:r>
        <w:rPr>
          <w:rFonts w:ascii="Aptos" w:hAnsi="Aptos"/>
          <w:b w:val="0"/>
          <w:i w:val="0"/>
          <w:color w:val="0B2545"/>
          <w:sz w:val="21"/>
        </w:rPr>
        <w:t>Righe decorative, celle unite, header multipli e numeri memorizzati come testo riducono la qualità.</w:t>
      </w:r>
    </w:p>
    <w:p>
      <w:pPr>
        <w:pStyle w:val="Heading2"/>
      </w:pPr>
      <w:r>
        <w:t>Regole di qualità prima dell'upload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Intestazioni univoche e descrittive.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Nessun subtotale o riga di titolo dentro la tabella.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Date, numeri e categorie con formato coerente.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Duplicati e valori mancanti compresi e documentati.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Assenza di dati personali non necessari.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Dimensione entro API_MAX_RECORDS e limiti del gateway.</w:t>
      </w:r>
    </w:p>
    <w:p>
      <w:pPr>
        <w:shd w:fill="E6F4EA"/>
        <w:spacing w:before="80" w:after="160"/>
        <w:ind w:left="160" w:right="160"/>
      </w:pPr>
      <w:r>
        <w:rPr>
          <w:rFonts w:ascii="Aptos" w:hAnsi="Aptos"/>
          <w:b/>
          <w:i w:val="0"/>
          <w:color w:val="007C89"/>
          <w:sz w:val="18"/>
        </w:rPr>
        <w:t>PERSISTENZA DEI DATI</w:t>
        <w:br/>
      </w:r>
      <w:r>
        <w:rPr>
          <w:rFonts w:ascii="Aptos" w:hAnsi="Aptos"/>
          <w:b w:val="0"/>
          <w:i w:val="0"/>
          <w:color w:val="0B2545"/>
          <w:sz w:val="21"/>
        </w:rPr>
        <w:t>Le righe originali sono usate in memoria durante l'analisi ma non vengono incluse nella richiesta o nel risultato persistito dalla piattaforma. Knowledge Graph, history e log seguono lifecycle separati.</w:t>
      </w:r>
    </w:p>
    <w:p>
      <w:r>
        <w:br w:type="page"/>
      </w:r>
    </w:p>
    <w:p>
      <w:pPr>
        <w:pStyle w:val="Heading1"/>
      </w:pPr>
      <w:r>
        <w:t>7. Motore analitico e intenti supportati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Funzione</w:t>
            </w:r>
          </w:p>
        </w:tc>
        <w:tc>
          <w:tcPr>
            <w:tcW w:type="dxa" w:w="250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Contratto</w:t>
            </w:r>
          </w:p>
        </w:tc>
        <w:tc>
          <w:tcPr>
            <w:tcW w:type="dxa" w:w="506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Comportamento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Conteggio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count_occurrences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Conta elementi per categoria; può includere dimensioni correlate e tabelle incrociate.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Top N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top_n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Classifica categorie per frequenza o metrica aggregata.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Aggregazione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numeric_aggregation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Somma, media, minimo, massimo o conteggio, anche per gruppo.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Trend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time_trend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Aggrega una metrica o i record lungo una colonna temporale.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Null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null_detection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Conta valori mancanti e percentuali per colonna.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Duplicati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duplicate_detection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Conta righe duplicate e fornisce un campione bounded.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Anomalie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pipeline Coordinator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Applica metodi statistici e deduplica lo stesso evento rilevato da più metodi.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Cause e raccomandazioni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pipeline Coordinator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Produce ipotesi supportate dalle evidenze disponibili e suggerimenti non vincolanti.</w:t>
            </w:r>
          </w:p>
        </w:tc>
      </w:tr>
    </w:tbl>
    <w:p>
      <w:pPr>
        <w:pStyle w:val="Heading2"/>
      </w:pPr>
      <w:r>
        <w:t>Domande consigliate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Conta i ticket per stato e canale.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Mostra i primi 5 prodotti per somma dei ricavi.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Calcola la media del tempo di risposta per team.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Mostra il trend mensile degli ordini.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Trova valori mancanti e righe duplicate.</w:t>
      </w:r>
    </w:p>
    <w:p>
      <w:pPr>
        <w:shd w:fill="FCE8E6"/>
        <w:spacing w:before="80" w:after="160"/>
        <w:ind w:left="160" w:right="160"/>
      </w:pPr>
      <w:r>
        <w:rPr>
          <w:rFonts w:ascii="Aptos" w:hAnsi="Aptos"/>
          <w:b/>
          <w:i w:val="0"/>
          <w:color w:val="9B1C1C"/>
          <w:sz w:val="18"/>
        </w:rPr>
        <w:t>ASTENSIONE</w:t>
        <w:br/>
      </w:r>
      <w:r>
        <w:rPr>
          <w:rFonts w:ascii="Aptos" w:hAnsi="Aptos"/>
          <w:b w:val="0"/>
          <w:i w:val="0"/>
          <w:color w:val="0B2545"/>
          <w:sz w:val="21"/>
        </w:rPr>
        <w:t>Se la richiesta non identifica un intento supportato, il motore deve dichiararla non supportata e chiedere maggiore precisione, invece di calcolare una metrica arbitraria.</w:t>
      </w:r>
    </w:p>
    <w:p>
      <w:pPr>
        <w:pStyle w:val="Heading1"/>
      </w:pPr>
      <w:r>
        <w:t>8. Ciclo asincrono, stati e cancellazione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116390"/>
            <wp:docPr id="4" name="Picture 4" descr="Figura 4 - Dalla richiesta al feedback: ciclo end-to-end di un'analisi." title="Figura 4 - Dalla richiesta al feedback: ciclo end-to-end di un'analis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iclo_analis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1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 w:val="0"/>
          <w:i/>
          <w:color w:val="55606E"/>
          <w:sz w:val="18"/>
        </w:rPr>
        <w:t>Figura 4 - Dalla richiesta al feedback: ciclo end-to-end di un'analisi.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5" name="Picture 5" descr="Figura 5 - Job in elaborazione con aggiornamento automatico e annullamento." title="Figura 5 - Job in elaborazione con aggiornamento automatico e annullamen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nalisi_in_elaborazio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 w:val="0"/>
          <w:i/>
          <w:color w:val="55606E"/>
          <w:sz w:val="18"/>
        </w:rPr>
        <w:t>Figura 5 - Job in elaborazione con aggiornamento automatico e annullamento.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5260"/>
      </w:tblGrid>
      <w:tr>
        <w:trPr>
          <w:tblHeader w:val="true"/>
        </w:trPr>
        <w:tc>
          <w:tcPr>
            <w:tcW w:type="dxa" w:w="190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Stato API</w:t>
            </w:r>
          </w:p>
        </w:tc>
        <w:tc>
          <w:tcPr>
            <w:tcW w:type="dxa" w:w="220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Etichetta</w:t>
            </w:r>
          </w:p>
        </w:tc>
        <w:tc>
          <w:tcPr>
            <w:tcW w:type="dxa" w:w="526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Significato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queued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In coda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Richiesta persistita, in attesa del worker.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processing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In elaborazione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Coordinator in esecuzione; progress aggiornabile.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cancelling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Annullamento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Richiesta di stop registrata.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cancelled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Annullata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Job terminato senza pubblicare il risultato.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completed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Completata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Risultato verificato e persistito.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failed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Non riuscita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Errore registrato; il report non viene presentato come valido.</w:t>
            </w:r>
          </w:p>
        </w:tc>
      </w:tr>
    </w:tbl>
    <w:p>
      <w:pPr>
        <w:pStyle w:val="Heading2"/>
      </w:pPr>
      <w:r>
        <w:t>Cancellazione cooperativa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Comando di arresto per job in coda o in elaborazione.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Imposta cancel_requested e interrompe il worker al successivo punto di controllo sicuro.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Admin e analyst.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Dal portale usare Annulla; via API usare POST /analyses/{id}/cancel.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Stato cancelled o cancelling.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Limiti e attenzioni: </w:t>
      </w:r>
      <w:r>
        <w:rPr>
          <w:rFonts w:ascii="Aptos" w:hAnsi="Aptos"/>
          <w:b w:val="0"/>
          <w:i w:val="0"/>
          <w:color w:val="0B2545"/>
          <w:sz w:val="21"/>
        </w:rPr>
        <w:t>Non equivale a cancellazione dei dati persistiti; quella è un'operazione amministrativa separata.</w:t>
      </w:r>
    </w:p>
    <w:p>
      <w:r>
        <w:br w:type="page"/>
      </w:r>
    </w:p>
    <w:p>
      <w:pPr>
        <w:pStyle w:val="Heading1"/>
      </w:pPr>
      <w:r>
        <w:t>9. Pagina risultato e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6" name="Picture 6" descr="Figura 6 - Risultato: metadati, report, calcolo deterministico e accesso al Knowledge Graph." title="Figura 6 - Risultato: metadati, report, calcolo deterministico e accesso al Knowledge Grap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isultato_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 w:val="0"/>
          <w:i/>
          <w:color w:val="55606E"/>
          <w:sz w:val="18"/>
        </w:rPr>
        <w:t>Figura 6 - Risultato: metadati, report, calcolo deterministico e accesso al Knowledge Graph.</w:t>
      </w:r>
    </w:p>
    <w:p>
      <w:pPr>
        <w:pStyle w:val="Heading2"/>
      </w:pPr>
      <w:r>
        <w:t>Hero e metadati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Intestazione dell'analisi.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Mostra domanda, ID, stato, avanzamento, fonte e data.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Tutti gli utenti autorizzati.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Confrontare questi dati con la richiesta originale prima di leggere i numeri.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Contesto minimo per audit e supporto.</w:t>
      </w:r>
    </w:p>
    <w:p>
      <w:pPr>
        <w:pStyle w:val="Heading2"/>
      </w:pPr>
      <w:r>
        <w:t>Report dell'analisi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Risposta business answer-first in Markdown.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Riassume obiettivo, perimetro, risultati, qualità dati e raccomandazioni pertinenti.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Business user e analyst.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Leggere prima la risposta, poi verificare tabelle e caveat.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Testo scaricabile in formato Markdown.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Limiti e attenzioni: </w:t>
      </w:r>
      <w:r>
        <w:rPr>
          <w:rFonts w:ascii="Aptos" w:hAnsi="Aptos"/>
          <w:b w:val="0"/>
          <w:i w:val="0"/>
          <w:color w:val="0B2545"/>
          <w:sz w:val="21"/>
        </w:rPr>
        <w:t>Il report può essere formalmente leggibile ma non pertinente: va sempre confrontato con la domanda.</w:t>
      </w:r>
    </w:p>
    <w:p>
      <w:pPr>
        <w:pStyle w:val="Heading2"/>
      </w:pPr>
      <w:r>
        <w:t>Risultati deterministici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Payload tecnico dei calcoli ripetibili.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Espone piano, colonne, aggregazioni, valori, status e provenance.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Analyst, QA, supporto e integrazioni.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Usarlo per audit, debug e riconciliazione dei numeri.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JSON visualizzato in pannello bounded.</w:t>
      </w:r>
    </w:p>
    <w:p>
      <w:pPr>
        <w:pStyle w:val="Heading2"/>
      </w:pPr>
      <w:r>
        <w:t>Perimetro dati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Profilo del DataFrame elaborato.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Mostra righe, colonne, tipi, null, duplicati, statistiche e correlazioni disponibili.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Analyst e data owner.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Verificare che il dataset letto coincida con quello previsto.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Profilo strutturale senza dump delle righe originali.</w:t>
      </w:r>
    </w:p>
    <w:p>
      <w:pPr>
        <w:pStyle w:val="Heading2"/>
      </w:pPr>
      <w:r>
        <w:t>Intelligenza di prodotto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Payload integrato di governance e decision support.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Raccoglie consistenza, Knowledge Graph, Experience, raccomandazioni, decisione, narrativa e osservabilità.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Analyst avanzato, product owner, audit.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Esaminare status, evidenze, rischio e provenance.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Payload JSON e sezioni nel report.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Limiti e attenzioni: </w:t>
      </w:r>
      <w:r>
        <w:rPr>
          <w:rFonts w:ascii="Aptos" w:hAnsi="Aptos"/>
          <w:b w:val="0"/>
          <w:i w:val="0"/>
          <w:color w:val="0B2545"/>
          <w:sz w:val="21"/>
        </w:rPr>
        <w:t>Una failure di intelligence non invalida automaticamente un calcolo analitico valido.</w:t>
      </w:r>
    </w:p>
    <w:p>
      <w:pPr>
        <w:pStyle w:val="Heading2"/>
      </w:pPr>
      <w:r>
        <w:t>Download Markdown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Esportazione testuale del report.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Scarica il report dell'analisi senza il payload tecnico completo.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Utenti autorizzati.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Premere Scarica report Markdown.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File .md archiviabile e versionabile.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Limiti e attenzioni: </w:t>
      </w:r>
      <w:r>
        <w:rPr>
          <w:rFonts w:ascii="Aptos" w:hAnsi="Aptos"/>
          <w:b w:val="0"/>
          <w:i w:val="0"/>
          <w:color w:val="0B2545"/>
          <w:sz w:val="21"/>
        </w:rPr>
        <w:t>La condivisione segue le policy del cliente.</w:t>
      </w:r>
    </w:p>
    <w:p>
      <w:pPr>
        <w:pStyle w:val="Heading1"/>
      </w:pPr>
      <w:r>
        <w:t>10. Feedback e misurazione della qualità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7" name="Picture 7" descr="Figura 7 - Valutazione 1-5, esito e nota facoltativa." title="Figura 7 - Valutazione 1-5, esito e nota facoltativ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eedbac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 w:val="0"/>
          <w:i/>
          <w:color w:val="55606E"/>
          <w:sz w:val="18"/>
        </w:rPr>
        <w:t>Figura 7 - Valutazione 1-5, esito e nota facoltativa.</w:t>
      </w:r>
    </w:p>
    <w:p>
      <w:pPr>
        <w:pStyle w:val="Heading2"/>
      </w:pPr>
      <w:r>
        <w:t>Feedback tenant-scoped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Valutazione associata a utente, tenant e analisi.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Registra rating 1-5, esito correct/partial/incorrect e nota fino a 1.000 caratteri.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Utenti autenticati che conoscono il dataset.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Valutare il risultato dopo un controllo indipendente e premere Salva feedback.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Record aggiornabile dallo stesso utente e metriche aggregate.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Limiti e attenzioni: </w:t>
      </w:r>
      <w:r>
        <w:rPr>
          <w:rFonts w:ascii="Aptos" w:hAnsi="Aptos"/>
          <w:b w:val="0"/>
          <w:i w:val="0"/>
          <w:color w:val="0B2545"/>
          <w:sz w:val="21"/>
        </w:rPr>
        <w:t>Non premiare la grafica; valutare pertinenza, colonne, aggregazioni e numeri.</w:t>
      </w:r>
    </w:p>
    <w:p>
      <w:pPr>
        <w:pStyle w:val="Heading2"/>
      </w:pPr>
      <w:r>
        <w:t>Metriche aggregate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numero totale di feedback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rating medio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conteggi per esito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analisi persistite per stato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counter di submission, completamenti e failure del processo corrente</w:t>
      </w:r>
    </w:p>
    <w:p>
      <w:pPr>
        <w:shd w:fill="E6F4EA"/>
        <w:spacing w:before="80" w:after="160"/>
        <w:ind w:left="160" w:right="160"/>
      </w:pPr>
      <w:r>
        <w:rPr>
          <w:rFonts w:ascii="Aptos" w:hAnsi="Aptos"/>
          <w:b/>
          <w:i w:val="0"/>
          <w:color w:val="007C89"/>
          <w:sz w:val="18"/>
        </w:rPr>
        <w:t>PRIVACY DELLE METRICHE</w:t>
        <w:br/>
      </w:r>
      <w:r>
        <w:rPr>
          <w:rFonts w:ascii="Aptos" w:hAnsi="Aptos"/>
          <w:b w:val="0"/>
          <w:i w:val="0"/>
          <w:color w:val="0B2545"/>
          <w:sz w:val="21"/>
        </w:rPr>
        <w:t>L'endpoint /metrics espone aggregati senza email, note, prompt o identificativi tenant nelle label.</w:t>
      </w:r>
    </w:p>
    <w:p>
      <w:r>
        <w:br w:type="page"/>
      </w:r>
    </w:p>
    <w:p>
      <w:pPr>
        <w:pStyle w:val="Heading1"/>
      </w:pPr>
      <w:r>
        <w:t>11. Knowledge Intelligence Workspace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6346793"/>
            <wp:docPr id="8" name="Picture 8" descr="Figura 8 - Workspace tenant-scoped della conoscenza e delle decisioni." title="Figura 8 - Workspace tenant-scoped della conoscenza e delle decision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knowledge_grap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346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 w:val="0"/>
          <w:i/>
          <w:color w:val="55606E"/>
          <w:sz w:val="18"/>
        </w:rPr>
        <w:t>Figura 8 - Workspace tenant-scoped della conoscenza e delle decisioni.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Metriche del grafo: </w:t>
      </w:r>
      <w:r>
        <w:rPr>
          <w:rFonts w:ascii="Aptos" w:hAnsi="Aptos"/>
          <w:b w:val="0"/>
          <w:i w:val="0"/>
          <w:color w:val="0B2545"/>
          <w:sz w:val="21"/>
        </w:rPr>
        <w:t>Nodi, relazioni, tipi, esperienze, analisi e governance.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Ricerca semantica: </w:t>
      </w:r>
      <w:r>
        <w:rPr>
          <w:rFonts w:ascii="Aptos" w:hAnsi="Aptos"/>
          <w:b w:val="0"/>
          <w:i w:val="0"/>
          <w:color w:val="0B2545"/>
          <w:sz w:val="21"/>
        </w:rPr>
        <w:t>Filtra label, ID e proprietà dei nodi.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Filtro per tipo: </w:t>
      </w:r>
      <w:r>
        <w:rPr>
          <w:rFonts w:ascii="Aptos" w:hAnsi="Aptos"/>
          <w:b w:val="0"/>
          <w:i w:val="0"/>
          <w:color w:val="0B2545"/>
          <w:sz w:val="21"/>
        </w:rPr>
        <w:t>Riduce la vista a analysis_run, dataset, colonne, insight o report.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Relazioni dominanti: </w:t>
      </w:r>
      <w:r>
        <w:rPr>
          <w:rFonts w:ascii="Aptos" w:hAnsi="Aptos"/>
          <w:b w:val="0"/>
          <w:i w:val="0"/>
          <w:color w:val="0B2545"/>
          <w:sz w:val="21"/>
        </w:rPr>
        <w:t>Mostra le connessioni più frequenti nel grafo.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Mappa interattiva: </w:t>
      </w:r>
      <w:r>
        <w:rPr>
          <w:rFonts w:ascii="Aptos" w:hAnsi="Aptos"/>
          <w:b w:val="0"/>
          <w:i w:val="0"/>
          <w:color w:val="0B2545"/>
          <w:sz w:val="21"/>
        </w:rPr>
        <w:t>Visualizza nodi e archi con zoom e selezione.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Dettaglio nodo: </w:t>
      </w:r>
      <w:r>
        <w:rPr>
          <w:rFonts w:ascii="Aptos" w:hAnsi="Aptos"/>
          <w:b w:val="0"/>
          <w:i w:val="0"/>
          <w:color w:val="0B2545"/>
          <w:sz w:val="21"/>
        </w:rPr>
        <w:t>Espone proprietà, provenance e vicini del nodo selezionato.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Console deterministica: </w:t>
      </w:r>
      <w:r>
        <w:rPr>
          <w:rFonts w:ascii="Aptos" w:hAnsi="Aptos"/>
          <w:b w:val="0"/>
          <w:i w:val="0"/>
          <w:color w:val="0B2545"/>
          <w:sz w:val="21"/>
        </w:rPr>
        <w:t>Risponde a domande supportate usando solo evidenze del grafo.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Experience: </w:t>
      </w:r>
      <w:r>
        <w:rPr>
          <w:rFonts w:ascii="Aptos" w:hAnsi="Aptos"/>
          <w:b w:val="0"/>
          <w:i w:val="0"/>
          <w:color w:val="0B2545"/>
          <w:sz w:val="21"/>
        </w:rPr>
        <w:t>Mostra pattern analitici consolidati nel tempo.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Raccomandazioni: </w:t>
      </w:r>
      <w:r>
        <w:rPr>
          <w:rFonts w:ascii="Aptos" w:hAnsi="Aptos"/>
          <w:b w:val="0"/>
          <w:i w:val="0"/>
          <w:color w:val="0B2545"/>
          <w:sz w:val="21"/>
        </w:rPr>
        <w:t>Presenta azioni candidate con score ed evidenze.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Decisioni: </w:t>
      </w:r>
      <w:r>
        <w:rPr>
          <w:rFonts w:ascii="Aptos" w:hAnsi="Aptos"/>
          <w:b w:val="0"/>
          <w:i w:val="0"/>
          <w:color w:val="0B2545"/>
          <w:sz w:val="21"/>
        </w:rPr>
        <w:t>Mostra ranking, selezione o astensione della policy.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Qualità: </w:t>
      </w:r>
      <w:r>
        <w:rPr>
          <w:rFonts w:ascii="Aptos" w:hAnsi="Aptos"/>
          <w:b w:val="0"/>
          <w:i w:val="0"/>
          <w:color w:val="0B2545"/>
          <w:sz w:val="21"/>
        </w:rPr>
        <w:t>Espone validazione strutturale, issue, quarantena e possibilità di consumo/scrittura.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Cronologia: </w:t>
      </w:r>
      <w:r>
        <w:rPr>
          <w:rFonts w:ascii="Aptos" w:hAnsi="Aptos"/>
          <w:b w:val="0"/>
          <w:i w:val="0"/>
          <w:color w:val="0B2545"/>
          <w:sz w:val="21"/>
        </w:rPr>
        <w:t>Collega le analisi completate alla memoria del tenant.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Esportazione: </w:t>
      </w:r>
      <w:r>
        <w:rPr>
          <w:rFonts w:ascii="Aptos" w:hAnsi="Aptos"/>
          <w:b w:val="0"/>
          <w:i w:val="0"/>
          <w:color w:val="0B2545"/>
          <w:sz w:val="21"/>
        </w:rPr>
        <w:t>Scarica una proiezione JSON bounded del workspace.</w:t>
      </w:r>
    </w:p>
    <w:p>
      <w:pPr>
        <w:shd w:fill="EAF2F8"/>
        <w:spacing w:before="80" w:after="160"/>
        <w:ind w:left="160" w:right="160"/>
      </w:pPr>
      <w:r>
        <w:rPr>
          <w:rFonts w:ascii="Aptos" w:hAnsi="Aptos"/>
          <w:b/>
          <w:i w:val="0"/>
          <w:color w:val="007C89"/>
          <w:sz w:val="18"/>
        </w:rPr>
        <w:t>FUNZIONA OFFLINE</w:t>
        <w:br/>
      </w:r>
      <w:r>
        <w:rPr>
          <w:rFonts w:ascii="Aptos" w:hAnsi="Aptos"/>
          <w:b w:val="0"/>
          <w:i w:val="0"/>
          <w:color w:val="0B2545"/>
          <w:sz w:val="21"/>
        </w:rPr>
        <w:t>La query deterministica e la visualizzazione non richiedono un LLM o un graph database esterno. Le risposte sono limitate alle evidenze già presenti.</w:t>
      </w:r>
    </w:p>
    <w:p>
      <w:pPr>
        <w:pStyle w:val="Heading1"/>
      </w:pPr>
      <w:r>
        <w:t>12. Product Intelligence e narrativa opzionale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30043"/>
            <wp:docPr id="9" name="Picture 9" descr="Figura 9 - Pipeline di intelligence evidence-based." title="Figura 9 - Pipeline di intelligence evidence-bas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duct_intellig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30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 w:val="0"/>
          <w:i/>
          <w:color w:val="55606E"/>
          <w:sz w:val="18"/>
        </w:rPr>
        <w:t>Figura 9 - Pipeline di intelligence evidence-based.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Knowledge Graph: </w:t>
      </w:r>
      <w:r>
        <w:rPr>
          <w:rFonts w:ascii="Aptos" w:hAnsi="Aptos"/>
          <w:b w:val="0"/>
          <w:i w:val="0"/>
          <w:color w:val="0B2545"/>
          <w:sz w:val="21"/>
        </w:rPr>
        <w:t>Mappa dataset, colonne, analisi, insight e report con provenance.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Governance: </w:t>
      </w:r>
      <w:r>
        <w:rPr>
          <w:rFonts w:ascii="Aptos" w:hAnsi="Aptos"/>
          <w:b w:val="0"/>
          <w:i w:val="0"/>
          <w:color w:val="0B2545"/>
          <w:sz w:val="21"/>
        </w:rPr>
        <w:t>Valida struttura, naming, identità, riferimenti e compatibilità dello schema.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Consistency: </w:t>
      </w:r>
      <w:r>
        <w:rPr>
          <w:rFonts w:ascii="Aptos" w:hAnsi="Aptos"/>
          <w:b w:val="0"/>
          <w:i w:val="0"/>
          <w:color w:val="0B2545"/>
          <w:sz w:val="21"/>
        </w:rPr>
        <w:t>Blocca il riuso quando le evidenze non superano i gate semantici.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Experience: </w:t>
      </w:r>
      <w:r>
        <w:rPr>
          <w:rFonts w:ascii="Aptos" w:hAnsi="Aptos"/>
          <w:b w:val="0"/>
          <w:i w:val="0"/>
          <w:color w:val="0B2545"/>
          <w:sz w:val="21"/>
        </w:rPr>
        <w:t>Consolida pattern analitici riutilizzabili dal tenant.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Recommendation: </w:t>
      </w:r>
      <w:r>
        <w:rPr>
          <w:rFonts w:ascii="Aptos" w:hAnsi="Aptos"/>
          <w:b w:val="0"/>
          <w:i w:val="0"/>
          <w:color w:val="0B2545"/>
          <w:sz w:val="21"/>
        </w:rPr>
        <w:t>Raccoglie e ordina azioni candidate bounded.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Decision: </w:t>
      </w:r>
      <w:r>
        <w:rPr>
          <w:rFonts w:ascii="Aptos" w:hAnsi="Aptos"/>
          <w:b w:val="0"/>
          <w:i w:val="0"/>
          <w:color w:val="0B2545"/>
          <w:sz w:val="21"/>
        </w:rPr>
        <w:t>Seleziona un'opzione supportata oppure si astiene.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Narrative: </w:t>
      </w:r>
      <w:r>
        <w:rPr>
          <w:rFonts w:ascii="Aptos" w:hAnsi="Aptos"/>
          <w:b w:val="0"/>
          <w:i w:val="0"/>
          <w:color w:val="0B2545"/>
          <w:sz w:val="21"/>
        </w:rPr>
        <w:t>Formatta i fatti ammessi senza sostituire il contenuto deterministico.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Observability: </w:t>
      </w:r>
      <w:r>
        <w:rPr>
          <w:rFonts w:ascii="Aptos" w:hAnsi="Aptos"/>
          <w:b w:val="0"/>
          <w:i w:val="0"/>
          <w:color w:val="0B2545"/>
          <w:sz w:val="21"/>
        </w:rPr>
        <w:t>Registra run ID, stage, durata, status ed error type.</w:t>
      </w:r>
    </w:p>
    <w:p>
      <w:pPr>
        <w:shd w:fill="FFF4D6"/>
        <w:spacing w:before="80" w:after="160"/>
        <w:ind w:left="160" w:right="160"/>
      </w:pPr>
      <w:r>
        <w:rPr>
          <w:rFonts w:ascii="Aptos" w:hAnsi="Aptos"/>
          <w:b/>
          <w:i w:val="0"/>
          <w:color w:val="007C89"/>
          <w:sz w:val="18"/>
        </w:rPr>
        <w:t>FALLBACK DETERMINISTICO</w:t>
        <w:br/>
      </w:r>
      <w:r>
        <w:rPr>
          <w:rFonts w:ascii="Aptos" w:hAnsi="Aptos"/>
          <w:b w:val="0"/>
          <w:i w:val="0"/>
          <w:color w:val="0B2545"/>
          <w:sz w:val="21"/>
        </w:rPr>
        <w:t>Se la narrativa è disabilitata, offline, oltre budget, non disponibile o sopra i limiti, viene restituito il testo deterministico. Il risultato dichiara sempre se un modello è stato usato.</w:t>
      </w:r>
    </w:p>
    <w:p>
      <w:pPr>
        <w:pStyle w:val="Heading1"/>
      </w:pPr>
      <w:r>
        <w:t>13. REST API e integrazioni</w:t>
      </w:r>
    </w:p>
    <w:p>
      <w:r>
        <w:t>La REST API consente di integrare Veraxis in applicazioni e workflow del cliente. L'autenticazione applicativa usa token Bearer firmati e time-bounded.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300"/>
        <w:gridCol w:w="3860"/>
      </w:tblGrid>
      <w:tr>
        <w:trPr>
          <w:tblHeader w:val="true"/>
        </w:trPr>
        <w:tc>
          <w:tcPr>
            <w:tcW w:type="dxa" w:w="120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Metodo</w:t>
            </w:r>
          </w:p>
        </w:tc>
        <w:tc>
          <w:tcPr>
            <w:tcW w:type="dxa" w:w="430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Endpoint</w:t>
            </w:r>
          </w:p>
        </w:tc>
        <w:tc>
          <w:tcPr>
            <w:tcW w:type="dxa" w:w="386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Funzione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POST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/api/v1/auth/register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Provisioning tenant, se abilitato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POST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/api/v1/auth/login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Login con tenant ID, email e password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POST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/api/v1/users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Creazione utente; solo admin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POST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/api/v1/analyses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Invio record e domanda; admin/analyst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GET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/api/v1/analyses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Lista analisi del tenant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GET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/api/v1/analyses/{id}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Dettaglio tenant-scoped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POST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/api/v1/analyses/{id}/cancel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Cancellazione cooperativa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POST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/api/v1/analyses/{id}/feedback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Rating, esito e nota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DELETE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/api/v1/analyses/{id}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Eliminazione amministrativa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GET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/api/v1/knowledge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Read model Knowledge Intelligence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POST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/api/v1/knowledge/query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Query deterministica del grafo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GET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/api/v1/openapi.json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Contratto OpenAPI</w:t>
            </w:r>
          </w:p>
        </w:tc>
      </w:tr>
    </w:tbl>
    <w:p>
      <w:pPr>
        <w:pStyle w:val="Heading2"/>
      </w:pPr>
      <w:r>
        <w:t>Contratto di invio analisi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Input minimo: </w:t>
      </w:r>
      <w:r>
        <w:rPr>
          <w:rFonts w:ascii="Aptos" w:hAnsi="Aptos"/>
          <w:b w:val="0"/>
          <w:i w:val="0"/>
          <w:color w:val="0B2545"/>
          <w:sz w:val="21"/>
        </w:rPr>
        <w:t>description non vuota e records come lista non vuota di oggetti JSON.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Risposta: </w:t>
      </w:r>
      <w:r>
        <w:rPr>
          <w:rFonts w:ascii="Aptos" w:hAnsi="Aptos"/>
          <w:b w:val="0"/>
          <w:i w:val="0"/>
          <w:color w:val="0B2545"/>
          <w:sz w:val="21"/>
        </w:rPr>
        <w:t>HTTP 202 con ID, stato queued e backend della coda.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Polling: </w:t>
      </w:r>
      <w:r>
        <w:rPr>
          <w:rFonts w:ascii="Aptos" w:hAnsi="Aptos"/>
          <w:b w:val="0"/>
          <w:i w:val="0"/>
          <w:color w:val="0B2545"/>
          <w:sz w:val="21"/>
        </w:rPr>
        <w:t>GET sul dettaglio finché lo stato è completed, failed o cancelled.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Isolamento: </w:t>
      </w:r>
      <w:r>
        <w:rPr>
          <w:rFonts w:ascii="Aptos" w:hAnsi="Aptos"/>
          <w:b w:val="0"/>
          <w:i w:val="0"/>
          <w:color w:val="0B2545"/>
          <w:sz w:val="21"/>
        </w:rPr>
        <w:t>Un token non può leggere o modificare analisi di un altro tenant.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Compatibilità sorgente: </w:t>
      </w:r>
      <w:r>
        <w:rPr>
          <w:rFonts w:ascii="Aptos" w:hAnsi="Aptos"/>
          <w:b w:val="0"/>
          <w:i w:val="0"/>
          <w:color w:val="0B2545"/>
          <w:sz w:val="21"/>
        </w:rPr>
        <w:t>I record JSON vengono normalizzati verso un adapter eseguibile; le label client restano provenance, non nomi di adapter arbitrari.</w:t>
      </w:r>
    </w:p>
    <w:p>
      <w:pPr>
        <w:pStyle w:val="Heading1"/>
      </w:pPr>
      <w:r>
        <w:t>14. Amministrazione, osservabilità e operations</w:t>
      </w:r>
    </w:p>
    <w:p>
      <w:pPr>
        <w:pStyle w:val="Heading2"/>
      </w:pPr>
      <w:r>
        <w:t>Health live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Endpoint /health/live per verificare che il processo risponda.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Restituisce lo stato di vita dell'applicazione.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Orchestratore, load balancer, SRE.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Configurare probe infrastrutturali periodici.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HTTP 200 quando il processo è vivo.</w:t>
      </w:r>
    </w:p>
    <w:p>
      <w:pPr>
        <w:pStyle w:val="Heading2"/>
      </w:pPr>
      <w:r>
        <w:t>Health ready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Endpoint /health/ready per verificare dipendenze e capacità di servire traffico.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Controlla la readiness della piattaforma.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Kubernetes/Compose, SRE, supporto.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Usarlo in deployment e bilanciamento.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HTTP 200 ready o segnale di indisponibilità.</w:t>
      </w:r>
    </w:p>
    <w:p>
      <w:pPr>
        <w:pStyle w:val="Heading2"/>
      </w:pPr>
      <w:r>
        <w:t>Prometheus metrics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Endpoint testuale /metrics.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Espone counter di analisi, feedback aggregati e stati persistiti.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Operations e product analytics.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Scrapare con Prometheus o un collector compatibile.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Serie aggregate senza dati grezzi.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Limiti e attenzioni: </w:t>
      </w:r>
      <w:r>
        <w:rPr>
          <w:rFonts w:ascii="Aptos" w:hAnsi="Aptos"/>
          <w:b w:val="0"/>
          <w:i w:val="0"/>
          <w:color w:val="0B2545"/>
          <w:sz w:val="21"/>
        </w:rPr>
        <w:t>Proteggere l'endpoint a livello di rete o gateway in produzione.</w:t>
      </w:r>
    </w:p>
    <w:p>
      <w:pPr>
        <w:pStyle w:val="Heading2"/>
      </w:pPr>
      <w:r>
        <w:t>Log strutturati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Log rotanti dell'applicazione e telemetria per stage.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Registra run ID, durata, status ed error type senza righe originali.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SRE, supporto e incident manager.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Centralizzare, applicare retention e alert su failure/latency.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Audit operativo e diagnosi.</w:t>
      </w:r>
    </w:p>
    <w:p>
      <w:pPr>
        <w:pStyle w:val="Heading2"/>
      </w:pPr>
      <w:r>
        <w:t>Utenti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Provisioning degli account tramite API amministrativa.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Crea utenti nel tenant con ruolo esplicito e password hashata.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Amministratore del tenant.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Chiamare POST /api/v1/users con token admin.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ID utente e associazione tenant.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Limiti e attenzioni: </w:t>
      </w:r>
      <w:r>
        <w:rPr>
          <w:rFonts w:ascii="Aptos" w:hAnsi="Aptos"/>
          <w:b w:val="0"/>
          <w:i w:val="0"/>
          <w:color w:val="0B2545"/>
          <w:sz w:val="21"/>
        </w:rPr>
        <w:t>L'attuale portale non espone una schermata completa di user management.</w:t>
      </w:r>
    </w:p>
    <w:p>
      <w:pPr>
        <w:pStyle w:val="Heading1"/>
      </w:pPr>
      <w:r>
        <w:t>15. Lifecycle dei dati, backup e retention</w:t>
      </w:r>
    </w:p>
    <w:p>
      <w:pPr>
        <w:pStyle w:val="Heading2"/>
      </w:pPr>
      <w:r>
        <w:t>Cancellazione analisi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DELETE amministrativa tenant-scoped.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Elimina analisi e feedback associati.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Admin o processo di privacy operations.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Usare DELETE /api/v1/analyses/{id} con ruolo admin.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HTTP 204 quando completata.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Limiti e attenzioni: </w:t>
      </w:r>
      <w:r>
        <w:rPr>
          <w:rFonts w:ascii="Aptos" w:hAnsi="Aptos"/>
          <w:b w:val="0"/>
          <w:i w:val="0"/>
          <w:color w:val="0B2545"/>
          <w:sz w:val="21"/>
        </w:rPr>
        <w:t>Knowledge Graph, Experience, log e backup hanno lifecycle separati.</w:t>
      </w:r>
    </w:p>
    <w:p>
      <w:pPr>
        <w:pStyle w:val="Heading2"/>
      </w:pPr>
      <w:r>
        <w:t>Retention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Policy batch per job terminali più vecchi della soglia.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Identifica candidati in dry-run e li elimina solo con --apply.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Operations e data governance.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Eseguire scripts/enforce_retention.py --days N, verificare, poi aggiungere --apply.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Conteggio candidati/eliminati.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Limiti e attenzioni: </w:t>
      </w:r>
      <w:r>
        <w:rPr>
          <w:rFonts w:ascii="Aptos" w:hAnsi="Aptos"/>
          <w:b w:val="0"/>
          <w:i w:val="0"/>
          <w:color w:val="0B2545"/>
          <w:sz w:val="21"/>
        </w:rPr>
        <w:t>Non applicare senza policy approvata e backup coerente.</w:t>
      </w:r>
    </w:p>
    <w:p>
      <w:pPr>
        <w:pStyle w:val="Heading2"/>
      </w:pPr>
      <w:r>
        <w:t>Backup SQLite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Copia consistente del database locale.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Produce un file di backup fuori dal database attivo.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Operations.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Usare scripts/backup_platform.py --output-dir ... 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Database di backup versionabile esternamente.</w:t>
      </w:r>
    </w:p>
    <w:p>
      <w:pPr>
        <w:pStyle w:val="Heading2"/>
      </w:pPr>
      <w:r>
        <w:t>Restore SQLite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Cos'è: </w:t>
      </w:r>
      <w:r>
        <w:rPr>
          <w:rFonts w:ascii="Aptos" w:hAnsi="Aptos"/>
          <w:b w:val="0"/>
          <w:i w:val="0"/>
          <w:color w:val="0B2545"/>
          <w:sz w:val="21"/>
        </w:rPr>
        <w:t>Ripristino esplicito da backup.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fa: </w:t>
      </w:r>
      <w:r>
        <w:rPr>
          <w:rFonts w:ascii="Aptos" w:hAnsi="Aptos"/>
          <w:b w:val="0"/>
          <w:i w:val="0"/>
          <w:color w:val="0B2545"/>
          <w:sz w:val="21"/>
        </w:rPr>
        <w:t>Sostituisce il database soltanto con conferma.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Chi la usa: </w:t>
      </w:r>
      <w:r>
        <w:rPr>
          <w:rFonts w:ascii="Aptos" w:hAnsi="Aptos"/>
          <w:b w:val="0"/>
          <w:i w:val="0"/>
          <w:color w:val="0B2545"/>
          <w:sz w:val="21"/>
        </w:rPr>
        <w:t>Operations e disaster recovery.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Come si usa: </w:t>
      </w:r>
      <w:r>
        <w:rPr>
          <w:rFonts w:ascii="Aptos" w:hAnsi="Aptos"/>
          <w:b w:val="0"/>
          <w:i w:val="0"/>
          <w:color w:val="0B2545"/>
          <w:sz w:val="21"/>
        </w:rPr>
        <w:t>Provare in ambiente isolato con scripts/restore_platform.py ... --confirm.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Cosa produce: </w:t>
      </w:r>
      <w:r>
        <w:rPr>
          <w:rFonts w:ascii="Aptos" w:hAnsi="Aptos"/>
          <w:b w:val="0"/>
          <w:i w:val="0"/>
          <w:color w:val="0B2545"/>
          <w:sz w:val="21"/>
        </w:rPr>
        <w:t>Database ripristinato e verificabile.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Limiti e attenzioni: </w:t>
      </w:r>
      <w:r>
        <w:rPr>
          <w:rFonts w:ascii="Aptos" w:hAnsi="Aptos"/>
          <w:b w:val="0"/>
          <w:i w:val="0"/>
          <w:color w:val="0B2545"/>
          <w:sz w:val="21"/>
        </w:rPr>
        <w:t>PostgreSQL richiede pg_dump/pg_restore e procedure del cliente.</w:t>
      </w:r>
    </w:p>
    <w:p>
      <w:pPr>
        <w:shd w:fill="FCE8E6"/>
        <w:spacing w:before="80" w:after="160"/>
        <w:ind w:left="160" w:right="160"/>
      </w:pPr>
      <w:r>
        <w:rPr>
          <w:rFonts w:ascii="Aptos" w:hAnsi="Aptos"/>
          <w:b/>
          <w:i w:val="0"/>
          <w:color w:val="9B1C1C"/>
          <w:sz w:val="18"/>
        </w:rPr>
        <w:t>PROVA DI RESTORE</w:t>
        <w:br/>
      </w:r>
      <w:r>
        <w:rPr>
          <w:rFonts w:ascii="Aptos" w:hAnsi="Aptos"/>
          <w:b w:val="0"/>
          <w:i w:val="0"/>
          <w:color w:val="0B2545"/>
          <w:sz w:val="21"/>
        </w:rPr>
        <w:t>Un backup non è considerato sufficiente finché una prova isolata non verifica schema, tenant, analisi, feedback e readiness.</w:t>
      </w:r>
    </w:p>
    <w:p>
      <w:pPr>
        <w:pStyle w:val="Heading1"/>
      </w:pPr>
      <w:r>
        <w:t>16. Deployment e responsabilità del cliente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Componente</w:t>
            </w:r>
          </w:p>
        </w:tc>
        <w:tc>
          <w:tcPr>
            <w:tcW w:type="dxa" w:w="696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Responsabilità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Nginx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Gateway, limiti, security header, TLS termination o upstream TLS.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Gunicorn API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Servizio web multi-worker non-root.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RQ worker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Elaborazione asincrona separata dall'API.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Redis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Coda con persistenza AOF e no-eviction.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PostgreSQL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Persistenza multi-user e migrazioni serializzate.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Volumi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Database, tenant storage, log e backup secondo policy.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Secrets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DATABASE_URL e PLATFORM_AUTH_SECRET fuori dal repository.</w:t>
            </w:r>
          </w:p>
        </w:tc>
      </w:tr>
    </w:tbl>
    <w:p>
      <w:pPr>
        <w:pStyle w:val="Heading2"/>
      </w:pPr>
      <w:r>
        <w:t>Responsabilità operative del cliente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Fornire HTTPS, DNS, firewall e accesso di rete controllato.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Gestire segreti, rotazione credenziali e offboarding utenti.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Definire categorie di dati consentite e policy di retention.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Monitorare health, metriche, coda, database, storage e backup.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Stabilire canale di supporto, escalation e gestione incidenti.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Validare requisiti legali e privacy del proprio settore.</w:t>
      </w:r>
    </w:p>
    <w:p>
      <w:r>
        <w:br w:type="page"/>
      </w:r>
    </w:p>
    <w:p>
      <w:pPr>
        <w:pStyle w:val="Heading1"/>
      </w:pPr>
      <w:r>
        <w:t>17. Readiness commerciale, limiti e roadmap</w:t>
      </w:r>
    </w:p>
    <w:p>
      <w:r>
        <w:t>Il framework tecnico della private beta è implementato. La commercializzazione generale richiede evidenze sufficienti di qualità sul campo, oltre ai test automatici.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300"/>
        <w:gridCol w:w="3460"/>
      </w:tblGrid>
      <w:tr>
        <w:trPr>
          <w:tblHeader w:val="true"/>
        </w:trPr>
        <w:tc>
          <w:tcPr>
            <w:tcW w:type="dxa" w:w="260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Gate</w:t>
            </w:r>
          </w:p>
        </w:tc>
        <w:tc>
          <w:tcPr>
            <w:tcW w:type="dxa" w:w="330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Soglia</w:t>
            </w:r>
          </w:p>
        </w:tc>
        <w:tc>
          <w:tcPr>
            <w:tcW w:type="dxa" w:w="346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Stato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Campione funzionale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30 casi / almeno 3 domini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Superato: 30 casi, 6 domini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Feedback verificati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almeno 10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Da raccogliere con utenti reali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Accuratezza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almeno 80% correct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Calcolata dopo i feedback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Concorrenza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almeno 5, error rate &lt;=2%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Gate tecnico superato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Isolamento / operations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tutti superati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Gate tecnici superati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Bug critici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zero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Richiesto prima dell'apertura</w:t>
            </w:r>
          </w:p>
        </w:tc>
      </w:tr>
    </w:tbl>
    <w:p>
      <w:pPr>
        <w:pStyle w:val="Heading2"/>
      </w:pPr>
      <w:r>
        <w:t>Limiti dichiarati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Il portale beta privilegia CSV/Excel; connettori enterprise non sono parte del flusso commerciale attuale.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Il user management completo è API-first.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La cancellazione dei job è cooperativa, non un kill immediato del processo.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Knowledge Graph ed Experience richiedono policy di lifecycle separate dal record analisi.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La narrativa opzionale è una funzione di formattazione e può non essere disponibile.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Il Kernel resta sperimentale fino alla parità documentata con il Coordinator.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Decisioni ad alto impatto richiedono sempre revisione umana e governance specifica.</w:t>
      </w:r>
    </w:p>
    <w:p>
      <w:pPr>
        <w:shd w:fill="FFF4D6"/>
        <w:spacing w:before="80" w:after="160"/>
        <w:ind w:left="160" w:right="160"/>
      </w:pPr>
      <w:r>
        <w:rPr>
          <w:rFonts w:ascii="Aptos" w:hAnsi="Aptos"/>
          <w:b/>
          <w:i w:val="0"/>
          <w:color w:val="007C89"/>
          <w:sz w:val="18"/>
        </w:rPr>
        <w:t>CRITERIO DI VENDITA</w:t>
        <w:br/>
      </w:r>
      <w:r>
        <w:rPr>
          <w:rFonts w:ascii="Aptos" w:hAnsi="Aptos"/>
          <w:b w:val="0"/>
          <w:i w:val="0"/>
          <w:color w:val="0B2545"/>
          <w:sz w:val="21"/>
        </w:rPr>
        <w:t>Presentare Veraxis come piattaforma analitica verificabile e assistita, non come sostituto autonomo del data analyst o del decision maker.</w:t>
      </w:r>
    </w:p>
    <w:p>
      <w:pPr>
        <w:pStyle w:val="Heading1"/>
      </w:pPr>
      <w:r>
        <w:t>18. Glossario e matrice delle funzionalità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Coordinator: </w:t>
      </w:r>
      <w:r>
        <w:rPr>
          <w:rFonts w:ascii="Aptos" w:hAnsi="Aptos"/>
          <w:b w:val="0"/>
          <w:i w:val="0"/>
          <w:color w:val="0B2545"/>
          <w:sz w:val="21"/>
        </w:rPr>
        <w:t>Orchestratore della pipeline di produzione.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Kernel: </w:t>
      </w:r>
      <w:r>
        <w:rPr>
          <w:rFonts w:ascii="Aptos" w:hAnsi="Aptos"/>
          <w:b w:val="0"/>
          <w:i w:val="0"/>
          <w:color w:val="0B2545"/>
          <w:sz w:val="21"/>
        </w:rPr>
        <w:t>Runtime sperimentale modulare, non ancora production boundary.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Deterministico: </w:t>
      </w:r>
      <w:r>
        <w:rPr>
          <w:rFonts w:ascii="Aptos" w:hAnsi="Aptos"/>
          <w:b w:val="0"/>
          <w:i w:val="0"/>
          <w:color w:val="0B2545"/>
          <w:sz w:val="21"/>
        </w:rPr>
        <w:t>Calcolo ripetibile con stesso input e stesse regole.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Tenant: </w:t>
      </w:r>
      <w:r>
        <w:rPr>
          <w:rFonts w:ascii="Aptos" w:hAnsi="Aptos"/>
          <w:b w:val="0"/>
          <w:i w:val="0"/>
          <w:color w:val="0B2545"/>
          <w:sz w:val="21"/>
        </w:rPr>
        <w:t>Perimetro isolato di una singola organizzazione.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RBAC: </w:t>
      </w:r>
      <w:r>
        <w:rPr>
          <w:rFonts w:ascii="Aptos" w:hAnsi="Aptos"/>
          <w:b w:val="0"/>
          <w:i w:val="0"/>
          <w:color w:val="0B2545"/>
          <w:sz w:val="21"/>
        </w:rPr>
        <w:t>Autorizzazioni assegnate in base al ruolo.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Knowledge Graph: </w:t>
      </w:r>
      <w:r>
        <w:rPr>
          <w:rFonts w:ascii="Aptos" w:hAnsi="Aptos"/>
          <w:b w:val="0"/>
          <w:i w:val="0"/>
          <w:color w:val="0B2545"/>
          <w:sz w:val="21"/>
        </w:rPr>
        <w:t>Rete di analisi, dataset, colonne, insight e report.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Experience: </w:t>
      </w:r>
      <w:r>
        <w:rPr>
          <w:rFonts w:ascii="Aptos" w:hAnsi="Aptos"/>
          <w:b w:val="0"/>
          <w:i w:val="0"/>
          <w:color w:val="0B2545"/>
          <w:sz w:val="21"/>
        </w:rPr>
        <w:t>Memoria di pattern analitici riutilizzabili.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Recommendation: </w:t>
      </w:r>
      <w:r>
        <w:rPr>
          <w:rFonts w:ascii="Aptos" w:hAnsi="Aptos"/>
          <w:b w:val="0"/>
          <w:i w:val="0"/>
          <w:color w:val="0B2545"/>
          <w:sz w:val="21"/>
        </w:rPr>
        <w:t>Azione candidata ordinata per evidenze e policy.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Decision: </w:t>
      </w:r>
      <w:r>
        <w:rPr>
          <w:rFonts w:ascii="Aptos" w:hAnsi="Aptos"/>
          <w:b w:val="0"/>
          <w:i w:val="0"/>
          <w:color w:val="0B2545"/>
          <w:sz w:val="21"/>
        </w:rPr>
        <w:t>Selezione o astensione registrata con provenance.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Narrative: </w:t>
      </w:r>
      <w:r>
        <w:rPr>
          <w:rFonts w:ascii="Aptos" w:hAnsi="Aptos"/>
          <w:b w:val="0"/>
          <w:i w:val="0"/>
          <w:color w:val="0B2545"/>
          <w:sz w:val="21"/>
        </w:rPr>
        <w:t>Formattazione opzionale dei fatti deterministici.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Provenance: </w:t>
      </w:r>
      <w:r>
        <w:rPr>
          <w:rFonts w:ascii="Aptos" w:hAnsi="Aptos"/>
          <w:b w:val="0"/>
          <w:i w:val="0"/>
          <w:color w:val="0B2545"/>
          <w:sz w:val="21"/>
        </w:rPr>
        <w:t>Traccia dell'origine e delle trasformazioni di un'evidenza.</w:t>
      </w:r>
    </w:p>
    <w:p>
      <w:pPr>
        <w:spacing w:after="100"/>
      </w:pPr>
      <w:r>
        <w:rPr>
          <w:rFonts w:ascii="Aptos" w:hAnsi="Aptos"/>
          <w:b/>
          <w:i w:val="0"/>
          <w:color w:val="007C89"/>
          <w:sz w:val="21"/>
        </w:rPr>
        <w:t xml:space="preserve">Readiness: </w:t>
      </w:r>
      <w:r>
        <w:rPr>
          <w:rFonts w:ascii="Aptos" w:hAnsi="Aptos"/>
          <w:b w:val="0"/>
          <w:i w:val="0"/>
          <w:color w:val="0B2545"/>
          <w:sz w:val="21"/>
        </w:rPr>
        <w:t>Insieme di gate che autorizza un rilascio o una beta.</w:t>
      </w:r>
    </w:p>
    <w:p>
      <w:pPr>
        <w:pStyle w:val="Heading2"/>
      </w:pPr>
      <w:r>
        <w:t>Matrice rapida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1800"/>
        <w:gridCol w:w="3460"/>
      </w:tblGrid>
      <w:tr>
        <w:trPr>
          <w:tblHeader w:val="true"/>
        </w:trPr>
        <w:tc>
          <w:tcPr>
            <w:tcW w:type="dxa" w:w="190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Area</w:t>
            </w:r>
          </w:p>
        </w:tc>
        <w:tc>
          <w:tcPr>
            <w:tcW w:type="dxa" w:w="220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Utente</w:t>
            </w:r>
          </w:p>
        </w:tc>
        <w:tc>
          <w:tcPr>
            <w:tcW w:type="dxa" w:w="180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Stato</w:t>
            </w:r>
          </w:p>
        </w:tc>
        <w:tc>
          <w:tcPr>
            <w:tcW w:type="dxa" w:w="346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Scopo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Portale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Utente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Operativa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Upload, storico, risultati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API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Sistemi / admin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Operativa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Integrazione e amministrazione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Motore deterministico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Analyst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Operativa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Calcoli autorevoli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Knowledge Intelligence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Analyst / decision maker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Operativa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Memoria e provenance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Narrativa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Business user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Opzionale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Formattazione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8"/>
              </w:rPr>
              <w:t>Kernel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Engineering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Sperimentale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8"/>
              </w:rPr>
              <w:t>Parità e capability future</w:t>
            </w:r>
          </w:p>
        </w:tc>
      </w:tr>
    </w:tbl>
    <w:p>
      <w:pPr>
        <w:shd w:fill="E6F4EA"/>
        <w:spacing w:before="80" w:after="160"/>
        <w:ind w:left="160" w:right="160"/>
      </w:pPr>
      <w:r>
        <w:rPr>
          <w:rFonts w:ascii="Aptos" w:hAnsi="Aptos"/>
          <w:b/>
          <w:i w:val="0"/>
          <w:color w:val="007C89"/>
          <w:sz w:val="18"/>
        </w:rPr>
        <w:t>DOCUMENTO DI CONSEGNA</w:t>
        <w:br/>
      </w:r>
      <w:r>
        <w:rPr>
          <w:rFonts w:ascii="Aptos" w:hAnsi="Aptos"/>
          <w:b w:val="0"/>
          <w:i w:val="0"/>
          <w:color w:val="0B2545"/>
          <w:sz w:val="21"/>
        </w:rPr>
        <w:t>Questo manuale può accompagnare demo, onboarding cliente, security review e handoff operativo. Configurazioni, soglie e responsabilità devono essere adattate al contratto e all'ambiente del cliente.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b w:val="0"/>
        <w:i w:val="0"/>
        <w:color w:val="55606E"/>
        <w:sz w:val="17"/>
      </w:rPr>
      <w:t xml:space="preserve">Manuale di prodotto - Private Beta  |  Pagina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/>
        <w:b/>
        <w:i w:val="0"/>
        <w:color w:val="55606E"/>
        <w:sz w:val="17"/>
      </w:rPr>
      <w:t>VERAXIS  |  MANUALE DI PRODOTTO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7C8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 Display" w:hAnsi="Aptos Display"/>
      <w:b w:val="0"/>
      <w:i/>
      <w:iCs/>
      <w:color w:val="55606E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di prodotto Veraxis</dc:title>
  <dc:subject>Funzionalità, architettura, amministrazione, API e operations</dc:subject>
  <dc:creator>Veraxis</dc:creator>
  <cp:keywords>Veraxis, prodotto, analytics, Knowledge Graph, API, operations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