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43"/>
          <w:sz w:val="40"/>
          <w:szCs w:val="40"/>
        </w:rPr>
        <w:t xml:space="preserve">ECS Transmission Chain Hypotheses v2</w:t>
      </w:r>
    </w:p>
    <w:p>
      <w:pPr>
        <w:spacing w:after="80"/>
      </w:pPr>
      <w:r>
        <w:rPr>
          <w:rFonts w:ascii="Arial" w:cs="Arial" w:eastAsia="Arial" w:hAnsi="Arial"/>
          <w:color w:val="5F6B66"/>
          <w:sz w:val="20"/>
          <w:szCs w:val="20"/>
        </w:rPr>
        <w:t xml:space="preserve">Status: hypotheses; two chains revised after a first test run  ·  Date: 2026-10-16  ·  Scope: ECS (NSCC, DTC)</w:t>
      </w:r>
    </w:p>
    <w:p>
      <w:pPr>
        <w:pStyle w:val="Heading1"/>
        <w:spacing w:after="120" w:before="240"/>
      </w:pPr>
      <w:r>
        <w:rPr>
          <w:rFonts w:ascii="Arial" w:cs="Arial" w:eastAsia="Arial" w:hAnsi="Arial"/>
        </w:rPr>
        <w:t xml:space="preserve">1. What changed from v1</w:t>
      </w:r>
    </w:p>
    <w:p>
      <w:pPr>
        <w:spacing w:after="80"/>
      </w:pPr>
      <w:r>
        <w:rPr>
          <w:rFonts w:ascii="Arial" w:cs="Arial" w:eastAsia="Arial" w:hAnsi="Arial"/>
        </w:rPr>
        <w:t xml:space="preserve">v1 proposed 14 chains and ran a first test on four of them. v2 keeps the same format as the FICC document and narrows the set so we test a few chains well instead of many chains loosely.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Change</w:t>
            </w:r>
          </w:p>
        </w:tc>
        <w:tc>
          <w:tcPr>
            <w:tcW w:type="dxa" w:w="67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Reason</w:t>
            </w:r>
          </w:p>
        </w:tc>
      </w:tr>
      <w:tr>
        <w:trPr>
          <w:tblHeader w:val="false"/>
        </w:trPr>
        <w:tc>
          <w:tcPr>
            <w:tcW w:type="dxa" w:w="2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14 chains → 5 core chains + 8 extensions</w:t>
            </w:r>
          </w:p>
        </w:tc>
        <w:tc>
          <w:tcPr>
            <w:tcW w:type="dxa" w:w="67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Testing many options for the same event moves us back toward multiple comparisons. Extensions are kept in Section 4 and can be promoted later</w:t>
            </w:r>
          </w:p>
        </w:tc>
      </w:tr>
      <w:tr>
        <w:trPr>
          <w:tblHeader w:val="false"/>
        </w:trPr>
        <w:tc>
          <w:tcPr>
            <w:tcW w:type="dxa" w:w="2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Route 1 (equity selloff): primary is now VM, signal is VIX jump</w:t>
            </w:r>
          </w:p>
        </w:tc>
        <w:tc>
          <w:tcPr>
            <w:tcW w:type="dxa" w:w="67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v1 had two conflicting decisions ("01A primary, VIX level" vs "move to 01B, VIX jump"). v2 adopts the second and labels it as chosen after seeing results</w:t>
            </w:r>
          </w:p>
        </w:tc>
      </w:tr>
      <w:tr>
        <w:trPr>
          <w:tblHeader w:val="false"/>
        </w:trPr>
        <w:tc>
          <w:tcPr>
            <w:tcW w:type="dxa" w:w="2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Funding chain: test variable is now vm_peak_to_avg</w:t>
            </w:r>
          </w:p>
        </w:tc>
        <w:tc>
          <w:tcPr>
            <w:tcW w:type="dxa" w:w="67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Margin calls mostly tracked a shared upward trend (changes rho 0.18). VM held up on changes (rho 0.59)</w:t>
            </w:r>
          </w:p>
        </w:tc>
      </w:tr>
      <w:tr>
        <w:trPr>
          <w:tblHeader w:val="false"/>
        </w:trPr>
        <w:tc>
          <w:tcPr>
            <w:tcW w:type="dxa" w:w="2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NSCC-04 and DTC-01 merged into ECS-SET-01</w:t>
            </w:r>
          </w:p>
        </w:tc>
        <w:tc>
          <w:tcPr>
            <w:tcW w:type="dxa" w:w="67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Same trigger (settlement-cycle milestones), one event study, two outcomes</w:t>
            </w:r>
          </w:p>
        </w:tc>
      </w:tr>
      <w:tr>
        <w:trPr>
          <w:tblHeader w:val="false"/>
        </w:trPr>
        <w:tc>
          <w:tcPr>
            <w:tcW w:type="dxa" w:w="2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2 primary timing = same quarter (lag 0)</w:t>
            </w:r>
          </w:p>
        </w:tc>
        <w:tc>
          <w:tcPr>
            <w:tcW w:type="dxa" w:w="67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Matches FICC: Test 2 asks whether the shock arrived. The Oct 15 run used lag 1, so lag 1 is reported as secondary</w:t>
            </w:r>
          </w:p>
        </w:tc>
      </w:tr>
      <w:tr>
        <w:trPr>
          <w:tblHeader w:val="false"/>
        </w:trPr>
        <w:tc>
          <w:tcPr>
            <w:tcW w:type="dxa" w:w="2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Chains without public vulnerability data are scored on shock only</w:t>
            </w:r>
          </w:p>
        </w:tc>
        <w:tc>
          <w:tcPr>
            <w:tcW w:type="dxa" w:w="67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DTC has no PQD. Cards show "vulnerability: no data" instead of a filled-in default</w:t>
            </w:r>
          </w:p>
        </w:tc>
      </w:tr>
    </w:tbl>
    <w:p>
      <w:pPr>
        <w:spacing w:before="120"/>
      </w:pPr>
      <w:r>
        <w:rPr>
          <w:rFonts w:ascii="Arial" w:cs="Arial" w:eastAsia="Arial" w:hAnsi="Arial"/>
          <w:b/>
          <w:bCs/>
        </w:rPr>
        <w:t xml:space="preserve">Pre-specification note: </w:t>
      </w:r>
      <w:r>
        <w:rPr>
          <w:rFonts w:ascii="Arial" w:cs="Arial" w:eastAsia="Arial" w:hAnsi="Arial"/>
        </w:rPr>
        <w:t xml:space="preserve">ECS-NSCC-01 and ECS-NSCC-02 were revised after seeing the Oct 15 results. Treat them as candidates until confirmed on data not used in the Oct 15 run: the 2026Q3 PQD when published, plus any higher-frequency check we can add.</w:t>
      </w:r>
    </w:p>
    <w:p>
      <w:pPr>
        <w:pStyle w:val="Heading1"/>
        <w:spacing w:after="120" w:before="240"/>
      </w:pPr>
      <w:r>
        <w:rPr>
          <w:rFonts w:ascii="Arial" w:cs="Arial" w:eastAsia="Arial" w:hAnsi="Arial"/>
        </w:rPr>
        <w:t xml:space="preserve">2. How to use this document</w:t>
      </w:r>
    </w:p>
    <w:p>
      <w:pPr>
        <w:spacing w:after="80"/>
      </w:pPr>
      <w:r>
        <w:rPr>
          <w:rFonts w:ascii="Arial" w:cs="Arial" w:eastAsia="Arial" w:hAnsi="Arial"/>
        </w:rPr>
        <w:t xml:space="preserve">Each chain has three steps: world event → mechanism → impact on a DTCC business line. Step 2 is logical reasoning and is not tested.</w:t>
      </w:r>
    </w:p>
    <w:p>
      <w:pPr>
        <w:pStyle w:val="ListParagraph"/>
        <w:numPr>
          <w:ilvl w:val="0"/>
          <w:numId w:val="2"/>
        </w:numPr>
        <w:spacing w:after="40"/>
      </w:pPr>
      <w:r>
        <w:rPr>
          <w:rFonts w:ascii="Arial" w:cs="Arial" w:eastAsia="Arial" w:hAnsi="Arial"/>
          <w:b/>
          <w:bCs/>
        </w:rPr>
        <w:t xml:space="preserve">Test 1 (Step 1): </w:t>
      </w:r>
      <w:r>
        <w:rPr>
          <w:rFonts w:ascii="Arial" w:cs="Arial" w:eastAsia="Arial" w:hAnsi="Arial"/>
        </w:rPr>
        <w:t xml:space="preserve">does the signal reflect real-world events?</w:t>
      </w:r>
    </w:p>
    <w:p>
      <w:pPr>
        <w:pStyle w:val="ListParagraph"/>
        <w:numPr>
          <w:ilvl w:val="0"/>
          <w:numId w:val="2"/>
        </w:numPr>
        <w:spacing w:after="40"/>
      </w:pPr>
      <w:r>
        <w:rPr>
          <w:rFonts w:ascii="Arial" w:cs="Arial" w:eastAsia="Arial" w:hAnsi="Arial"/>
          <w:b/>
          <w:bCs/>
        </w:rPr>
        <w:t xml:space="preserve">Test 2 (Step 3): </w:t>
      </w:r>
      <w:r>
        <w:rPr>
          <w:rFonts w:ascii="Arial" w:cs="Arial" w:eastAsia="Arial" w:hAnsi="Arial"/>
        </w:rPr>
        <w:t xml:space="preserve">does the shock reach this business line? Uses the test variable, which captures the business reacting.</w:t>
      </w:r>
    </w:p>
    <w:p>
      <w:pPr>
        <w:pStyle w:val="ListParagraph"/>
        <w:numPr>
          <w:ilvl w:val="0"/>
          <w:numId w:val="2"/>
        </w:numPr>
        <w:spacing w:after="40"/>
      </w:pPr>
      <w:r>
        <w:rPr>
          <w:rFonts w:ascii="Arial" w:cs="Arial" w:eastAsia="Arial" w:hAnsi="Arial"/>
          <w:b/>
          <w:bCs/>
        </w:rPr>
        <w:t xml:space="preserve">Vulnerability variable: </w:t>
      </w:r>
      <w:r>
        <w:rPr>
          <w:rFonts w:ascii="Arial" w:cs="Arial" w:eastAsia="Arial" w:hAnsi="Arial"/>
        </w:rPr>
        <w:t xml:space="preserve">used only for scoring, never in Test 2.</w:t>
      </w:r>
    </w:p>
    <w:p>
      <w:pPr>
        <w:pStyle w:val="ListParagraph"/>
        <w:numPr>
          <w:ilvl w:val="0"/>
          <w:numId w:val="2"/>
        </w:numPr>
        <w:spacing w:after="40"/>
      </w:pPr>
      <w:r>
        <w:rPr>
          <w:rFonts w:ascii="Arial" w:cs="Arial" w:eastAsia="Arial" w:hAnsi="Arial"/>
        </w:rPr>
        <w:t xml:space="preserve">Confirm and freeze the methods and pass criteria as a team before running. Test only the one signal and one test variable on each card.</w:t>
      </w:r>
    </w:p>
    <w:p>
      <w:pPr>
        <w:spacing w:before="100"/>
      </w:pPr>
      <w:r>
        <w:rPr>
          <w:rFonts w:ascii="Arial" w:cs="Arial" w:eastAsia="Arial" w:hAnsi="Arial"/>
          <w:b/>
          <w:bCs/>
        </w:rPr>
        <w:t xml:space="preserve">Data status labels: </w:t>
      </w:r>
      <w:r>
        <w:rPr>
          <w:rFonts w:ascii="Arial" w:cs="Arial" w:eastAsia="Arial" w:hAnsi="Arial"/>
        </w:rPr>
        <w:t xml:space="preserve">Have = in the project database; Partial = some data or needs checking; Missing = needs collecting; N/A = no data needed (rubric or shock-only rule).</w:t>
      </w:r>
    </w:p>
    <w:p>
      <w:pPr>
        <w:spacing w:after="80"/>
      </w:pPr>
      <w:r>
        <w:rPr>
          <w:rFonts w:ascii="Arial" w:cs="Arial" w:eastAsia="Arial" w:hAnsi="Arial"/>
          <w:b/>
          <w:bCs/>
        </w:rPr>
        <w:t xml:space="preserve">Confidence rules: </w:t>
      </w:r>
      <w:r>
        <w:rPr>
          <w:rFonts w:ascii="Arial" w:cs="Arial" w:eastAsia="Arial" w:hAnsi="Arial"/>
        </w:rPr>
        <w:t xml:space="preserve">both tests pass → High; Test 1 passes, Test 2 inconclusive → Medium; no market signal, logic and cases only → Low or Medium; Test 1 fails or Test 2 significant in the wrong direction → revise or drop.</w:t>
      </w:r>
    </w:p>
    <w:p>
      <w:pPr>
        <w:pStyle w:val="Heading1"/>
        <w:spacing w:after="120" w:before="240"/>
      </w:pPr>
      <w:r>
        <w:rPr>
          <w:rFonts w:ascii="Arial" w:cs="Arial" w:eastAsia="Arial" w:hAnsi="Arial"/>
        </w:rPr>
        <w:t xml:space="preserve">3. Core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1500"/>
        <w:gridCol w:w="1200"/>
        <w:gridCol w:w="1100"/>
        <w:gridCol w:w="1560"/>
      </w:tblGrid>
      <w:tr>
        <w:trPr>
          <w:tblHeader/>
        </w:trPr>
        <w:tc>
          <w:tcPr>
            <w:tcW w:type="dxa" w:w="15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ID</w:t>
            </w:r>
          </w:p>
        </w:tc>
        <w:tc>
          <w:tcPr>
            <w:tcW w:type="dxa" w:w="25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Chain</w:t>
            </w:r>
          </w:p>
        </w:tc>
        <w:tc>
          <w:tcPr>
            <w:tcW w:type="dxa" w:w="15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Type</w:t>
            </w:r>
          </w:p>
        </w:tc>
        <w:tc>
          <w:tcPr>
            <w:tcW w:type="dxa" w:w="12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Risk family</w:t>
            </w:r>
          </w:p>
        </w:tc>
        <w:tc>
          <w:tcPr>
            <w:tcW w:type="dxa" w:w="11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Version</w:t>
            </w:r>
          </w:p>
        </w:tc>
        <w:tc>
          <w:tcPr>
            <w:tcW w:type="dxa" w:w="15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Ready to run?</w:t>
            </w:r>
          </w:p>
        </w:tc>
      </w:tr>
      <w:tr>
        <w:trPr>
          <w:tblHeader w:val="false"/>
        </w:trPr>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ECS-NSCC-01</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Equity selloff → NSCC variation margin</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With market indicator</w:t>
            </w:r>
          </w:p>
        </w:tc>
        <w:tc>
          <w:tcPr>
            <w:tcW w:type="dxa" w:w="1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Market</w:t>
            </w:r>
          </w:p>
        </w:tc>
        <w:tc>
          <w:tcPr>
            <w:tcW w:type="dxa" w:w="1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v2</w:t>
            </w:r>
          </w:p>
        </w:tc>
        <w:tc>
          <w:tcPr>
            <w:tcW w:type="dxa" w:w="156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Yes</w:t>
            </w:r>
          </w:p>
        </w:tc>
      </w:tr>
      <w:tr>
        <w:trPr>
          <w:tblHeader w:val="false"/>
        </w:trPr>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ECS-NSCC-02</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Funding squeeze → NSCC variation margin</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With market indicator</w:t>
            </w:r>
          </w:p>
        </w:tc>
        <w:tc>
          <w:tcPr>
            <w:tcW w:type="dxa" w:w="1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Liquidity</w:t>
            </w:r>
          </w:p>
        </w:tc>
        <w:tc>
          <w:tcPr>
            <w:tcW w:type="dxa" w:w="1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v2</w:t>
            </w:r>
          </w:p>
        </w:tc>
        <w:tc>
          <w:tcPr>
            <w:tcW w:type="dxa" w:w="156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Yes</w:t>
            </w:r>
          </w:p>
        </w:tc>
      </w:tr>
      <w:tr>
        <w:trPr>
          <w:tblHeader w:val="false"/>
        </w:trPr>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ECS-NSCC-03</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Volume surge → NSCC settlement fails</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With market indicator</w:t>
            </w:r>
          </w:p>
        </w:tc>
        <w:tc>
          <w:tcPr>
            <w:tcW w:type="dxa" w:w="1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Operational</w:t>
            </w:r>
          </w:p>
        </w:tc>
        <w:tc>
          <w:tcPr>
            <w:tcW w:type="dxa" w:w="1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v1</w:t>
            </w:r>
          </w:p>
        </w:tc>
        <w:tc>
          <w:tcPr>
            <w:tcW w:type="dxa" w:w="1560"/>
            <w:tcBorders>
              <w:top w:val="single" w:color="C9D1CD" w:sz="4"/>
              <w:left w:val="single" w:color="C9D1CD" w:sz="4"/>
              <w:bottom w:val="single" w:color="C9D1CD" w:sz="4"/>
              <w:right w:val="single" w:color="C9D1CD" w:sz="4"/>
            </w:tcBorders>
            <w:shd w:fill="FBE1D9"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Missing</w:t>
            </w:r>
          </w:p>
          <w:p>
            <w:pPr>
              <w:spacing w:after="20"/>
            </w:pPr>
            <w:r>
              <w:rPr>
                <w:rFonts w:ascii="Arial" w:cs="Arial" w:eastAsia="Arial" w:hAnsi="Arial"/>
                <w:b w:val="false"/>
                <w:bCs w:val="false"/>
                <w:sz w:val="19"/>
                <w:szCs w:val="19"/>
              </w:rPr>
              <w:t xml:space="preserve">Missing 2 items</w:t>
            </w:r>
          </w:p>
        </w:tc>
      </w:tr>
      <w:tr>
        <w:trPr>
          <w:tblHeader w:val="false"/>
        </w:trPr>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ECS-SET-01</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Shorter settlement cycle → NSCC and DTC fails</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Without market indicator</w:t>
            </w:r>
          </w:p>
        </w:tc>
        <w:tc>
          <w:tcPr>
            <w:tcW w:type="dxa" w:w="1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Regulatory</w:t>
            </w:r>
          </w:p>
        </w:tc>
        <w:tc>
          <w:tcPr>
            <w:tcW w:type="dxa" w:w="1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v2</w:t>
            </w:r>
          </w:p>
        </w:tc>
        <w:tc>
          <w:tcPr>
            <w:tcW w:type="dxa" w:w="156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Partial</w:t>
            </w:r>
          </w:p>
          <w:p>
            <w:pPr>
              <w:spacing w:after="20"/>
            </w:pPr>
            <w:r>
              <w:rPr>
                <w:rFonts w:ascii="Arial" w:cs="Arial" w:eastAsia="Arial" w:hAnsi="Arial"/>
                <w:b w:val="false"/>
                <w:bCs w:val="false"/>
                <w:sz w:val="19"/>
                <w:szCs w:val="19"/>
              </w:rPr>
              <w:t xml:space="preserve">Before/after only</w:t>
            </w:r>
          </w:p>
        </w:tc>
      </w:tr>
      <w:tr>
        <w:trPr>
          <w:tblHeader w:val="false"/>
        </w:trPr>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ECS-NSCC-04</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Broker distress → NSCC default management</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With market indicator</w:t>
            </w:r>
          </w:p>
        </w:tc>
        <w:tc>
          <w:tcPr>
            <w:tcW w:type="dxa" w:w="1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Credit</w:t>
            </w:r>
          </w:p>
        </w:tc>
        <w:tc>
          <w:tcPr>
            <w:tcW w:type="dxa" w:w="1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v1</w:t>
            </w:r>
          </w:p>
        </w:tc>
        <w:tc>
          <w:tcPr>
            <w:tcW w:type="dxa" w:w="1560"/>
            <w:tcBorders>
              <w:top w:val="single" w:color="C9D1CD" w:sz="4"/>
              <w:left w:val="single" w:color="C9D1CD" w:sz="4"/>
              <w:bottom w:val="single" w:color="C9D1CD" w:sz="4"/>
              <w:right w:val="single" w:color="C9D1CD" w:sz="4"/>
            </w:tcBorders>
            <w:shd w:fill="FBE1D9"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Missing</w:t>
            </w:r>
          </w:p>
          <w:p>
            <w:pPr>
              <w:spacing w:after="20"/>
            </w:pPr>
            <w:r>
              <w:rPr>
                <w:rFonts w:ascii="Arial" w:cs="Arial" w:eastAsia="Arial" w:hAnsi="Arial"/>
                <w:b w:val="false"/>
                <w:bCs w:val="false"/>
                <w:sz w:val="19"/>
                <w:szCs w:val="19"/>
              </w:rPr>
              <w:t xml:space="preserve">Needs case evidence</w:t>
            </w:r>
          </w:p>
        </w:tc>
      </w:tr>
    </w:tbl>
    <w:p>
      <w:r>
        <w:br w:type="page"/>
      </w:r>
    </w:p>
    <w:p>
      <w:pPr>
        <w:pStyle w:val="Heading2"/>
        <w:spacing w:after="100" w:before="280"/>
      </w:pPr>
      <w:r>
        <w:rPr>
          <w:rFonts w:ascii="Arial" w:cs="Arial" w:eastAsia="Arial" w:hAnsi="Arial"/>
        </w:rPr>
        <w:t xml:space="preserve">ECS-NSCC-01  Equity selloff → NSCC variation margin (v2)</w:t>
      </w:r>
    </w:p>
    <w:p>
      <w:pPr>
        <w:spacing w:after="80"/>
      </w:pPr>
      <w:r>
        <w:rPr>
          <w:rFonts w:ascii="Arial" w:cs="Arial" w:eastAsia="Arial" w:hAnsi="Arial"/>
          <w:color w:val="5F6B66"/>
          <w:sz w:val="19"/>
          <w:szCs w:val="19"/>
        </w:rPr>
        <w:t xml:space="preserve">Type: With market indicator  ·  Risk family: Market  ·  Priority: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260"/>
        <w:gridCol w:w="2200"/>
      </w:tblGrid>
      <w:tr>
        <w:trPr>
          <w:tblHeader/>
        </w:trPr>
        <w:tc>
          <w:tcPr>
            <w:tcW w:type="dxa" w:w="19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Field</w:t>
            </w:r>
          </w:p>
        </w:tc>
        <w:tc>
          <w:tcPr>
            <w:tcW w:type="dxa" w:w="52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Content</w:t>
            </w:r>
          </w:p>
        </w:tc>
        <w:tc>
          <w:tcPr>
            <w:tcW w:type="dxa" w:w="22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Data status</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World event</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Sharp stock selloff; prices swing hard over several days</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Signal</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VIX jump = VIX ÷ its own 20-day average, weekly peak</w:t>
            </w:r>
          </w:p>
          <w:p>
            <w:pPr>
              <w:spacing w:after="20"/>
            </w:pPr>
            <w:r>
              <w:rPr>
                <w:rFonts w:ascii="Arial" w:cs="Arial" w:eastAsia="Arial" w:hAnsi="Arial"/>
                <w:b w:val="false"/>
                <w:bCs w:val="false"/>
                <w:sz w:val="19"/>
                <w:szCs w:val="19"/>
              </w:rPr>
              <w:t xml:space="preserve">Source: FRED VIXCLS (computed)</w:t>
            </w:r>
          </w:p>
        </w:tc>
        <w:tc>
          <w:tcPr>
            <w:tcW w:type="dxa" w:w="220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market_daily.csv</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2 · Mechanism</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Prices swing → daily mark-to-market payments jump → members must move more cash the same day</w:t>
            </w:r>
          </w:p>
        </w:tc>
        <w:tc>
          <w:tcPr>
            <w:tcW w:type="dxa" w:w="2200"/>
            <w:tcBorders>
              <w:top w:val="single" w:color="C9D1CD" w:sz="4"/>
              <w:left w:val="single" w:color="C9D1CD" w:sz="4"/>
              <w:bottom w:val="single" w:color="C9D1CD" w:sz="4"/>
              <w:right w:val="single" w:color="C9D1CD" w:sz="4"/>
            </w:tcBorders>
            <w:shd w:fill="EFEFEF"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Not tested</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Process touched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 daily variation margin and settlement cash</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Test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Peak single-day VM ÷ average daily VM (PQD 6.7.1 ÷ 6.6.1; repo field vm_peak_to_avg)</w:t>
            </w:r>
          </w:p>
        </w:tc>
        <w:tc>
          <w:tcPr>
            <w:tcW w:type="dxa" w:w="220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pqd_quarterly.csv</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Vulnerability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Largest payment obligation ÷ qualifying liquid resources (PQD 7.3.4 ÷ 7.1)</w:t>
            </w:r>
          </w:p>
          <w:p>
            <w:pPr>
              <w:spacing w:after="20"/>
            </w:pPr>
            <w:r>
              <w:rPr>
                <w:rFonts w:ascii="Arial" w:cs="Arial" w:eastAsia="Arial" w:hAnsi="Arial"/>
                <w:b w:val="false"/>
                <w:bCs w:val="false"/>
                <w:sz w:val="19"/>
                <w:szCs w:val="19"/>
              </w:rPr>
              <w:t xml:space="preserve">Direction: higher = more vulnerable</w:t>
            </w:r>
          </w:p>
        </w:tc>
        <w:tc>
          <w:tcPr>
            <w:tcW w:type="dxa" w:w="220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payment_to_qlr</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Historical event windows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2020-03-09 to 03-23: COVID</w:t>
            </w:r>
          </w:p>
          <w:p>
            <w:pPr>
              <w:spacing w:after="20"/>
            </w:pPr>
            <w:r>
              <w:rPr>
                <w:rFonts w:ascii="Arial" w:cs="Arial" w:eastAsia="Arial" w:hAnsi="Arial"/>
                <w:b w:val="false"/>
                <w:bCs w:val="false"/>
                <w:sz w:val="19"/>
                <w:szCs w:val="19"/>
              </w:rPr>
              <w:t xml:space="preserve">2021-01-25 to 01-29: meme-stock week</w:t>
            </w:r>
          </w:p>
          <w:p>
            <w:pPr>
              <w:spacing w:after="20"/>
            </w:pPr>
            <w:r>
              <w:rPr>
                <w:rFonts w:ascii="Arial" w:cs="Arial" w:eastAsia="Arial" w:hAnsi="Arial"/>
                <w:b w:val="false"/>
                <w:bCs w:val="false"/>
                <w:sz w:val="19"/>
                <w:szCs w:val="19"/>
              </w:rPr>
              <w:t xml:space="preserve">2024-08-05 to 08-09: volatility spike</w:t>
            </w:r>
          </w:p>
          <w:p>
            <w:pPr>
              <w:spacing w:after="20"/>
            </w:pPr>
            <w:r>
              <w:rPr>
                <w:rFonts w:ascii="Arial" w:cs="Arial" w:eastAsia="Arial" w:hAnsi="Arial"/>
                <w:b w:val="false"/>
                <w:bCs w:val="false"/>
                <w:sz w:val="19"/>
                <w:szCs w:val="19"/>
              </w:rPr>
              <w:t xml:space="preserve">2025-04-02 to 04-11: tariff shock</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Prior results seen?</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Yes. v2 swaps in the VIX-jump signal and the VM test variable after seeing the Oct 15 run (rho 0.48 levels, 0.44 changes, lag 1). Needs confirmation on new data</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1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Standard Test 1: alert when the daily value is above the 90th percentile of the prior 252 trading days (excluding the current day, at least 126 prior values). Pass if alerts hit at least 2 of 3 relevant windows, at least 25% of days alert in the median window, and the alert rate outside windows is 15% or less</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2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Standard Test 2: quarterly max of the daily signal vs the same-quarter test variable (lag 0). Pass if Spearman rho ≥ 0.3 and the 4-quarter block-bootstrap 95% interval lower bound &gt; 0, on both levels and quarter-on-quarter changes. Report lag 1 as secondary</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Key unknowns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Member-level cash positions are not public; only 23 quarters</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Note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Shares its Step 3 process with ECS-NSCC-02. Display rule: show one NSCC liquidity card with both shock sources; card score uses the higher shock</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bl>
    <w:p>
      <w:pPr>
        <w:spacing w:after="80" w:before="120"/>
      </w:pPr>
      <w:r>
        <w:rPr>
          <w:rFonts w:ascii="Arial" w:cs="Arial" w:eastAsia="Arial" w:hAnsi="Arial"/>
          <w:b/>
          <w:bCs/>
        </w:rPr>
        <w:t xml:space="preserve">Data still needed: </w:t>
      </w:r>
      <w:r>
        <w:rPr>
          <w:rFonts w:ascii="Arial" w:cs="Arial" w:eastAsia="Arial" w:hAnsi="Arial"/>
        </w:rPr>
        <w:t xml:space="preserve">None; ready to run</w:t>
      </w:r>
    </w:p>
    <w:p>
      <w:pPr>
        <w:spacing w:after="60" w:before="120"/>
      </w:pPr>
      <w:r>
        <w:rPr>
          <w:rFonts w:ascii="Arial" w:cs="Arial" w:eastAsia="Arial" w:hAnsi="Arial"/>
          <w:b/>
          <w:bCs/>
          <w:color w:val="1F4E43"/>
        </w:rPr>
        <w:t xml:space="preserve">Test record (to be filled in by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1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2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Confidence</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Notes / date / tester</w:t>
            </w:r>
          </w:p>
        </w:tc>
      </w:tr>
      <w:tr>
        <w:trPr>
          <w:tblHeader w:val="false"/>
        </w:trPr>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bl>
    <w:p>
      <w:r>
        <w:br w:type="page"/>
      </w:r>
    </w:p>
    <w:p>
      <w:pPr>
        <w:pStyle w:val="Heading2"/>
        <w:spacing w:after="100" w:before="280"/>
      </w:pPr>
      <w:r>
        <w:rPr>
          <w:rFonts w:ascii="Arial" w:cs="Arial" w:eastAsia="Arial" w:hAnsi="Arial"/>
        </w:rPr>
        <w:t xml:space="preserve">ECS-NSCC-02  Funding squeeze → NSCC variation margin (v2)</w:t>
      </w:r>
    </w:p>
    <w:p>
      <w:pPr>
        <w:spacing w:after="80"/>
      </w:pPr>
      <w:r>
        <w:rPr>
          <w:rFonts w:ascii="Arial" w:cs="Arial" w:eastAsia="Arial" w:hAnsi="Arial"/>
          <w:color w:val="5F6B66"/>
          <w:sz w:val="19"/>
          <w:szCs w:val="19"/>
        </w:rPr>
        <w:t xml:space="preserve">Type: With market indicator  ·  Risk family: Liquidity  ·  Priority: Core (lead ECS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260"/>
        <w:gridCol w:w="2200"/>
      </w:tblGrid>
      <w:tr>
        <w:trPr>
          <w:tblHeader/>
        </w:trPr>
        <w:tc>
          <w:tcPr>
            <w:tcW w:type="dxa" w:w="19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Field</w:t>
            </w:r>
          </w:p>
        </w:tc>
        <w:tc>
          <w:tcPr>
            <w:tcW w:type="dxa" w:w="52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Content</w:t>
            </w:r>
          </w:p>
        </w:tc>
        <w:tc>
          <w:tcPr>
            <w:tcW w:type="dxa" w:w="22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Data status</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World event</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Short-term funding tightens; brokers struggle to raise cash</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Signal</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SOFR − EFFR, quarter-end adjusted, weekly peak</w:t>
            </w:r>
          </w:p>
          <w:p>
            <w:pPr>
              <w:spacing w:after="20"/>
            </w:pPr>
            <w:r>
              <w:rPr>
                <w:rFonts w:ascii="Arial" w:cs="Arial" w:eastAsia="Arial" w:hAnsi="Arial"/>
                <w:b w:val="false"/>
                <w:bCs w:val="false"/>
                <w:sz w:val="19"/>
                <w:szCs w:val="19"/>
              </w:rPr>
              <w:t xml:space="preserve">Source: FRED. Passed Test 1 on Oct 6</w:t>
            </w:r>
          </w:p>
        </w:tc>
        <w:tc>
          <w:tcPr>
            <w:tcW w:type="dxa" w:w="220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market_daily.csv</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2 · Mechanism</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Funding gets expensive → brokers hold less spare cash → daily settlement and VM payments get harder → NSCC's liquidity needs rise</w:t>
            </w:r>
          </w:p>
        </w:tc>
        <w:tc>
          <w:tcPr>
            <w:tcW w:type="dxa" w:w="2200"/>
            <w:tcBorders>
              <w:top w:val="single" w:color="C9D1CD" w:sz="4"/>
              <w:left w:val="single" w:color="C9D1CD" w:sz="4"/>
              <w:bottom w:val="single" w:color="C9D1CD" w:sz="4"/>
              <w:right w:val="single" w:color="C9D1CD" w:sz="4"/>
            </w:tcBorders>
            <w:shd w:fill="EFEFEF"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Not tested</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Process touched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 daily variation margin and settlement cash</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Test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Peak single-day VM ÷ average daily VM (PQD 6.7.1 ÷ 6.6.1; repo field vm_peak_to_avg)</w:t>
            </w:r>
          </w:p>
        </w:tc>
        <w:tc>
          <w:tcPr>
            <w:tcW w:type="dxa" w:w="220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pqd_quarterly.csv</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Vulnerability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Largest payment obligation ÷ qualifying liquid resources (PQD 7.3.4 ÷ 7.1)</w:t>
            </w:r>
          </w:p>
          <w:p>
            <w:pPr>
              <w:spacing w:after="20"/>
            </w:pPr>
            <w:r>
              <w:rPr>
                <w:rFonts w:ascii="Arial" w:cs="Arial" w:eastAsia="Arial" w:hAnsi="Arial"/>
                <w:b w:val="false"/>
                <w:bCs w:val="false"/>
                <w:sz w:val="19"/>
                <w:szCs w:val="19"/>
              </w:rPr>
              <w:t xml:space="preserve">Direction: higher = more vulnerable</w:t>
            </w:r>
          </w:p>
        </w:tc>
        <w:tc>
          <w:tcPr>
            <w:tcW w:type="dxa" w:w="220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payment_to_qlr</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Historical event windows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2019-09-16 to 09-20: repo spike</w:t>
            </w:r>
          </w:p>
          <w:p>
            <w:pPr>
              <w:spacing w:after="20"/>
            </w:pPr>
            <w:r>
              <w:rPr>
                <w:rFonts w:ascii="Arial" w:cs="Arial" w:eastAsia="Arial" w:hAnsi="Arial"/>
                <w:b w:val="false"/>
                <w:bCs w:val="false"/>
                <w:sz w:val="19"/>
                <w:szCs w:val="19"/>
              </w:rPr>
              <w:t xml:space="preserve">2020-03-09 to 03-23: COVID</w:t>
            </w:r>
          </w:p>
          <w:p>
            <w:pPr>
              <w:spacing w:after="20"/>
            </w:pPr>
            <w:r>
              <w:rPr>
                <w:rFonts w:ascii="Arial" w:cs="Arial" w:eastAsia="Arial" w:hAnsi="Arial"/>
                <w:b w:val="false"/>
                <w:bCs w:val="false"/>
                <w:sz w:val="19"/>
                <w:szCs w:val="19"/>
              </w:rPr>
              <w:t xml:space="preserve">2025-04-02 to 04-11: tariff shock</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Prior results seen?</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Yes. v2 swaps the test variable from im_call_to_im to vm_peak_to_avg after the Oct 15 run (rho 0.71 levels, 0.59 changes, lag 1). Needs confirmation on new data</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1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Already passed on Oct 6 (3 of 3); re-run once under the standard to confirm</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2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Standard Test 2: quarterly max of the daily signal vs the same-quarter test variable (lag 0). Pass if Spearman rho ≥ 0.3 and the 4-quarter block-bootstrap 95% interval lower bound &gt; 0, on both levels and quarter-on-quarter changes. Report lag 1 as secondary</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Key unknowns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Member funding positions are not public; only 23 quarters</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Note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Signals for NSCC-01 and NSCC-02 are unrelated (rho −0.01), so they are two routes into the same process. See NSCC-01 display rule</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bl>
    <w:p>
      <w:pPr>
        <w:spacing w:after="80" w:before="120"/>
      </w:pPr>
      <w:r>
        <w:rPr>
          <w:rFonts w:ascii="Arial" w:cs="Arial" w:eastAsia="Arial" w:hAnsi="Arial"/>
          <w:b/>
          <w:bCs/>
        </w:rPr>
        <w:t xml:space="preserve">Data still needed: </w:t>
      </w:r>
      <w:r>
        <w:rPr>
          <w:rFonts w:ascii="Arial" w:cs="Arial" w:eastAsia="Arial" w:hAnsi="Arial"/>
        </w:rPr>
        <w:t xml:space="preserve">None; ready to run</w:t>
      </w:r>
    </w:p>
    <w:p>
      <w:pPr>
        <w:spacing w:after="60" w:before="120"/>
      </w:pPr>
      <w:r>
        <w:rPr>
          <w:rFonts w:ascii="Arial" w:cs="Arial" w:eastAsia="Arial" w:hAnsi="Arial"/>
          <w:b/>
          <w:bCs/>
          <w:color w:val="1F4E43"/>
        </w:rPr>
        <w:t xml:space="preserve">Test record (to be filled in by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1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2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Confidence</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Notes / date / tester</w:t>
            </w:r>
          </w:p>
        </w:tc>
      </w:tr>
      <w:tr>
        <w:trPr>
          <w:tblHeader w:val="false"/>
        </w:trPr>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bl>
    <w:p>
      <w:r>
        <w:br w:type="page"/>
      </w:r>
    </w:p>
    <w:p>
      <w:pPr>
        <w:pStyle w:val="Heading2"/>
        <w:spacing w:after="100" w:before="280"/>
      </w:pPr>
      <w:r>
        <w:rPr>
          <w:rFonts w:ascii="Arial" w:cs="Arial" w:eastAsia="Arial" w:hAnsi="Arial"/>
        </w:rPr>
        <w:t xml:space="preserve">ECS-NSCC-03  Volume surge → NSCC settlement fails (v1)</w:t>
      </w:r>
    </w:p>
    <w:p>
      <w:pPr>
        <w:spacing w:after="80"/>
      </w:pPr>
      <w:r>
        <w:rPr>
          <w:rFonts w:ascii="Arial" w:cs="Arial" w:eastAsia="Arial" w:hAnsi="Arial"/>
          <w:color w:val="5F6B66"/>
          <w:sz w:val="19"/>
          <w:szCs w:val="19"/>
        </w:rPr>
        <w:t xml:space="preserve">Type: With market indicator  ·  Risk family: Operational  ·  Priority: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260"/>
        <w:gridCol w:w="2200"/>
      </w:tblGrid>
      <w:tr>
        <w:trPr>
          <w:tblHeader/>
        </w:trPr>
        <w:tc>
          <w:tcPr>
            <w:tcW w:type="dxa" w:w="19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Field</w:t>
            </w:r>
          </w:p>
        </w:tc>
        <w:tc>
          <w:tcPr>
            <w:tcW w:type="dxa" w:w="52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Content</w:t>
            </w:r>
          </w:p>
        </w:tc>
        <w:tc>
          <w:tcPr>
            <w:tcW w:type="dxa" w:w="22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Data status</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World event</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Record trading days (meme-stock rally, panic selling, index events)</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Signal</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US consolidated equity volume, weekly peak</w:t>
            </w:r>
          </w:p>
          <w:p>
            <w:pPr>
              <w:spacing w:after="20"/>
            </w:pPr>
            <w:r>
              <w:rPr>
                <w:rFonts w:ascii="Arial" w:cs="Arial" w:eastAsia="Arial" w:hAnsi="Arial"/>
                <w:b w:val="false"/>
                <w:bCs w:val="false"/>
                <w:sz w:val="19"/>
                <w:szCs w:val="19"/>
              </w:rPr>
              <w:t xml:space="preserve">Source: Cboe U.S. equities market volume summary</w:t>
            </w:r>
          </w:p>
        </w:tc>
        <w:tc>
          <w:tcPr>
            <w:tcW w:type="dxa" w:w="2200"/>
            <w:tcBorders>
              <w:top w:val="single" w:color="C9D1CD" w:sz="4"/>
              <w:left w:val="single" w:color="C9D1CD" w:sz="4"/>
              <w:bottom w:val="single" w:color="C9D1CD" w:sz="4"/>
              <w:right w:val="single" w:color="C9D1CD" w:sz="4"/>
            </w:tcBorders>
            <w:shd w:fill="FBE1D9"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Missing</w:t>
            </w:r>
          </w:p>
          <w:p>
            <w:pPr>
              <w:spacing w:after="20"/>
            </w:pPr>
            <w:r>
              <w:rPr>
                <w:rFonts w:ascii="Arial" w:cs="Arial" w:eastAsia="Arial" w:hAnsi="Arial"/>
                <w:b w:val="false"/>
                <w:bCs w:val="false"/>
                <w:sz w:val="19"/>
                <w:szCs w:val="19"/>
              </w:rPr>
              <w:t xml:space="preserve">Collect from Cboe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2 · Mechanism</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Trade count surges → more trades can't be delivered on time → NSCC settlement fails rise</w:t>
            </w:r>
          </w:p>
        </w:tc>
        <w:tc>
          <w:tcPr>
            <w:tcW w:type="dxa" w:w="2200"/>
            <w:tcBorders>
              <w:top w:val="single" w:color="C9D1CD" w:sz="4"/>
              <w:left w:val="single" w:color="C9D1CD" w:sz="4"/>
              <w:bottom w:val="single" w:color="C9D1CD" w:sz="4"/>
              <w:right w:val="single" w:color="C9D1CD" w:sz="4"/>
            </w:tcBorders>
            <w:shd w:fill="EFEFEF"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Not tested</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Process touched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 Continuous Net Settlement deliveries</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Test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Fails-to-deliver, aggregated weekly (SEC FTD data)</w:t>
            </w:r>
          </w:p>
        </w:tc>
        <w:tc>
          <w:tcPr>
            <w:tcW w:type="dxa" w:w="2200"/>
            <w:tcBorders>
              <w:top w:val="single" w:color="C9D1CD" w:sz="4"/>
              <w:left w:val="single" w:color="C9D1CD" w:sz="4"/>
              <w:bottom w:val="single" w:color="C9D1CD" w:sz="4"/>
              <w:right w:val="single" w:color="C9D1CD" w:sz="4"/>
            </w:tcBorders>
            <w:shd w:fill="FBE1D9"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Missing</w:t>
            </w:r>
          </w:p>
          <w:p>
            <w:pPr>
              <w:spacing w:after="20"/>
            </w:pPr>
            <w:r>
              <w:rPr>
                <w:rFonts w:ascii="Arial" w:cs="Arial" w:eastAsia="Arial" w:hAnsi="Arial"/>
                <w:b w:val="false"/>
                <w:bCs w:val="false"/>
                <w:sz w:val="19"/>
                <w:szCs w:val="19"/>
              </w:rPr>
              <w:t xml:space="preserve">Collect from SEC</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Vulnerability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None public. Score on shock only and label the card "vulnerability: no data"</w:t>
            </w:r>
          </w:p>
        </w:tc>
        <w:tc>
          <w:tcPr>
            <w:tcW w:type="dxa" w:w="2200"/>
            <w:tcBorders>
              <w:top w:val="single" w:color="C9D1CD" w:sz="4"/>
              <w:left w:val="single" w:color="C9D1CD" w:sz="4"/>
              <w:bottom w:val="single" w:color="C9D1CD" w:sz="4"/>
              <w:right w:val="single" w:color="C9D1CD" w:sz="4"/>
            </w:tcBorders>
            <w:shd w:fill="EFEFEF"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N/A</w:t>
            </w:r>
          </w:p>
          <w:p>
            <w:pPr>
              <w:spacing w:after="20"/>
            </w:pPr>
            <w:r>
              <w:rPr>
                <w:rFonts w:ascii="Arial" w:cs="Arial" w:eastAsia="Arial" w:hAnsi="Arial"/>
                <w:b w:val="false"/>
                <w:bCs w:val="false"/>
                <w:sz w:val="19"/>
                <w:szCs w:val="19"/>
              </w:rPr>
              <w:t xml:space="preserve">Shock-only rule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Historical event windows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2020-03-09 to 03-23: COVID</w:t>
            </w:r>
          </w:p>
          <w:p>
            <w:pPr>
              <w:spacing w:after="20"/>
            </w:pPr>
            <w:r>
              <w:rPr>
                <w:rFonts w:ascii="Arial" w:cs="Arial" w:eastAsia="Arial" w:hAnsi="Arial"/>
                <w:b w:val="false"/>
                <w:bCs w:val="false"/>
                <w:sz w:val="19"/>
                <w:szCs w:val="19"/>
              </w:rPr>
              <w:t xml:space="preserve">2021-01-25 to 01-29: meme-stock week</w:t>
            </w:r>
          </w:p>
          <w:p>
            <w:pPr>
              <w:spacing w:after="20"/>
            </w:pPr>
            <w:r>
              <w:rPr>
                <w:rFonts w:ascii="Arial" w:cs="Arial" w:eastAsia="Arial" w:hAnsi="Arial"/>
                <w:b w:val="false"/>
                <w:bCs w:val="false"/>
                <w:sz w:val="19"/>
                <w:szCs w:val="19"/>
              </w:rPr>
              <w:t xml:space="preserve">2025-04-02 to 04-11: tariff shock</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Prior results seen?</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1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Standard Test 1: alert when the daily value is above the 90th percentile of the prior 252 trading days (excluding the current day, at least 126 prior values). Pass if alerts hit at least 2 of 3 relevant windows, at least 25% of days alert in the median window, and the alert rate outside windows is 15% or less</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2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Event study: shock weeks (volume above the 90th percentile of the prior 52 weeks) vs other weeks, controlling for month-end and quarter-end. Pass if fails are higher in shock weeks with p &lt; 0.05 (HAC standard errors)</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Key unknowns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Fails also come from short selling and securities lending, not only volume</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bl>
    <w:p>
      <w:pPr>
        <w:spacing w:after="80" w:before="120"/>
      </w:pPr>
      <w:r>
        <w:rPr>
          <w:rFonts w:ascii="Arial" w:cs="Arial" w:eastAsia="Arial" w:hAnsi="Arial"/>
          <w:b/>
          <w:bCs/>
        </w:rPr>
        <w:t xml:space="preserve">Data still needed: </w:t>
      </w:r>
      <w:r>
        <w:rPr>
          <w:rFonts w:ascii="Arial" w:cs="Arial" w:eastAsia="Arial" w:hAnsi="Arial"/>
        </w:rPr>
        <w:t xml:space="preserve">Cboe consolidated volume; SEC fails-to-deliver</w:t>
      </w:r>
    </w:p>
    <w:p>
      <w:pPr>
        <w:spacing w:after="60" w:before="120"/>
      </w:pPr>
      <w:r>
        <w:rPr>
          <w:rFonts w:ascii="Arial" w:cs="Arial" w:eastAsia="Arial" w:hAnsi="Arial"/>
          <w:b/>
          <w:bCs/>
          <w:color w:val="1F4E43"/>
        </w:rPr>
        <w:t xml:space="preserve">Test record (to be filled in by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1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2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Confidence</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Notes / date / tester</w:t>
            </w:r>
          </w:p>
        </w:tc>
      </w:tr>
      <w:tr>
        <w:trPr>
          <w:tblHeader w:val="false"/>
        </w:trPr>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bl>
    <w:p>
      <w:r>
        <w:br w:type="page"/>
      </w:r>
    </w:p>
    <w:p>
      <w:pPr>
        <w:pStyle w:val="Heading2"/>
        <w:spacing w:after="100" w:before="280"/>
      </w:pPr>
      <w:r>
        <w:rPr>
          <w:rFonts w:ascii="Arial" w:cs="Arial" w:eastAsia="Arial" w:hAnsi="Arial"/>
        </w:rPr>
        <w:t xml:space="preserve">ECS-SET-01  Shorter settlement cycle → NSCC and DTC fails (v2 (merges v1 NSCC-04 and DTC-01))</w:t>
      </w:r>
    </w:p>
    <w:p>
      <w:pPr>
        <w:spacing w:after="80"/>
      </w:pPr>
      <w:r>
        <w:rPr>
          <w:rFonts w:ascii="Arial" w:cs="Arial" w:eastAsia="Arial" w:hAnsi="Arial"/>
          <w:color w:val="5F6B66"/>
          <w:sz w:val="19"/>
          <w:szCs w:val="19"/>
        </w:rPr>
        <w:t xml:space="preserve">Type: Without market indicator  ·  Risk family: Regulatory  ·  Priority: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260"/>
        <w:gridCol w:w="2200"/>
      </w:tblGrid>
      <w:tr>
        <w:trPr>
          <w:tblHeader/>
        </w:trPr>
        <w:tc>
          <w:tcPr>
            <w:tcW w:type="dxa" w:w="19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Field</w:t>
            </w:r>
          </w:p>
        </w:tc>
        <w:tc>
          <w:tcPr>
            <w:tcW w:type="dxa" w:w="52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Content</w:t>
            </w:r>
          </w:p>
        </w:tc>
        <w:tc>
          <w:tcPr>
            <w:tcW w:type="dxa" w:w="22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Data status</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World event</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SEC or industry moves to a shorter settlement cycle or longer trading hours (T+1, T+0, 24x5)</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Signal</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None; use the scoring rubric (certainty, scope, time to event)</w:t>
            </w:r>
          </w:p>
        </w:tc>
        <w:tc>
          <w:tcPr>
            <w:tcW w:type="dxa" w:w="2200"/>
            <w:tcBorders>
              <w:top w:val="single" w:color="C9D1CD" w:sz="4"/>
              <w:left w:val="single" w:color="C9D1CD" w:sz="4"/>
              <w:bottom w:val="single" w:color="C9D1CD" w:sz="4"/>
              <w:right w:val="single" w:color="C9D1CD" w:sz="4"/>
            </w:tcBorders>
            <w:shd w:fill="EFEFEF"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N/A</w:t>
            </w:r>
          </w:p>
          <w:p>
            <w:pPr>
              <w:spacing w:after="20"/>
            </w:pPr>
            <w:r>
              <w:rPr>
                <w:rFonts w:ascii="Arial" w:cs="Arial" w:eastAsia="Arial" w:hAnsi="Arial"/>
                <w:b w:val="false"/>
                <w:bCs w:val="false"/>
                <w:sz w:val="19"/>
                <w:szCs w:val="19"/>
              </w:rPr>
              <w:t xml:space="preserve">Rubric to be designed</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2 · Mechanism</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Less time to settle → late or manual steps become the bottleneck → more deliveries miss cutoffs → fails rise</w:t>
            </w:r>
          </w:p>
        </w:tc>
        <w:tc>
          <w:tcPr>
            <w:tcW w:type="dxa" w:w="2200"/>
            <w:tcBorders>
              <w:top w:val="single" w:color="C9D1CD" w:sz="4"/>
              <w:left w:val="single" w:color="C9D1CD" w:sz="4"/>
              <w:bottom w:val="single" w:color="C9D1CD" w:sz="4"/>
              <w:right w:val="single" w:color="C9D1CD" w:sz="4"/>
            </w:tcBorders>
            <w:shd w:fill="EFEFEF"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Not tested</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Process touched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On-time settlement of NSCC-cleared trades and DTC end-of-day settlement</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Test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 and DTC monthly fail rates (DTCC Equities by the Numbers)</w:t>
            </w:r>
          </w:p>
          <w:p>
            <w:pPr>
              <w:spacing w:after="20"/>
            </w:pPr>
            <w:r>
              <w:rPr>
                <w:rFonts w:ascii="Arial" w:cs="Arial" w:eastAsia="Arial" w:hAnsi="Arial"/>
                <w:b w:val="false"/>
                <w:bCs w:val="false"/>
                <w:sz w:val="19"/>
                <w:szCs w:val="19"/>
              </w:rPr>
              <w:t xml:space="preserve">Only two snapshots so far: May 2024 (NSCC 2.00%, DTC 2.83%) and Aug 2026 (NSCC 2.21%, DTC 3.18%)</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Partial</w:t>
            </w:r>
          </w:p>
          <w:p>
            <w:pPr>
              <w:spacing w:after="20"/>
            </w:pPr>
            <w:r>
              <w:rPr>
                <w:rFonts w:ascii="Arial" w:cs="Arial" w:eastAsia="Arial" w:hAnsi="Arial"/>
                <w:b w:val="false"/>
                <w:bCs w:val="false"/>
                <w:sz w:val="19"/>
                <w:szCs w:val="19"/>
              </w:rPr>
              <w:t xml:space="preserve">Need monthly history</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Vulnerability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None public. Score on shock only and label the card "vulnerability: no data"</w:t>
            </w:r>
          </w:p>
        </w:tc>
        <w:tc>
          <w:tcPr>
            <w:tcW w:type="dxa" w:w="2200"/>
            <w:tcBorders>
              <w:top w:val="single" w:color="C9D1CD" w:sz="4"/>
              <w:left w:val="single" w:color="C9D1CD" w:sz="4"/>
              <w:bottom w:val="single" w:color="C9D1CD" w:sz="4"/>
              <w:right w:val="single" w:color="C9D1CD" w:sz="4"/>
            </w:tcBorders>
            <w:shd w:fill="EFEFEF"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N/A</w:t>
            </w:r>
          </w:p>
          <w:p>
            <w:pPr>
              <w:spacing w:after="20"/>
            </w:pPr>
            <w:r>
              <w:rPr>
                <w:rFonts w:ascii="Arial" w:cs="Arial" w:eastAsia="Arial" w:hAnsi="Arial"/>
                <w:b w:val="false"/>
                <w:bCs w:val="false"/>
                <w:sz w:val="19"/>
                <w:szCs w:val="19"/>
              </w:rPr>
              <w:t xml:space="preserve">Shock-only rule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Historical event windows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2023-02-15: SEC adopts T+1</w:t>
            </w:r>
          </w:p>
          <w:p>
            <w:pPr>
              <w:spacing w:after="20"/>
            </w:pPr>
            <w:r>
              <w:rPr>
                <w:rFonts w:ascii="Arial" w:cs="Arial" w:eastAsia="Arial" w:hAnsi="Arial"/>
                <w:b w:val="false"/>
                <w:bCs w:val="false"/>
                <w:sz w:val="19"/>
                <w:szCs w:val="19"/>
              </w:rPr>
              <w:t xml:space="preserve">2024-05-28: US T+1 go-live</w:t>
            </w:r>
          </w:p>
          <w:p>
            <w:pPr>
              <w:spacing w:after="20"/>
            </w:pPr>
            <w:r>
              <w:rPr>
                <w:rFonts w:ascii="Arial" w:cs="Arial" w:eastAsia="Arial" w:hAnsi="Arial"/>
                <w:b w:val="false"/>
                <w:bCs w:val="false"/>
                <w:sz w:val="19"/>
                <w:szCs w:val="19"/>
              </w:rPr>
              <w:t xml:space="preserve">24x5 and T+0 milestones: to compile</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Prior results seen?</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1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No statistical test. Confirm each milestone has a public source (SEC release or DTCC notice)</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2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One event study, two outcomes: fail rate in the 3 months after each milestone vs the 3 months before, for NSCC and DTC separately. Until monthly history is pulled, report as a before/after check only</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Key unknowns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Fail rates also move with market conditions around the milestone</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bl>
    <w:p>
      <w:pPr>
        <w:spacing w:after="80" w:before="120"/>
      </w:pPr>
      <w:r>
        <w:rPr>
          <w:rFonts w:ascii="Arial" w:cs="Arial" w:eastAsia="Arial" w:hAnsi="Arial"/>
          <w:b/>
          <w:bCs/>
        </w:rPr>
        <w:t xml:space="preserve">Data still needed: </w:t>
      </w:r>
      <w:r>
        <w:rPr>
          <w:rFonts w:ascii="Arial" w:cs="Arial" w:eastAsia="Arial" w:hAnsi="Arial"/>
        </w:rPr>
        <w:t xml:space="preserve">Monthly fail-rate history (DTCC Equities by the Numbers); 24x5 / T+0 milestone dates</w:t>
      </w:r>
    </w:p>
    <w:p>
      <w:pPr>
        <w:spacing w:after="60" w:before="120"/>
      </w:pPr>
      <w:r>
        <w:rPr>
          <w:rFonts w:ascii="Arial" w:cs="Arial" w:eastAsia="Arial" w:hAnsi="Arial"/>
          <w:b/>
          <w:bCs/>
          <w:color w:val="1F4E43"/>
        </w:rPr>
        <w:t xml:space="preserve">Test record (to be filled in by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1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2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Confidence</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Notes / date / tester</w:t>
            </w:r>
          </w:p>
        </w:tc>
      </w:tr>
      <w:tr>
        <w:trPr>
          <w:tblHeader w:val="false"/>
        </w:trPr>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bl>
    <w:p>
      <w:r>
        <w:br w:type="page"/>
      </w:r>
    </w:p>
    <w:p>
      <w:pPr>
        <w:pStyle w:val="Heading2"/>
        <w:spacing w:after="100" w:before="280"/>
      </w:pPr>
      <w:r>
        <w:rPr>
          <w:rFonts w:ascii="Arial" w:cs="Arial" w:eastAsia="Arial" w:hAnsi="Arial"/>
        </w:rPr>
        <w:t xml:space="preserve">ECS-NSCC-04  Broker distress → NSCC default management (v1)</w:t>
      </w:r>
    </w:p>
    <w:p>
      <w:pPr>
        <w:spacing w:after="80"/>
      </w:pPr>
      <w:r>
        <w:rPr>
          <w:rFonts w:ascii="Arial" w:cs="Arial" w:eastAsia="Arial" w:hAnsi="Arial"/>
          <w:color w:val="5F6B66"/>
          <w:sz w:val="19"/>
          <w:szCs w:val="19"/>
        </w:rPr>
        <w:t xml:space="preserve">Type: With market indicator  ·  Risk family: Credit  ·  Priority: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5260"/>
        <w:gridCol w:w="2200"/>
      </w:tblGrid>
      <w:tr>
        <w:trPr>
          <w:tblHeader/>
        </w:trPr>
        <w:tc>
          <w:tcPr>
            <w:tcW w:type="dxa" w:w="19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Field</w:t>
            </w:r>
          </w:p>
        </w:tc>
        <w:tc>
          <w:tcPr>
            <w:tcW w:type="dxa" w:w="52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Content</w:t>
            </w:r>
          </w:p>
        </w:tc>
        <w:tc>
          <w:tcPr>
            <w:tcW w:type="dxa" w:w="22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Data status</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World event</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 broker-dealer or bank is downgraded, reports big losses, or fails</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1 · Signal</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Baa credit spread, 20-day widening, weekly peak</w:t>
            </w:r>
          </w:p>
          <w:p>
            <w:pPr>
              <w:spacing w:after="20"/>
            </w:pPr>
            <w:r>
              <w:rPr>
                <w:rFonts w:ascii="Arial" w:cs="Arial" w:eastAsia="Arial" w:hAnsi="Arial"/>
                <w:b w:val="false"/>
                <w:bCs w:val="false"/>
                <w:sz w:val="19"/>
                <w:szCs w:val="19"/>
              </w:rPr>
              <w:t xml:space="preserve">Source: FRED BAA10Y. Passed Test 1 on Oct 6</w:t>
            </w:r>
          </w:p>
        </w:tc>
        <w:tc>
          <w:tcPr>
            <w:tcW w:type="dxa" w:w="220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market_daily.csv</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2 · Mechanism</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Credit or liquidity strain at a member → higher default risk → NSCC raises that member's requirements or uses default resources; other members share losses</w:t>
            </w:r>
          </w:p>
        </w:tc>
        <w:tc>
          <w:tcPr>
            <w:tcW w:type="dxa" w:w="2200"/>
            <w:tcBorders>
              <w:top w:val="single" w:color="C9D1CD" w:sz="4"/>
              <w:left w:val="single" w:color="C9D1CD" w:sz="4"/>
              <w:bottom w:val="single" w:color="C9D1CD" w:sz="4"/>
              <w:right w:val="single" w:color="C9D1CD" w:sz="4"/>
            </w:tcBorders>
            <w:shd w:fill="EFEFEF"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Not tested</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Process touched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 default management and the shared Clearing Fund</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Test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Past case evidence</w:t>
            </w:r>
          </w:p>
          <w:p>
            <w:pPr>
              <w:spacing w:after="20"/>
            </w:pPr>
            <w:r>
              <w:rPr>
                <w:rFonts w:ascii="Arial" w:cs="Arial" w:eastAsia="Arial" w:hAnsi="Arial"/>
                <w:b w:val="false"/>
                <w:bCs w:val="false"/>
                <w:sz w:val="19"/>
                <w:szCs w:val="19"/>
              </w:rPr>
              <w:t xml:space="preserve">Candidate: brokers' large NSCC deposit calls in the January 2021 meme-stock week, as described in the SEC staff report on early-2021 market conditions (verify the source)</w:t>
            </w:r>
          </w:p>
        </w:tc>
        <w:tc>
          <w:tcPr>
            <w:tcW w:type="dxa" w:w="2200"/>
            <w:tcBorders>
              <w:top w:val="single" w:color="C9D1CD" w:sz="4"/>
              <w:left w:val="single" w:color="C9D1CD" w:sz="4"/>
              <w:bottom w:val="single" w:color="C9D1CD" w:sz="4"/>
              <w:right w:val="single" w:color="C9D1CD" w:sz="4"/>
            </w:tcBorders>
            <w:shd w:fill="FBE1D9"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Missing</w:t>
            </w:r>
          </w:p>
          <w:p>
            <w:pPr>
              <w:spacing w:after="20"/>
            </w:pPr>
            <w:r>
              <w:rPr>
                <w:rFonts w:ascii="Arial" w:cs="Arial" w:eastAsia="Arial" w:hAnsi="Arial"/>
                <w:b w:val="false"/>
                <w:bCs w:val="false"/>
                <w:sz w:val="19"/>
                <w:szCs w:val="19"/>
              </w:rPr>
              <w:t xml:space="preserve">Case evidence to collect</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Step 3 · Vulnerability variable</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Top-5 members' share of open positions, NSCC (PQD 18.2.2)</w:t>
            </w:r>
          </w:p>
          <w:p>
            <w:pPr>
              <w:spacing w:after="20"/>
            </w:pPr>
            <w:r>
              <w:rPr>
                <w:rFonts w:ascii="Arial" w:cs="Arial" w:eastAsia="Arial" w:hAnsi="Arial"/>
                <w:b w:val="false"/>
                <w:bCs w:val="false"/>
                <w:sz w:val="19"/>
                <w:szCs w:val="19"/>
              </w:rPr>
              <w:t xml:space="preserve">Direction: higher = more vulnerable</w:t>
            </w:r>
          </w:p>
        </w:tc>
        <w:tc>
          <w:tcPr>
            <w:tcW w:type="dxa" w:w="2200"/>
            <w:tcBorders>
              <w:top w:val="single" w:color="C9D1CD" w:sz="4"/>
              <w:left w:val="single" w:color="C9D1CD" w:sz="4"/>
              <w:bottom w:val="single" w:color="C9D1CD" w:sz="4"/>
              <w:right w:val="single" w:color="C9D1CD" w:sz="4"/>
            </w:tcBorders>
            <w:shd w:fill="DFF1E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Have</w:t>
            </w:r>
          </w:p>
          <w:p>
            <w:pPr>
              <w:spacing w:after="20"/>
            </w:pPr>
            <w:r>
              <w:rPr>
                <w:rFonts w:ascii="Arial" w:cs="Arial" w:eastAsia="Arial" w:hAnsi="Arial"/>
                <w:b w:val="false"/>
                <w:bCs w:val="false"/>
                <w:sz w:val="19"/>
                <w:szCs w:val="19"/>
              </w:rPr>
              <w:t xml:space="preserve">top5_open_share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Historical event windows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2021-01-25 to 01-29: meme-stock week</w:t>
            </w:r>
          </w:p>
          <w:p>
            <w:pPr>
              <w:spacing w:after="20"/>
            </w:pPr>
            <w:r>
              <w:rPr>
                <w:rFonts w:ascii="Arial" w:cs="Arial" w:eastAsia="Arial" w:hAnsi="Arial"/>
                <w:b w:val="false"/>
                <w:bCs w:val="false"/>
                <w:sz w:val="19"/>
                <w:szCs w:val="19"/>
              </w:rPr>
              <w:t xml:space="preserve">2023-03-08 to 03-17: bank stress (SVB)</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Prior results seen?</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Yes for the signal. Oct 15 run showed Baa widening vs margin calls is negative, so Test 2 uses case evidence only</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1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Already passed on Oct 6; re-run once under the standard to confirm</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2 · method and pass criteria (proposed)</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Pass if at least 1 past case has public evidence that NSCC changed a member's requirements or started default management because of member stress. Expected confidence: Medium</w:t>
            </w:r>
          </w:p>
        </w:tc>
        <w:tc>
          <w:tcPr>
            <w:tcW w:type="dxa" w:w="220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Freeze before running</w:t>
            </w:r>
          </w:p>
        </w:tc>
      </w:tr>
      <w:tr>
        <w:trPr>
          <w:tblHeader w:val="false"/>
        </w:trPr>
        <w:tc>
          <w:tcPr>
            <w:tcW w:type="dxa" w:w="19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Key unknowns</w:t>
            </w:r>
          </w:p>
        </w:tc>
        <w:tc>
          <w:tcPr>
            <w:tcW w:type="dxa" w:w="52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Which members are under strain is not public</w:t>
            </w:r>
          </w:p>
        </w:tc>
        <w:tc>
          <w:tcPr>
            <w:tcW w:type="dxa" w:w="2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w:t>
            </w:r>
          </w:p>
        </w:tc>
      </w:tr>
    </w:tbl>
    <w:p>
      <w:pPr>
        <w:spacing w:after="80" w:before="120"/>
      </w:pPr>
      <w:r>
        <w:rPr>
          <w:rFonts w:ascii="Arial" w:cs="Arial" w:eastAsia="Arial" w:hAnsi="Arial"/>
          <w:b/>
          <w:bCs/>
        </w:rPr>
        <w:t xml:space="preserve">Data still needed: </w:t>
      </w:r>
      <w:r>
        <w:rPr>
          <w:rFonts w:ascii="Arial" w:cs="Arial" w:eastAsia="Arial" w:hAnsi="Arial"/>
        </w:rPr>
        <w:t xml:space="preserve">Case evidence (e.g., SEC staff report, January 2021)</w:t>
      </w:r>
    </w:p>
    <w:p>
      <w:pPr>
        <w:spacing w:after="60" w:before="120"/>
      </w:pPr>
      <w:r>
        <w:rPr>
          <w:rFonts w:ascii="Arial" w:cs="Arial" w:eastAsia="Arial" w:hAnsi="Arial"/>
          <w:b/>
          <w:bCs/>
          <w:color w:val="1F4E43"/>
        </w:rPr>
        <w:t xml:space="preserve">Test record (to be filled in by tester)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rPr>
          <w:tblHeader/>
        </w:trPr>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1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2 result</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Confidence</w:t>
            </w:r>
          </w:p>
        </w:tc>
        <w:tc>
          <w:tcPr>
            <w:tcW w:type="dxa" w:w="234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Notes / date / tester</w:t>
            </w:r>
          </w:p>
        </w:tc>
      </w:tr>
      <w:tr>
        <w:trPr>
          <w:tblHeader w:val="false"/>
        </w:trPr>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234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bl>
    <w:p>
      <w:r>
        <w:br w:type="page"/>
      </w:r>
    </w:p>
    <w:p>
      <w:pPr>
        <w:pStyle w:val="Heading1"/>
        <w:spacing w:after="120" w:before="240"/>
      </w:pPr>
      <w:r>
        <w:rPr>
          <w:rFonts w:ascii="Arial" w:cs="Arial" w:eastAsia="Arial" w:hAnsi="Arial"/>
        </w:rPr>
        <w:t xml:space="preserve">4. Extension chains (not tested in this round)</w:t>
      </w:r>
    </w:p>
    <w:p>
      <w:pPr>
        <w:spacing w:after="80"/>
      </w:pPr>
      <w:r>
        <w:rPr>
          <w:rFonts w:ascii="Arial" w:cs="Arial" w:eastAsia="Arial" w:hAnsi="Arial"/>
        </w:rPr>
        <w:t xml:space="preserve">Kept from v1 with their full detail in ECS_Transmission_Chain_Hypotheses_v1. Promote one to core only with a written reason, before seeing its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3200"/>
        <w:gridCol w:w="4060"/>
      </w:tblGrid>
      <w:tr>
        <w:trPr>
          <w:tblHeader/>
        </w:trPr>
        <w:tc>
          <w:tcPr>
            <w:tcW w:type="dxa" w:w="21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ID</w:t>
            </w:r>
          </w:p>
        </w:tc>
        <w:tc>
          <w:tcPr>
            <w:tcW w:type="dxa" w:w="32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Chain</w:t>
            </w:r>
          </w:p>
        </w:tc>
        <w:tc>
          <w:tcPr>
            <w:tcW w:type="dxa" w:w="40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Status / what it needs</w:t>
            </w:r>
          </w:p>
        </w:tc>
      </w:tr>
      <w:tr>
        <w:trPr>
          <w:tblHeader w:val="false"/>
        </w:trPr>
        <w:tc>
          <w:tcPr>
            <w:tcW w:type="dxa" w:w="2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ECS-NSCC-01A (v1)</w:t>
            </w:r>
          </w:p>
        </w:tc>
        <w:tc>
          <w:tcPr>
            <w:tcW w:type="dxa" w:w="3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Equity selloff → margin calls</w:t>
            </w:r>
          </w:p>
        </w:tc>
        <w:tc>
          <w:tcPr>
            <w:tcW w:type="dxa" w:w="40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VIX level failed Test 1 and Test 2 (rho 0.06). Kept as extension</w:t>
            </w:r>
          </w:p>
        </w:tc>
      </w:tr>
      <w:tr>
        <w:trPr>
          <w:tblHeader w:val="false"/>
        </w:trPr>
        <w:tc>
          <w:tcPr>
            <w:tcW w:type="dxa" w:w="2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ECS-NSCC-01C (v1)</w:t>
            </w:r>
          </w:p>
        </w:tc>
        <w:tc>
          <w:tcPr>
            <w:tcW w:type="dxa" w:w="3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Equity selloff → margin model misses</w:t>
            </w:r>
          </w:p>
        </w:tc>
        <w:tc>
          <w:tcPr>
            <w:tcW w:type="dxa" w:w="40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Revise: backtest breaches trend up since 2023 (changes rho −0.09)</w:t>
            </w:r>
          </w:p>
        </w:tc>
      </w:tr>
      <w:tr>
        <w:trPr>
          <w:tblHeader w:val="false"/>
        </w:trPr>
        <w:tc>
          <w:tcPr>
            <w:tcW w:type="dxa" w:w="2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ECS-NSCC-02B (v1)</w:t>
            </w:r>
          </w:p>
        </w:tc>
        <w:tc>
          <w:tcPr>
            <w:tcW w:type="dxa" w:w="3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Volume surge → system strain</w:t>
            </w:r>
          </w:p>
        </w:tc>
        <w:tc>
          <w:tcPr>
            <w:tcW w:type="dxa" w:w="40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Needs Cboe volume and PQD 17.2/17.3; check whether 17.x is NSCC-only</w:t>
            </w:r>
          </w:p>
        </w:tc>
      </w:tr>
      <w:tr>
        <w:trPr>
          <w:tblHeader w:val="false"/>
        </w:trPr>
        <w:tc>
          <w:tcPr>
            <w:tcW w:type="dxa" w:w="2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ECS-NSCC-05 (v1)</w:t>
            </w:r>
          </w:p>
        </w:tc>
        <w:tc>
          <w:tcPr>
            <w:tcW w:type="dxa" w:w="3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Known peak dates → processing load</w:t>
            </w:r>
          </w:p>
        </w:tc>
        <w:tc>
          <w:tcPr>
            <w:tcW w:type="dxa" w:w="40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Feeds the upcoming-events view; needs SEC fails-to-deliver</w:t>
            </w:r>
          </w:p>
        </w:tc>
      </w:tr>
      <w:tr>
        <w:trPr>
          <w:tblHeader w:val="false"/>
        </w:trPr>
        <w:tc>
          <w:tcPr>
            <w:tcW w:type="dxa" w:w="2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ECS-DTC-02A (v1)</w:t>
            </w:r>
          </w:p>
        </w:tc>
        <w:tc>
          <w:tcPr>
            <w:tcW w:type="dxa" w:w="3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Exploited vulnerabilities → DTC disruption</w:t>
            </w:r>
          </w:p>
        </w:tc>
        <w:tc>
          <w:tcPr>
            <w:tcW w:type="dxa" w:w="40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Needs DTCC service notices and case evidence (ICBC 2023, July 2024 IT outage)</w:t>
            </w:r>
          </w:p>
        </w:tc>
      </w:tr>
      <w:tr>
        <w:trPr>
          <w:tblHeader w:val="false"/>
        </w:trPr>
        <w:tc>
          <w:tcPr>
            <w:tcW w:type="dxa" w:w="2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ECS-DTC-02B (v1)</w:t>
            </w:r>
          </w:p>
        </w:tc>
        <w:tc>
          <w:tcPr>
            <w:tcW w:type="dxa" w:w="3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Cloud / vendor outage → DTC disruption</w:t>
            </w:r>
          </w:p>
        </w:tc>
        <w:tc>
          <w:tcPr>
            <w:tcW w:type="dxa" w:w="40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Same test variable as DTC-02A</w:t>
            </w:r>
          </w:p>
        </w:tc>
      </w:tr>
      <w:tr>
        <w:trPr>
          <w:tblHeader w:val="false"/>
        </w:trPr>
        <w:tc>
          <w:tcPr>
            <w:tcW w:type="dxa" w:w="2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ECS-DTC-03 (v1)</w:t>
            </w:r>
          </w:p>
        </w:tc>
        <w:tc>
          <w:tcPr>
            <w:tcW w:type="dxa" w:w="3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Issuance surge → DTC new-issue processing</w:t>
            </w:r>
          </w:p>
        </w:tc>
        <w:tc>
          <w:tcPr>
            <w:tcW w:type="dxa" w:w="40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Test variable in repo; needs SEC 424B counts. May move to Asset Services</w:t>
            </w:r>
          </w:p>
        </w:tc>
      </w:tr>
      <w:tr>
        <w:trPr>
          <w:tblHeader w:val="false"/>
        </w:trPr>
        <w:tc>
          <w:tcPr>
            <w:tcW w:type="dxa" w:w="21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ECS-DTC-04 (v1)</w:t>
            </w:r>
          </w:p>
        </w:tc>
        <w:tc>
          <w:tcPr>
            <w:tcW w:type="dxa" w:w="32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Funding stress → DTC end-of-day money settlement</w:t>
            </w:r>
          </w:p>
        </w:tc>
        <w:tc>
          <w:tcPr>
            <w:tcW w:type="dxa" w:w="40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Needs FRED DCPF3M and case evidence; vulnerability candidate: DTC Participants Fund</w:t>
            </w:r>
          </w:p>
        </w:tc>
      </w:tr>
    </w:tbl>
    <w:p>
      <w:pPr>
        <w:pStyle w:val="Heading1"/>
        <w:spacing w:after="120" w:before="240"/>
      </w:pPr>
      <w:r>
        <w:rPr>
          <w:rFonts w:ascii="Arial" w:cs="Arial" w:eastAsia="Arial" w:hAnsi="Arial"/>
        </w:rPr>
        <w:t xml:space="preserve">5. Data gaps for the core chains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700"/>
        <w:gridCol w:w="2500"/>
        <w:gridCol w:w="2460"/>
      </w:tblGrid>
      <w:tr>
        <w:trPr>
          <w:tblHeader/>
        </w:trPr>
        <w:tc>
          <w:tcPr>
            <w:tcW w:type="dxa" w:w="27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Data</w:t>
            </w:r>
          </w:p>
        </w:tc>
        <w:tc>
          <w:tcPr>
            <w:tcW w:type="dxa" w:w="17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Used by</w:t>
            </w:r>
          </w:p>
        </w:tc>
        <w:tc>
          <w:tcPr>
            <w:tcW w:type="dxa" w:w="25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Source</w:t>
            </w:r>
          </w:p>
        </w:tc>
        <w:tc>
          <w:tcPr>
            <w:tcW w:type="dxa" w:w="24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Effort / notes</w:t>
            </w:r>
          </w:p>
        </w:tc>
      </w:tr>
      <w:tr>
        <w:trPr>
          <w:tblHeader w:val="false"/>
        </w:trPr>
        <w:tc>
          <w:tcPr>
            <w:tcW w:type="dxa" w:w="2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US consolidated equity volume</w:t>
            </w:r>
          </w:p>
        </w:tc>
        <w:tc>
          <w:tcPr>
            <w:tcW w:type="dxa" w:w="1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NSCC-03</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Cboe market volume summary</w:t>
            </w:r>
          </w:p>
        </w:tc>
        <w:tc>
          <w:tcPr>
            <w:tcW w:type="dxa" w:w="246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Medium</w:t>
            </w:r>
          </w:p>
        </w:tc>
      </w:tr>
      <w:tr>
        <w:trPr>
          <w:tblHeader w:val="false"/>
        </w:trPr>
        <w:tc>
          <w:tcPr>
            <w:tcW w:type="dxa" w:w="2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SEC fails-to-deliver</w:t>
            </w:r>
          </w:p>
        </w:tc>
        <w:tc>
          <w:tcPr>
            <w:tcW w:type="dxa" w:w="1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NSCC-03</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SEC FTD data</w:t>
            </w:r>
          </w:p>
        </w:tc>
        <w:tc>
          <w:tcPr>
            <w:tcW w:type="dxa" w:w="246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Medium; aggregate to weekly</w:t>
            </w:r>
          </w:p>
        </w:tc>
      </w:tr>
      <w:tr>
        <w:trPr>
          <w:tblHeader w:val="false"/>
        </w:trPr>
        <w:tc>
          <w:tcPr>
            <w:tcW w:type="dxa" w:w="2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 and DTC monthly fail-rate history</w:t>
            </w:r>
          </w:p>
        </w:tc>
        <w:tc>
          <w:tcPr>
            <w:tcW w:type="dxa" w:w="1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SET-01</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DTCC Equities by the Numbers</w:t>
            </w:r>
          </w:p>
        </w:tc>
        <w:tc>
          <w:tcPr>
            <w:tcW w:type="dxa" w:w="2460"/>
            <w:tcBorders>
              <w:top w:val="single" w:color="C9D1CD" w:sz="4"/>
              <w:left w:val="single" w:color="C9D1CD" w:sz="4"/>
              <w:bottom w:val="single" w:color="C9D1CD" w:sz="4"/>
              <w:right w:val="single" w:color="C9D1CD" w:sz="4"/>
            </w:tcBorders>
            <w:shd w:fill="FCF1D6"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Medium; check how far back it goes</w:t>
            </w:r>
          </w:p>
        </w:tc>
      </w:tr>
      <w:tr>
        <w:trPr>
          <w:tblHeader w:val="false"/>
        </w:trPr>
        <w:tc>
          <w:tcPr>
            <w:tcW w:type="dxa" w:w="2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24x5 and T+0 milestone dates</w:t>
            </w:r>
          </w:p>
        </w:tc>
        <w:tc>
          <w:tcPr>
            <w:tcW w:type="dxa" w:w="1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SET-01</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SEC, DTCC, industry announcements</w:t>
            </w:r>
          </w:p>
        </w:tc>
        <w:tc>
          <w:tcPr>
            <w:tcW w:type="dxa" w:w="2460"/>
            <w:tcBorders>
              <w:top w:val="single" w:color="C9D1CD" w:sz="4"/>
              <w:left w:val="single" w:color="C9D1CD" w:sz="4"/>
              <w:bottom w:val="single" w:color="C9D1CD" w:sz="4"/>
              <w:right w:val="single" w:color="C9D1CD" w:sz="4"/>
            </w:tcBorders>
            <w:shd w:fill="FBE1D9"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Manual</w:t>
            </w:r>
          </w:p>
        </w:tc>
      </w:tr>
      <w:tr>
        <w:trPr>
          <w:tblHeader w:val="false"/>
        </w:trPr>
        <w:tc>
          <w:tcPr>
            <w:tcW w:type="dxa" w:w="2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Case evidence, January 2021 deposit calls</w:t>
            </w:r>
          </w:p>
        </w:tc>
        <w:tc>
          <w:tcPr>
            <w:tcW w:type="dxa" w:w="17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NSCC-04</w:t>
            </w:r>
          </w:p>
        </w:tc>
        <w:tc>
          <w:tcPr>
            <w:tcW w:type="dxa" w:w="2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SEC staff report on early-2021 market conditions; DTCC statements</w:t>
            </w:r>
          </w:p>
        </w:tc>
        <w:tc>
          <w:tcPr>
            <w:tcW w:type="dxa" w:w="2460"/>
            <w:tcBorders>
              <w:top w:val="single" w:color="C9D1CD" w:sz="4"/>
              <w:left w:val="single" w:color="C9D1CD" w:sz="4"/>
              <w:bottom w:val="single" w:color="C9D1CD" w:sz="4"/>
              <w:right w:val="single" w:color="C9D1CD" w:sz="4"/>
            </w:tcBorders>
            <w:shd w:fill="FBE1D9" w:color="auto" w:val="clear"/>
            <w:tcMar>
              <w:top w:type="dxa" w:w="60"/>
              <w:left w:type="dxa" w:w="100"/>
              <w:bottom w:type="dxa" w:w="60"/>
              <w:right w:type="dxa" w:w="100"/>
            </w:tcMar>
          </w:tcPr>
          <w:p>
            <w:pPr>
              <w:spacing w:after="20"/>
            </w:pPr>
            <w:r>
              <w:rPr>
                <w:rFonts w:ascii="Arial" w:cs="Arial" w:eastAsia="Arial" w:hAnsi="Arial"/>
                <w:b w:val="false"/>
                <w:bCs w:val="false"/>
                <w:sz w:val="19"/>
                <w:szCs w:val="19"/>
              </w:rPr>
              <w:t xml:space="preserve">Manual; verify the source</w:t>
            </w:r>
          </w:p>
        </w:tc>
      </w:tr>
    </w:tbl>
    <w:p>
      <w:pPr>
        <w:spacing w:before="120"/>
      </w:pPr>
      <w:r>
        <w:rPr>
          <w:rFonts w:ascii="Arial" w:cs="Arial" w:eastAsia="Arial" w:hAnsi="Arial"/>
          <w:b/>
          <w:bCs/>
        </w:rPr>
        <w:t xml:space="preserve">Also: </w:t>
      </w:r>
      <w:r>
        <w:rPr>
          <w:rFonts w:ascii="Arial" w:cs="Arial" w:eastAsia="Arial" w:hAnsi="Arial"/>
        </w:rPr>
        <w:t xml:space="preserve">ECS-SET-01 needs the same scoring rubric as the FICC chains without a market indicator. The model owner will design one rubric for both.</w:t>
      </w:r>
    </w:p>
    <w:p>
      <w:pPr>
        <w:pStyle w:val="Heading1"/>
        <w:spacing w:after="120" w:before="240"/>
      </w:pPr>
      <w:r>
        <w:rPr>
          <w:rFonts w:ascii="Arial" w:cs="Arial" w:eastAsia="Arial" w:hAnsi="Arial"/>
        </w:rPr>
        <w:t xml:space="preserve">6. Decisions for the team</w:t>
      </w:r>
    </w:p>
    <w:p>
      <w:pPr>
        <w:pStyle w:val="ListParagraph"/>
        <w:numPr>
          <w:ilvl w:val="0"/>
          <w:numId w:val="2"/>
        </w:numPr>
        <w:spacing w:after="40"/>
      </w:pPr>
      <w:r>
        <w:rPr>
          <w:rFonts w:ascii="Arial" w:cs="Arial" w:eastAsia="Arial" w:hAnsi="Arial"/>
        </w:rPr>
        <w:t xml:space="preserve">Agree to the 5 core chains and move the rest to extensions</w:t>
      </w:r>
    </w:p>
    <w:p>
      <w:pPr>
        <w:pStyle w:val="ListParagraph"/>
        <w:numPr>
          <w:ilvl w:val="0"/>
          <w:numId w:val="2"/>
        </w:numPr>
        <w:spacing w:after="40"/>
      </w:pPr>
      <w:r>
        <w:rPr>
          <w:rFonts w:ascii="Arial" w:cs="Arial" w:eastAsia="Arial" w:hAnsi="Arial"/>
        </w:rPr>
        <w:t xml:space="preserve">Agree that ECS-NSCC-01 and ECS-NSCC-02 are v2 candidates that need confirmation on new data</w:t>
      </w:r>
    </w:p>
    <w:p>
      <w:pPr>
        <w:pStyle w:val="ListParagraph"/>
        <w:numPr>
          <w:ilvl w:val="0"/>
          <w:numId w:val="2"/>
        </w:numPr>
        <w:spacing w:after="40"/>
      </w:pPr>
      <w:r>
        <w:rPr>
          <w:rFonts w:ascii="Arial" w:cs="Arial" w:eastAsia="Arial" w:hAnsi="Arial"/>
        </w:rPr>
        <w:t xml:space="preserve">Agree that Test 2 uses same-quarter (lag 0) as primary, for both FICC and ECS</w:t>
      </w:r>
    </w:p>
    <w:p>
      <w:pPr>
        <w:pStyle w:val="ListParagraph"/>
        <w:numPr>
          <w:ilvl w:val="0"/>
          <w:numId w:val="2"/>
        </w:numPr>
        <w:spacing w:after="40"/>
      </w:pPr>
      <w:r>
        <w:rPr>
          <w:rFonts w:ascii="Arial" w:cs="Arial" w:eastAsia="Arial" w:hAnsi="Arial"/>
        </w:rPr>
        <w:t xml:space="preserve">Agree to the shock-only rule for chains without public vulnerability data</w:t>
      </w:r>
    </w:p>
    <w:p>
      <w:pPr>
        <w:pStyle w:val="ListParagraph"/>
        <w:numPr>
          <w:ilvl w:val="0"/>
          <w:numId w:val="2"/>
        </w:numPr>
        <w:spacing w:after="40"/>
      </w:pPr>
      <w:r>
        <w:rPr>
          <w:rFonts w:ascii="Arial" w:cs="Arial" w:eastAsia="Arial" w:hAnsi="Arial"/>
        </w:rPr>
        <w:t xml:space="preserve">Assign who collects Cboe volume, SEC fails-to-deliver and fail-rate history</w:t>
      </w:r>
    </w:p>
    <w:p>
      <w:pPr>
        <w:pStyle w:val="Heading1"/>
        <w:spacing w:after="120" w:before="240"/>
      </w:pPr>
      <w:r>
        <w:rPr>
          <w:rFonts w:ascii="Arial" w:cs="Arial" w:eastAsia="Arial" w:hAnsi="Arial"/>
        </w:rPr>
        <w:t xml:space="preserve">7. Test results summary (to be filled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1500"/>
        <w:gridCol w:w="1500"/>
        <w:gridCol w:w="1500"/>
        <w:gridCol w:w="1300"/>
        <w:gridCol w:w="1960"/>
      </w:tblGrid>
      <w:tr>
        <w:trPr>
          <w:tblHeader/>
        </w:trPr>
        <w:tc>
          <w:tcPr>
            <w:tcW w:type="dxa" w:w="16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ID</w:t>
            </w:r>
          </w:p>
        </w:tc>
        <w:tc>
          <w:tcPr>
            <w:tcW w:type="dxa" w:w="15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1</w:t>
            </w:r>
          </w:p>
        </w:tc>
        <w:tc>
          <w:tcPr>
            <w:tcW w:type="dxa" w:w="15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Test 2</w:t>
            </w:r>
          </w:p>
        </w:tc>
        <w:tc>
          <w:tcPr>
            <w:tcW w:type="dxa" w:w="15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Confidence</w:t>
            </w:r>
          </w:p>
        </w:tc>
        <w:tc>
          <w:tcPr>
            <w:tcW w:type="dxa" w:w="130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Version</w:t>
            </w:r>
          </w:p>
        </w:tc>
        <w:tc>
          <w:tcPr>
            <w:tcW w:type="dxa" w:w="1960"/>
            <w:tcBorders>
              <w:top w:val="single" w:color="C9D1CD" w:sz="4"/>
              <w:left w:val="single" w:color="C9D1CD" w:sz="4"/>
              <w:bottom w:val="single" w:color="C9D1CD" w:sz="4"/>
              <w:right w:val="single" w:color="C9D1CD" w:sz="4"/>
            </w:tcBorders>
            <w:shd w:fill="E8F0EC" w:color="auto" w:val="clear"/>
            <w:tcMar>
              <w:top w:type="dxa" w:w="60"/>
              <w:left w:type="dxa" w:w="100"/>
              <w:bottom w:type="dxa" w:w="60"/>
              <w:right w:type="dxa" w:w="100"/>
            </w:tcMar>
          </w:tcPr>
          <w:p>
            <w:pPr>
              <w:spacing w:after="20"/>
            </w:pPr>
            <w:r>
              <w:rPr>
                <w:rFonts w:ascii="Arial" w:cs="Arial" w:eastAsia="Arial" w:hAnsi="Arial"/>
                <w:b/>
                <w:bCs/>
                <w:sz w:val="19"/>
                <w:szCs w:val="19"/>
              </w:rPr>
              <w:t xml:space="preserve">Notes</w:t>
            </w:r>
          </w:p>
        </w:tc>
      </w:tr>
      <w:tr>
        <w:trPr>
          <w:tblHeader w:val="false"/>
        </w:trPr>
        <w:tc>
          <w:tcPr>
            <w:tcW w:type="dxa" w:w="1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ECS-NSCC-01</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3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v2</w:t>
            </w:r>
          </w:p>
        </w:tc>
        <w:tc>
          <w:tcPr>
            <w:tcW w:type="dxa" w:w="19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r>
        <w:trPr>
          <w:tblHeader w:val="false"/>
        </w:trPr>
        <w:tc>
          <w:tcPr>
            <w:tcW w:type="dxa" w:w="1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ECS-NSCC-02</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3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v2</w:t>
            </w:r>
          </w:p>
        </w:tc>
        <w:tc>
          <w:tcPr>
            <w:tcW w:type="dxa" w:w="19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r>
        <w:trPr>
          <w:tblHeader w:val="false"/>
        </w:trPr>
        <w:tc>
          <w:tcPr>
            <w:tcW w:type="dxa" w:w="1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ECS-NSCC-03</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3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v1</w:t>
            </w:r>
          </w:p>
        </w:tc>
        <w:tc>
          <w:tcPr>
            <w:tcW w:type="dxa" w:w="19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r>
        <w:trPr>
          <w:tblHeader w:val="false"/>
        </w:trPr>
        <w:tc>
          <w:tcPr>
            <w:tcW w:type="dxa" w:w="1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ECS-SET-01</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3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v2</w:t>
            </w:r>
          </w:p>
        </w:tc>
        <w:tc>
          <w:tcPr>
            <w:tcW w:type="dxa" w:w="19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r>
        <w:trPr>
          <w:tblHeader w:val="false"/>
        </w:trPr>
        <w:tc>
          <w:tcPr>
            <w:tcW w:type="dxa" w:w="16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ECS-NSCC-04</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5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c>
          <w:tcPr>
            <w:tcW w:type="dxa" w:w="130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v1</w:t>
            </w:r>
          </w:p>
        </w:tc>
        <w:tc>
          <w:tcPr>
            <w:tcW w:type="dxa" w:w="1960"/>
            <w:tcBorders>
              <w:top w:val="single" w:color="C9D1CD" w:sz="4"/>
              <w:left w:val="single" w:color="C9D1CD" w:sz="4"/>
              <w:bottom w:val="single" w:color="C9D1CD" w:sz="4"/>
              <w:right w:val="single" w:color="C9D1CD" w:sz="4"/>
            </w:tcBorders>
            <w:tcMar>
              <w:top w:type="dxa" w:w="60"/>
              <w:left w:type="dxa" w:w="100"/>
              <w:bottom w:type="dxa" w:w="60"/>
              <w:right w:type="dxa" w:w="100"/>
            </w:tcMar>
          </w:tcPr>
          <w:p>
            <w:pPr>
              <w:spacing w:after="20"/>
            </w:pPr>
            <w:r>
              <w:rPr>
                <w:rFonts w:ascii="Arial" w:cs="Arial" w:eastAsia="Arial" w:hAnsi="Arial"/>
                <w:b w:val="false"/>
                <w:bCs w:val="false"/>
                <w:sz w:val="19"/>
                <w:szCs w:val="19"/>
              </w:rPr>
              <w:t xml:space="preserve"> </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6B66"/>
        <w:sz w:val="16"/>
        <w:szCs w:val="16"/>
      </w:rPr>
      <w:t xml:space="preserve">ECS Transmission Chain Hypotheses v2 · Page </w:t>
    </w:r>
    <w:r>
      <w:rPr>
        <w:rFonts w:ascii="Arial" w:cs="Arial" w:eastAsia="Arial" w:hAnsi="Arial"/>
        <w:color w:val="5F6B66"/>
        <w:sz w:val="16"/>
        <w:szCs w:val="16"/>
      </w:rPr>
      <w:fldChar w:fldCharType="begin"/>
      <w:instrText xml:space="preserve">PAGE</w:instrText>
      <w:fldChar w:fldCharType="separate"/>
      <w:fldChar w:fldCharType="end"/>
    </w:r>
    <w:r>
      <w:rPr>
        <w:rFonts w:ascii="Arial" w:cs="Arial" w:eastAsia="Arial" w:hAnsi="Arial"/>
        <w:color w:val="5F6B66"/>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43"/>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F4E4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ECS Transmission Chain Hypotheses v2</dc:title>
  <dc:creator>DTCC Capstone Team</dc:creator>
  <cp:lastModifiedBy>Un-named</cp:lastModifiedBy>
  <cp:revision>1</cp:revision>
  <dcterms:created xsi:type="dcterms:W3CDTF">2026-10-16T06:13:58.345Z</dcterms:created>
  <dcterms:modified xsi:type="dcterms:W3CDTF">2026-10-16T06:13:58.350Z</dcterms:modified>
</cp:coreProperties>
</file>

<file path=docProps/custom.xml><?xml version="1.0" encoding="utf-8"?>
<Properties xmlns="http://schemas.openxmlformats.org/officeDocument/2006/custom-properties" xmlns:vt="http://schemas.openxmlformats.org/officeDocument/2006/docPropsVTypes"/>
</file>