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43"/>
          <w:sz w:val="40"/>
          <w:szCs w:val="40"/>
        </w:rPr>
        <w:t xml:space="preserve">FICC Transmission Chain Hypotheses v1</w:t>
      </w:r>
    </w:p>
    <w:p>
      <w:pPr>
        <w:spacing w:after="80"/>
      </w:pPr>
      <w:r>
        <w:rPr>
          <w:rFonts w:ascii="Arial" w:cs="Arial" w:eastAsia="Arial" w:hAnsi="Arial"/>
          <w:color w:val="5F6B66"/>
          <w:sz w:val="20"/>
          <w:szCs w:val="20"/>
        </w:rPr>
        <w:t xml:space="preserve">Status: hypotheses, not yet tested  ·  Date: 2026-10-15  ·  Scope: FICC (GSD, MBSD)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How to use this document</w:t>
      </w:r>
    </w:p>
    <w:p>
      <w:pPr>
        <w:spacing w:after="80"/>
      </w:pPr>
      <w:r>
        <w:rPr>
          <w:rFonts w:ascii="Arial" w:cs="Arial" w:eastAsia="Arial" w:hAnsi="Arial"/>
        </w:rPr>
        <w:t xml:space="preserve">This document lists 8 FICC transmission chain hypotheses for the team to test, one card per chain. Each chain has three steps: world event → mechanism → impact on a DTCC business line. Step 2 (the mechanism) is logical reasoning and is not tested.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Test 1 (Step 1): </w:t>
      </w:r>
      <w:r>
        <w:rPr>
          <w:rFonts w:ascii="Arial" w:cs="Arial" w:eastAsia="Arial" w:hAnsi="Arial"/>
        </w:rPr>
        <w:t xml:space="preserve">does the risk signal actually reflect real-world events?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Test 2 (Step 3): </w:t>
      </w:r>
      <w:r>
        <w:rPr>
          <w:rFonts w:ascii="Arial" w:cs="Arial" w:eastAsia="Arial" w:hAnsi="Arial"/>
        </w:rPr>
        <w:t xml:space="preserve">does the shock actually reach this business line? Judged with the test variable, which captures the business reacting.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Vulnerability variable: </w:t>
      </w:r>
      <w:r>
        <w:rPr>
          <w:rFonts w:ascii="Arial" w:cs="Arial" w:eastAsia="Arial" w:hAnsi="Arial"/>
        </w:rPr>
        <w:t xml:space="preserve">used only for scoring. It measures whether the buffer is enough and is not used in Test 2.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Before running tests: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The test methods and pass criteria on each card are proposals. Confirm them as a team and freeze them before running. Don't change them afterward; if a change is needed, record the reason and bump the version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Test only the one signal and one test variable on each card. No extra comparisons.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Record results in the Test record at the bottom of each card, and in the summary table in Section 4.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Data status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77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</w:tc>
        <w:tc>
          <w:tcPr>
            <w:tcW w:type="dxa" w:w="77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in the project database; ready to use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77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Partly available, or content needs to be checked first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</w:tc>
        <w:tc>
          <w:tcPr>
            <w:tcW w:type="dxa" w:w="77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yet available; needs to be collected, extracted, or researched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77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data needed for this item (e.g., uses the scoring rubric)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</w:rPr>
        <w:t xml:space="preserve">Confidence rules: </w:t>
      </w:r>
      <w:r>
        <w:rPr>
          <w:rFonts w:ascii="Arial" w:cs="Arial" w:eastAsia="Arial" w:hAnsi="Arial"/>
        </w:rPr>
        <w:t xml:space="preserve">Test 1 and Test 2 both pass → High. Test 1 passes, Test 2 inconclusive due to limited data → Medium. Chains without a market indicator, supported only by logic and cases → Low or Medium. Test 1 fails, or Test 2 is significant in the wrong direction → revise or drop.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400"/>
        <w:gridCol w:w="1300"/>
        <w:gridCol w:w="14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family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 to run?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FICC-GSD-01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Treasury market volatility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FICC-GSD-02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funding pressure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Liquidity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1 data item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FICC-GSD-03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Treasury clearing mandate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Without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3 items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FICC-GSD-04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credit deterioration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1 item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FICC-MBSD-01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 spread shock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1 data item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FICC-GSD-05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Competitor entry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Without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Strategic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2 items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FICC-GSD-06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 or cyber incident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Without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 / Cyber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2 items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FICC-MBSD-02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GSE reform</w:t>
            </w:r>
          </w:p>
        </w:tc>
        <w:tc>
          <w:tcPr>
            <w:tcW w:type="dxa" w:w="14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Without market indicator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</w:t>
            </w:r>
          </w:p>
        </w:tc>
        <w:tc>
          <w:tcPr>
            <w:tcW w:type="dxa" w:w="1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2 items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Chain cards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FICC-GSD-01  Treasury market volatility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 market indicator  ·  Risk family: Market  ·  Priority: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Treasury selloff, yields spike, sharp swings in the Treasury market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Absolute daily change in the 10-year Treasury yield, weekly peak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Source: FRED DGS10, 2018 to now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market_daily.csv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yield moves → bigger price changes on members' cleared positions → FICC raises margin requirements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 margin (Clearing Fund) requirement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Quarter-on-quarter change in GSD margin requirement (PQD 6.1.1), same quarter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Coverage: from 2020Q4, so only the 2023 and 2025 events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pqd_quarterly.csv; small sample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Cover-1 stress loss ÷ quarter-end margin (PQD 4.4.3 ÷ 6.1.1)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higher = more vulnerable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stress_loss_to_im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2020-03-09 to 03-23: COVID shock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2023-03-08 to 03-17: bank stress (SVB)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2025-04-02 to 04-11: Treasury market shock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Yes. v1 was written after seeing the 10/6 results and the follow-up test (same-quarter rho 0.408)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Re-run with weekly peaks: alert when the weekly peak exceeds the 90th percentile of the prior 52 weeks (excluding the current week); hit ≥ 2/3 of relevant events; alert rate outside events ≤ 15%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 max of the daily 10-year change vs same-quarter GSD margin change; Spearman rho ≥ 0.3 and the 4-quarter block-bootstrap 95% interval lower bound &gt; 0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margin is not public, so only quarterly data; margin changes can also come from business growth or model changes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None; ready to run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FICC-GSD-02  Repo funding pressure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 market indicator  ·  Risk family: Liquidity  ·  Priority: Core (suggested pilot to run end to end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rates spike, funding markets tighten, quarter-end funding strain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SOFR − EFFR, quarter-end adjusted, weekly peak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Source: FRED, from 2018-04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market_daily.csv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rates rise → members' funding costs rise → daily settlement payments get harder to fund → FICC's liquidity needs rise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 settlement payments and liquidity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dispersion in FICC-cleared repo (DVP / GCF), daily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 one before running: DVP 99th − 1st percentile rate; or GCF − DVP spread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Source: OFR Short-term Funding Monitor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from OFR; confirm start date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Largest payment obligation ÷ qualifying liquid resources (PQD 7.3.4 ÷ 7.1)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higher = more vulnerable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payment_to_qlr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2019-09-16 to 09-20: repo spike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2020-03-09 to 03-23: COVID shock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2025-04-02 to 04-11: Treasury market shock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for the signal. The test variable is new; no results seen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test already passed; re-run once with weekly peaks to confirm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study: shock days = days when adjusted SOFR − EFFR exceeds the 90th percentile of the prior 252 days. Regress the test variable on a shock-day dummy plus month-end and quarter-end dummies; shock-day coefficient &gt; 0 with p &lt; 0.05 (HAC standard errors)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Member-level funding positions are not public; most liquid resources are CCLF (member commitments), not cash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OFR daily cleared-repo data (DVP / GCF)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FICC-GSD-03  Treasury clearing mandate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Without market indicator  ·  Risk family: Regulatory  ·  Priority: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 Treasury clearing deadline approaches, is extended, or details change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None; use the scoring rubric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Certainty: scheduled; scope: all eligible cash Treasury and repo trades; timing: days to deadline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Rubric to be designed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Deadline approaches → firms not yet centrally cleared sign up, mostly via sponsored clearing → new business concentrates on a few sponsoring members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 new-client onboarding and sponsored clearing volume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DTCC public Sponsored activity statistics, plus public case evidence around past milestones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Coverage: Sponsored data from about 2021 (to verify)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ficc_daily_operations_history.csv (from 2021-08); check whether it includes Sponsored volume; case evidence missing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Top-5 members' share of client transactions (PQD 19.1.3)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higher = more vulnerable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Extract 19.1.3 from existing PQD files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2023-12: SEC adopts the rule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2025-02: SEC extension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2026-12-31: cash compliance date (upcoming)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2027-06-30: repo compliance date (upcoming)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statistical test. Confirm each milestone has a public source (SEC release or rule text)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1 past milestone with public evidence that GSD Sponsored volume or the number of onboarded members changed around it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many firms still need to onboard (not public); whether the SEC extends again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Check whether FICC daily data includes Sponsored volume; Extract PQD 19.1.3; Case evidence for past milestones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FICC-GSD-04  Member credit deterioration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 market indicator  ·  Risk family: Credit  ·  Priority: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bank or dealer is downgraded, fails, or reports large losses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20-day widening in the Baa credit spread, weekly peak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Source: FRED BAA10Y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market_daily.csv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 conditions worsen → member default risk rises → if a member defaults, FICC uses default resources and other members share losses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 default management and mutualized resources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suitable public high-frequency variable; use historical case evidence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Candidate: DTCC's public account of handling the Lehman default in 2008 (verify the original source)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Case evidence to collect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Top-5 members' share of open positions (PQD 18.2.2)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higher = more vulnerable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top5_open_share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2020-03-09 to 03-23: COVID shock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2023-03-08 to 03-17: bank stress (SVB)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for the signal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test already passed; re-run once with weekly peaks to confirm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1 past event with public evidence that FICC started default management or changed risk measures because of a member credit event. Expected confidence: Medium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members' credit is deteriorating is not public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old test this chain shared the Cover-1 stress-loss ratio with the rates chain. v1 uses concentration instead to avoid double counting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Historical case evidence (e.g., 2008 Lehman default management)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FICC-MBSD-01  MBS spread shock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 market indicator  ·  Risk family: Market  ·  Priority: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Mortgage rates jump, MBS spreads widen, refinancing wave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30-year mortgage rate − 10-year Treasury yield, absolute weekly change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Source: FRED MORTGAGE30US (weekly), DGS10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MORTGAGE30US; DGS10 already in place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Spreads or prepayment expectations jump → TBA prices swing → MBSD members' variation margin and margin requirements rise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MBSD margin and variation margin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Quarter-on-quarter change in MBSD peak single-day variation margin (PQD 6.7.1), same quarter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Coverage: from 2020Q4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6.7.1 extracted in the follow-up test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MBSD Cover-1 stress loss ÷ quarter-end margin (PQD 4.4.3 ÷ 6.1.1)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higher = more vulnerable; 24.8% in Q2 2026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stress_loss_to_im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2020-03-09 to 03-23: COVID shock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2nd half of 2022, rate-hike period (window TBD)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2025-04-02 to 04-11: Treasury market shock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No, new signal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when the weekly spread change exceeds the 90th percentile of the prior 52 weeks (excluding the current week); hit ≥ 2/3 of relevant events; alert rate outside events ≤ 15%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 max absolute weekly spread change vs same-quarter change in MBSD 6.7.1; Spearman rho ≥ 0.3 and the 4-quarter block-bootstrap 95% interval lower bound &gt; 0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free long-history MBS spread; the mortgage-rate gap is only a proxy; member-level MBS positions are not public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FRED MORTGAGE30US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FICC-GSD-05  Competitor entry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Without market indicator  ·  Risk family: Strategic  ·  Priority: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CME or ICE announces progress, new clients, or new features for Treasury clearing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None; use the scoring rubric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Rubric to be designed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Competitors pursue the same new clients → part of newly cleared business moves to competitors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 share of newly cleared Treasury activity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Clearing volumes and client counts publicly disclosed by CME and ICE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whether public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TBD; no matching PQD metric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CME Securities Clearing was approved by the SEC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ICE publicly announced its Treasury clearing service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statistical test. Confirm each milestone has a public source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1 piece of public evidence of clients moving between FICC and a competitor, or public share data. Expected confidence: Low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 market shares are not public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Split with GSD-03: news about the mandate itself goes to GSD-03; competitor announcements go to GSD-05, so the same news is not scored twice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CME and ICE public data; Vulnerability variable TBD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FICC-GSD-06  Operational or cyber incident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Without market indicator  ·  Risk family: Operational / Cyber  ·  Priority: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or vendor system outage, cyberattack, or erroneous instructions disrupt trading or settlement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None; use the scoring rubric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Rubric to be designed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can't submit trades or settle on time → settlement fails and exceptions rise → GSD settlement is disrupted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 trade submission and settlement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case evidence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Candidate: the November 2023 ransomware attack on ICBC's US unit, which disrupted Treasury trade settlement (verify whether FICC was directly involved)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Case evidence to collect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Core-system availability and number of failures (PQD 17.2, 17.3)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lower availability / more failures = more vulnerable; DTCC-level data shared by FICC and NSCC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Extract 17.2, 17.3 from existing PQD files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2023-11: ICBC ransomware incident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statistical test. Confirm the event has a public source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1 past event with public evidence that GSD trade submission or settlement was affected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incidents inside member firms are usually not public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Extract PQD 17.2, 17.3; Case evidence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FICC-MBSD-02  GSE reform (v1)</w:t>
      </w:r>
    </w:p>
    <w:p>
      <w:pPr>
        <w:spacing w:after="80"/>
      </w:pPr>
      <w:r>
        <w:rPr>
          <w:rFonts w:ascii="Arial" w:cs="Arial" w:eastAsia="Arial" w:hAnsi="Arial"/>
          <w:color w:val="5F6B66"/>
          <w:sz w:val="19"/>
          <w:szCs w:val="19"/>
        </w:rPr>
        <w:t xml:space="preserve">Type: Without market indicator  ·  Risk family: Regulatory  ·  Priority: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status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World event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Fannie Mae or Freddie Mac exits conservatorship, is privatized, or guarantee arrangements change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1 · Signal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None; use the scoring rubric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Rubric to be designed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 · Mechanism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Expectations about the government guarantee change → agency MBS pricing and TBA trading rules may change → MBSD clearing business and risk models are affected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Process touched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MBSD TBA clearing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Test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FINRA TRACE agency MBS volume, plus case evidence around related announcements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FINRA data frequency and history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3 · Vulnerability variable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MBSD Cover-1 stress loss ÷ quarter-end margin (PQD 4.4.3 ÷ 6.1.1)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Direction: higher = more vulnerable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stress_loss_to_im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event windows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Dates of official GSE reform announcements (to compile)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results seen?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statistical test. Confirm each milestone has a public source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 · method and pass criteria (proposed)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1 announcement with public data or reporting showing a change in TBA volume or MBSD business around it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before running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unknowns</w:t>
            </w:r>
          </w:p>
        </w:tc>
        <w:tc>
          <w:tcPr>
            <w:tcW w:type="dxa" w:w="52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Policy details and timeline are uncertain</w:t>
            </w:r>
          </w:p>
        </w:tc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Data still needed: </w:t>
      </w:r>
      <w:r>
        <w:rPr>
          <w:rFonts w:ascii="Arial" w:cs="Arial" w:eastAsia="Arial" w:hAnsi="Arial"/>
        </w:rPr>
        <w:t xml:space="preserve">FINRA TRACE agency MBS data; Announcement dates and case evidence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43"/>
        </w:rPr>
        <w:t xml:space="preserve">Test record (to be filled in by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 result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 / date / tester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Data gaps</w:t>
      </w:r>
    </w:p>
    <w:p>
      <w:pPr>
        <w:spacing w:after="80"/>
      </w:pPr>
      <w:r>
        <w:rPr>
          <w:rFonts w:ascii="Arial" w:cs="Arial" w:eastAsia="Arial" w:hAnsi="Arial"/>
        </w:rPr>
        <w:t xml:space="preserve">Ordered by effort. For sources marked "verify", first confirm they are public and check frequency and history 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700"/>
        <w:gridCol w:w="25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Used by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Effort / notes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30-year mortgage rate (MORTGAGE30US)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MBSD-01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FRED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easy; direct download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PQD 19.1.3 top-5 share of client transactions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GSD-03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Existing PQD files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easy; extract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PQD 17.2, 17.3 system availability and failures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GSD-06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Existing PQD files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DF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easy; extract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OFR daily cleared-repo data (DVP / GCF)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GSD-02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OFR Short-term Funding Monitor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Medium; confirm start date; key for GSD-02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Sponsored volume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GSD-03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Existing FICC daily data or DTCC website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Medium; first check whether the existing file has it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FINRA TRACE agency MBS volume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MBSD-02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FINRA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C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frequency and history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CME / ICE clearing volume and client counts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GSD-05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CME and ICE websites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whether public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case evidence</w:t>
            </w:r>
          </w:p>
        </w:tc>
        <w:tc>
          <w:tcPr>
            <w:tcW w:type="dxa" w:w="17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GSD-03, GSD-04, GSD-06, MBSD-02</w:t>
            </w:r>
          </w:p>
        </w:tc>
        <w:tc>
          <w:tcPr>
            <w:tcW w:type="dxa" w:w="2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SEC, DTCC notices, Fed reports, news coverage</w:t>
            </w:r>
          </w:p>
        </w:tc>
        <w:tc>
          <w:tcPr>
            <w:tcW w:type="dxa" w:w="24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BE1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 research; takes longest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</w:rPr>
        <w:t xml:space="preserve">Also: </w:t>
      </w:r>
      <w:r>
        <w:rPr>
          <w:rFonts w:ascii="Arial" w:cs="Arial" w:eastAsia="Arial" w:hAnsi="Arial"/>
        </w:rPr>
        <w:t xml:space="preserve">the 4 chains without a market indicator (GSD-03, GSD-05, GSD-06, MBSD-02) need a scoring rubric to produce a shock score. This doesn't depend on data; the model owner will design it separately.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Test results summary (to be filled 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500"/>
        <w:gridCol w:w="1500"/>
        <w:gridCol w:w="1500"/>
        <w:gridCol w:w="13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E8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FICC-GSD-01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FICC-GSD-02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FICC-GSD-03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FICC-GSD-04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FICC-MBSD-01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FICC-GSD-05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FICC-GSD-06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FICC-MBSD-02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96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66"/>
        <w:sz w:val="16"/>
        <w:szCs w:val="16"/>
      </w:rPr>
      <w:t xml:space="preserve">FICC Transmission Chain Hypotheses v1 · Page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4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FICC Transmission Chain Hypotheses v1</dc:title>
  <dc:creator>DTCC Capstone Team</dc:creator>
  <cp:lastModifiedBy>Un-named</cp:lastModifiedBy>
  <cp:revision>1</cp:revision>
  <dcterms:created xsi:type="dcterms:W3CDTF">2026-10-15T21:37:19.675Z</dcterms:created>
  <dcterms:modified xsi:type="dcterms:W3CDTF">2026-10-15T21:37:19.681Z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