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FICC 九条逻辑链</w:t>
      </w:r>
    </w:p>
    <w:p>
      <w:pPr>
        <w:pStyle w:val="Subtitle"/>
      </w:pPr>
      <w:r>
        <w:t>FICC Risk Transmission Chains</w:t>
      </w:r>
    </w:p>
    <w:p>
      <w:pPr>
        <w:pStyle w:val="Meta"/>
        <w:keepNext w:val="0"/>
        <w:keepLines/>
      </w:pPr>
      <w:r>
        <w:t>中英对照  Chinese and English     2026年10月1日  1 October 2026</w:t>
      </w:r>
    </w:p>
    <w:p>
      <w:pPr>
        <w:keepNext w:val="0"/>
        <w:keepLines/>
      </w:pPr>
      <w:r>
        <w:t>本文件完整收录九条 FICC 风险传导链，包括最低数据需求和核实条件。采集建议：持续监测第 1、2、5 条，其余按公开事件或资料更新补充。</w:t>
      </w:r>
    </w:p>
    <w:p>
      <w:pPr>
        <w:pStyle w:val="EnglishBody"/>
        <w:keepNext w:val="0"/>
        <w:keepLines/>
      </w:pPr>
      <w:r>
        <w:t>All nine FICC risk chains include minimum data and evidence checks. Collection recommendation: monitor chains 1, 2 and 5 continuously; add the others as public events or updates appear.</w:t>
      </w:r>
    </w:p>
    <w:p>
      <w:pPr>
        <w:keepNext w:val="0"/>
        <w:keepLines/>
      </w:pPr>
      <w:r>
        <w:t>FICC 全名为 Fixed Income Clearing Corporation。GSD 服务国债等合资格政府证券及相关回购清算；MBSD 服务合资格机构 MBS 清算。[1][2]</w:t>
      </w:r>
    </w:p>
    <w:p>
      <w:pPr>
        <w:keepNext w:val="0"/>
        <w:keepLines/>
      </w:pPr>
      <w:r>
        <w:rPr>
          <w:b/>
        </w:rPr>
        <w:t>公开信息</w:t>
      </w:r>
      <w:r>
        <w:t xml:space="preserve"> → 确认变化 → 核实 FICC 关联 → 解释传导 → 评估潜在后果 → 记录未知</w:t>
      </w:r>
    </w:p>
    <w:p>
      <w:pPr>
        <w:pStyle w:val="Small"/>
        <w:keepNext w:val="0"/>
        <w:keepLines/>
      </w:pPr>
      <w:r>
        <w:t>Public information → Confirm change → Verify connection → Explain transmission → Assess consequences → Record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648"/>
        <w:gridCol w:w="4968"/>
        <w:gridCol w:w="1368"/>
        <w:gridCol w:w="3096"/>
      </w:tblGrid>
      <w:tr>
        <w:trPr>
          <w:tblHeader/>
        </w:trPr>
        <w:tc>
          <w:tcPr>
            <w:tcW w:type="dxa" w:w="648"/>
            <w:shd w:fill="243E55"/>
            <w:vAlign w:val="center"/>
          </w:tcPr>
          <w:p>
            <w:pPr>
              <w:pStyle w:val="TableBody"/>
              <w:spacing w:after="0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4968"/>
            <w:shd w:fill="243E55"/>
            <w:vAlign w:val="center"/>
          </w:tcPr>
          <w:p>
            <w:pPr>
              <w:pStyle w:val="TableBody"/>
              <w:spacing w:after="0"/>
            </w:pPr>
            <w:r>
              <w:rPr>
                <w:b/>
                <w:color w:val="FFFFFF"/>
              </w:rPr>
              <w:t>逻辑链</w:t>
            </w:r>
          </w:p>
        </w:tc>
        <w:tc>
          <w:tcPr>
            <w:tcW w:type="dxa" w:w="1368"/>
            <w:shd w:fill="243E55"/>
            <w:vAlign w:val="center"/>
          </w:tcPr>
          <w:p>
            <w:pPr>
              <w:pStyle w:val="TableBody"/>
              <w:spacing w:after="0"/>
            </w:pPr>
            <w:r>
              <w:rPr>
                <w:b/>
                <w:color w:val="FFFFFF"/>
              </w:rPr>
              <w:t>业务</w:t>
            </w:r>
          </w:p>
        </w:tc>
        <w:tc>
          <w:tcPr>
            <w:tcW w:type="dxa" w:w="3096"/>
            <w:shd w:fill="243E55"/>
            <w:vAlign w:val="center"/>
          </w:tcPr>
          <w:p>
            <w:pPr>
              <w:pStyle w:val="TableBody"/>
              <w:spacing w:after="0"/>
            </w:pPr>
            <w:r>
              <w:rPr>
                <w:b/>
                <w:color w:val="FFFFFF"/>
              </w:rPr>
              <w:t>采集安排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1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国债市场波动</w:t>
              <w:br/>
              <w:t>Treasury market volatility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GSD</w:t>
            </w:r>
          </w:p>
        </w:tc>
        <w:tc>
          <w:tcPr>
            <w:tcW w:type="dxa" w:w="309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优先持续监测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2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回购市场资金压力</w:t>
              <w:br/>
              <w:t>Repo funding pressure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GSD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优先持续监测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3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金融机构财务恶化</w:t>
              <w:br/>
              <w:t>Financial institution deterioration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GSD 或 MBSD</w:t>
            </w:r>
          </w:p>
        </w:tc>
        <w:tc>
          <w:tcPr>
            <w:tcW w:type="dxa" w:w="309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出现相关事件时核实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4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机构 MBS 市场变化</w:t>
              <w:br/>
              <w:t>Agency MBS market changes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MBSD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分阶段补充市场资料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5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监管与清算规则变化</w:t>
              <w:br/>
              <w:t>Regulatory and clearing rule changes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GSD</w:t>
            </w:r>
          </w:p>
        </w:tc>
        <w:tc>
          <w:tcPr>
            <w:tcW w:type="dxa" w:w="309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优先持续监测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6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清算业务量与参与者增长</w:t>
              <w:br/>
              <w:t>Growth in cleared activity and participation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GSD 或 MBSD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按公开更新补充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7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关键系统或服务中断</w:t>
              <w:br/>
              <w:t>Critical system or service disruption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GSD 或 MBSD</w:t>
            </w:r>
          </w:p>
        </w:tc>
        <w:tc>
          <w:tcPr>
            <w:tcW w:type="dxa" w:w="309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出现公开事件时核实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8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MBS 数据错误或通知延迟</w:t>
              <w:br/>
              <w:t>MBS data errors or notification delays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pStyle w:val="TableBody"/>
              <w:spacing w:after="0" w:line="280" w:lineRule="exact"/>
              <w:jc w:val="center"/>
            </w:pPr>
            <w:r>
              <w:t>MBSD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出现具体通知时核实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9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竞争者推出清算服务</w:t>
              <w:br/>
              <w:t>Competing clearing services</w:t>
            </w:r>
          </w:p>
        </w:tc>
        <w:tc>
          <w:tcPr>
            <w:tcW w:type="dxa" w:w="1368"/>
            <w:vAlign w:val="center"/>
            <w:shd w:fill="F2F5F8"/>
          </w:tcPr>
          <w:p>
            <w:pPr>
              <w:pStyle w:val="TableBody"/>
              <w:spacing w:after="0" w:line="280" w:lineRule="exact"/>
              <w:jc w:val="center"/>
            </w:pPr>
            <w:r>
              <w:t>GSD</w:t>
            </w:r>
          </w:p>
        </w:tc>
        <w:tc>
          <w:tcPr>
            <w:tcW w:type="dxa" w:w="309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按公开更新补充</w:t>
            </w:r>
          </w:p>
        </w:tc>
      </w:tr>
    </w:tbl>
    <w:p>
      <w:pPr>
        <w:pStyle w:val="Heading1"/>
        <w:pageBreakBefore/>
      </w:pPr>
      <w:r>
        <w:t>1 国债市场波动</w:t>
      </w:r>
    </w:p>
    <w:p>
      <w:pPr>
        <w:pStyle w:val="Heading2"/>
        <w:keepNext/>
      </w:pPr>
      <w:r>
        <w:t>Treasury market volatility</w:t>
      </w:r>
    </w:p>
    <w:p>
      <w:pPr>
        <w:pStyle w:val="Meta"/>
        <w:keepNext w:val="0"/>
        <w:keepLines/>
      </w:pPr>
      <w:r>
        <w:t>业务范围 Scope  GSD    采集安排  优先持续监测</w:t>
      </w:r>
    </w:p>
    <w:p>
      <w:pPr>
        <w:keepNext w:val="0"/>
        <w:keepLines/>
      </w:pPr>
      <w:r>
        <w:t>政策或经济消息 → 如果国债价格波动加大 → 相关清算头寸的潜在违约平仓损失可能增加 → GSD 需要评估保证金与财务保障需求 → 保障不足时可能增加清算损失风险。</w:t>
      </w:r>
    </w:p>
    <w:p>
      <w:pPr>
        <w:pStyle w:val="EnglishBody"/>
        <w:keepNext w:val="0"/>
        <w:keepLines/>
      </w:pPr>
      <w:r>
        <w:t>Policy or economic news → If Treasury price volatility rises → Potential default close-out losses on relevant cleared positions may increase → GSD needs to assess margin and financial safeguards → Inadequate safeguards could increase clearing losses.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日期、2 年及 10 年国债收益率、每日及近一周变化；补充相关政策公告。[3][6]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Dates, 2-year and 10-year Treasury yields, daily and weekly changes, and relevant policy releases. [3][6]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收益率变化是市场信号。实际头寸、保证金变化和损失金额，需要额外证据；缺失时保留未知。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Yield changes are market signals. Actual positions, margin changes and losses require additional evidence and remain unknown when unavailable.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清算与结算金融风险中的保证金与抵押品充足性</w:t>
      </w:r>
    </w:p>
    <w:p>
      <w:pPr>
        <w:pStyle w:val="Small"/>
        <w:keepNext w:val="0"/>
        <w:keepLines/>
      </w:pPr>
      <w:r>
        <w:t>Clearing and Settlement Financial Risks: margin and collateral adequacy</w:t>
      </w:r>
    </w:p>
    <w:p>
      <w:pPr>
        <w:pStyle w:val="Heading1"/>
        <w:pageBreakBefore w:val="0"/>
      </w:pPr>
      <w:r>
        <w:t>2 回购市场资金压力</w:t>
      </w:r>
    </w:p>
    <w:p>
      <w:pPr>
        <w:pStyle w:val="Heading2"/>
        <w:keepNext/>
      </w:pPr>
      <w:r>
        <w:t>Repo funding pressure</w:t>
      </w:r>
    </w:p>
    <w:p>
      <w:pPr>
        <w:pStyle w:val="Meta"/>
        <w:keepNext w:val="0"/>
        <w:keepLines/>
      </w:pPr>
      <w:r>
        <w:t>业务范围 Scope  GSD    采集安排  优先持续监测</w:t>
      </w:r>
    </w:p>
    <w:p>
      <w:pPr>
        <w:keepNext w:val="0"/>
        <w:keepLines/>
      </w:pPr>
      <w:r>
        <w:t>公开数据与报告支持回购融资变紧 → 相关会员的短期资金压力可能增加 → 支付保证金或结算款可能更困难 → 若发生会员违约，FICC 的应急结算资金需求可能增加。</w:t>
      </w:r>
    </w:p>
    <w:p>
      <w:pPr>
        <w:pStyle w:val="EnglishBody"/>
        <w:keepNext w:val="0"/>
        <w:keepLines/>
      </w:pPr>
      <w:r>
        <w:t>Public data and reports support tighter repo funding → Relevant members may face greater short-term funding pressure → Margin or settlement payments may become harder → A member default could increase FICC contingency settlement funding needs.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日期、SOFR、有效联邦基金利率 EFFR、两者差距与历史变化；补充融资市场报告。[4][6][7]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Dates, SOFR, EFFR, their spread and historical changes, plus funding-market reports. [4][6][7]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SOFR 上升本身不能确认融资危机。结合政策利率、月末等因素及其他资金紧张证据核实。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A SOFR increase alone does not establish distress. Check policy rates, calendar effects and other evidence of funding pressure.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清算与结算金融风险中的流动性</w:t>
      </w:r>
    </w:p>
    <w:p>
      <w:pPr>
        <w:pStyle w:val="Small"/>
        <w:keepNext w:val="0"/>
        <w:keepLines/>
      </w:pPr>
      <w:r>
        <w:t>Clearing and Settlement Financial Risks: liquidity</w:t>
      </w:r>
    </w:p>
    <w:p>
      <w:pPr>
        <w:pStyle w:val="Heading1"/>
        <w:pageBreakBefore/>
      </w:pPr>
      <w:r>
        <w:t>3 金融机构财务恶化</w:t>
      </w:r>
    </w:p>
    <w:p>
      <w:pPr>
        <w:pStyle w:val="Heading2"/>
        <w:keepNext/>
      </w:pPr>
      <w:r>
        <w:t>Financial institution deterioration</w:t>
      </w:r>
    </w:p>
    <w:p>
      <w:pPr>
        <w:pStyle w:val="Meta"/>
        <w:keepNext w:val="0"/>
        <w:keepLines/>
      </w:pPr>
      <w:r>
        <w:t>业务范围 Scope  GSD 或 MBSD    采集安排  出现相关事件时核实</w:t>
      </w:r>
    </w:p>
    <w:p>
      <w:pPr>
        <w:keepNext w:val="0"/>
        <w:keepLines/>
      </w:pPr>
      <w:r>
        <w:t>机构披露重大亏损、融资困难或违约 → 先确认其与 FICC 的清算关系 → 若付款或交券能力下降 → 可能无法履行清算义务 → FICC 可能需要启动违约处理并使用财务及流动性资源。</w:t>
      </w:r>
    </w:p>
    <w:p>
      <w:pPr>
        <w:pStyle w:val="EnglishBody"/>
        <w:keepNext w:val="0"/>
        <w:keepLines/>
      </w:pPr>
      <w:r>
        <w:t>An institution reports major losses, funding difficulties or default → Confirm its FICC clearing relationship → If payment or securities-delivery capacity declines → Clearing obligations may go unmet → FICC may need default procedures and financial or liquidity resources.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机构公告、公开财报、监管文件，以及公开的会员或清算关系资料。[4]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Company releases, public financial statements, regulatory filings and publicly documented membership or clearing relationships. [4]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匹配具体法律实体与清算身份。机构新闻不能直接证明 FICC 敞口；金额及未结头寸未知时不估算。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Match the legal entity and clearing role. Company news does not establish FICC exposure; do not estimate undisclosed unsettled positions or amounts.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清算与结算金融风险中的信用和流动性</w:t>
      </w:r>
    </w:p>
    <w:p>
      <w:pPr>
        <w:pStyle w:val="Small"/>
        <w:keepNext w:val="0"/>
        <w:keepLines/>
      </w:pPr>
      <w:r>
        <w:t>Clearing and Settlement Financial Risks: credit and liquidity</w:t>
      </w:r>
    </w:p>
    <w:p>
      <w:pPr>
        <w:pStyle w:val="Heading1"/>
        <w:pageBreakBefore w:val="0"/>
      </w:pPr>
      <w:r>
        <w:t>4 机构 MBS 市场变化</w:t>
      </w:r>
    </w:p>
    <w:p>
      <w:pPr>
        <w:pStyle w:val="Heading2"/>
        <w:keepNext/>
      </w:pPr>
      <w:r>
        <w:t>Agency MBS market changes</w:t>
      </w:r>
    </w:p>
    <w:p>
      <w:pPr>
        <w:pStyle w:val="Meta"/>
        <w:keepNext w:val="0"/>
        <w:keepLines/>
      </w:pPr>
      <w:r>
        <w:t>业务范围 Scope  MBSD    采集安排  分阶段补充市场资料</w:t>
      </w:r>
    </w:p>
    <w:p>
      <w:pPr>
        <w:keepNext w:val="0"/>
        <w:keepLines/>
      </w:pPr>
      <w:r>
        <w:t>机构 MBS 价格、利差或提前还款情况变化 → 证券价值及利率敏感度可能变化 → 相关清算头寸的风险特征改变 → MBSD 可能需要调整抵押品要求 → 调整不充分时可能增加违约平仓损失。</w:t>
      </w:r>
    </w:p>
    <w:p>
      <w:pPr>
        <w:pStyle w:val="EnglishBody"/>
        <w:keepNext w:val="0"/>
        <w:keepLines/>
      </w:pPr>
      <w:r>
        <w:t>Agency MBS prices, spreads or prepayment patterns change → Values and interest-rate sensitivity may change → Relevant cleared portfolios acquire a different risk profile → MBSD may need collateral adjustments → Inadequate adjustments could increase default close-out losses.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发行机构公告、公开机构 MBS 市场报告和提前还款资料；记录产品及日期。[2]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Issuer notices, public agency MBS market reports and prepayment information, with product identifiers and dates. [2]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确认证券属于 MBSD 的合资格机构 MBS 范围。房价或普通房贷新闻只作为间接线索。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Confirm eligible agency MBS scope. General housing-price or mortgage news provides only an indirect lead.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清算与结算金融风险</w:t>
      </w:r>
    </w:p>
    <w:p>
      <w:pPr>
        <w:pStyle w:val="Small"/>
        <w:keepNext w:val="0"/>
        <w:keepLines/>
      </w:pPr>
      <w:r>
        <w:t>Clearing and Settlement Financial Risks</w:t>
      </w:r>
    </w:p>
    <w:p>
      <w:pPr>
        <w:pStyle w:val="Heading1"/>
        <w:pageBreakBefore/>
      </w:pPr>
      <w:r>
        <w:t>5 监管与清算规则变化</w:t>
      </w:r>
    </w:p>
    <w:p>
      <w:pPr>
        <w:pStyle w:val="Heading2"/>
        <w:keepNext/>
      </w:pPr>
      <w:r>
        <w:t>Regulatory and clearing rule changes</w:t>
      </w:r>
    </w:p>
    <w:p>
      <w:pPr>
        <w:pStyle w:val="Meta"/>
        <w:keepNext w:val="0"/>
        <w:keepLines/>
      </w:pPr>
      <w:r>
        <w:t>业务范围 Scope  主要为 GSD    采集安排  优先持续监测</w:t>
      </w:r>
    </w:p>
    <w:p>
      <w:pPr>
        <w:keepNext w:val="0"/>
        <w:keepLines/>
      </w:pPr>
      <w:r>
        <w:t>SEC 或 FICC 发布相关规则变化 → 确认适用交易、参与者及日期 → 清算范围或处理要求可能改变 → GSD 可能需要调整会员接入、系统和运营 → 准备不足时可能产生实施或合规问题，也可能带来增长机会。</w:t>
      </w:r>
    </w:p>
    <w:p>
      <w:pPr>
        <w:pStyle w:val="EnglishBody"/>
        <w:keepNext w:val="0"/>
        <w:keepLines/>
      </w:pPr>
      <w:r>
        <w:t>The SEC or FICC publishes a relevant rule change → Identify covered transactions, participants and dates → Clearing scope or processing requirements may change → GSD may need onboarding, system and operational changes → Inadequate readiness may create implementation or compliance problems; expansion may offer growth.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公告正文、规则状态、适用范围、豁免条件、合规日期及后续修订。[5]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Announcement text, rule status, scope, exemptions, compliance dates and subsequent amendments. [5]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区分提案、获批与生效要求。使用最新官方日期；讨论性文件不能当成强制义务。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Distinguish proposals, approvals and effective obligations. Use current official dates; discussion papers do not establish mandatory requirements.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法律与监管合规 以及 处理与运营</w:t>
      </w:r>
    </w:p>
    <w:p>
      <w:pPr>
        <w:pStyle w:val="Small"/>
        <w:keepNext w:val="0"/>
        <w:keepLines/>
      </w:pPr>
      <w:r>
        <w:t>Legal and Regulatory Compliance; Processing and Operations</w:t>
      </w:r>
    </w:p>
    <w:p>
      <w:pPr>
        <w:pStyle w:val="Heading1"/>
        <w:pageBreakBefore w:val="0"/>
      </w:pPr>
      <w:r>
        <w:t>6 清算业务量与参与者增长</w:t>
      </w:r>
    </w:p>
    <w:p>
      <w:pPr>
        <w:pStyle w:val="Heading2"/>
        <w:keepNext/>
      </w:pPr>
      <w:r>
        <w:t>Growth in cleared activity and participation</w:t>
      </w:r>
    </w:p>
    <w:p>
      <w:pPr>
        <w:pStyle w:val="Meta"/>
        <w:keepNext w:val="0"/>
        <w:keepLines/>
      </w:pPr>
      <w:r>
        <w:t>业务范围 Scope  GSD 或 MBSD    采集安排  按公开更新补充</w:t>
      </w:r>
    </w:p>
    <w:p>
      <w:pPr>
        <w:keepNext w:val="0"/>
        <w:keepLines/>
      </w:pPr>
      <w:r>
        <w:t>公开资料显示清算交易量或参与者增加 → 交易核对、风险计算和支持需求可能增加 → FICC 系统及运营负荷可能上升 → 若容量或人员安排不足，可能出现处理延迟及操作错误。</w:t>
      </w:r>
    </w:p>
    <w:p>
      <w:pPr>
        <w:pStyle w:val="EnglishBody"/>
        <w:keepNext w:val="0"/>
        <w:keepLines/>
      </w:pPr>
      <w:r>
        <w:t>Published cleared activity or participation grows → Trade comparison, risk calculations and support needs may increase → FICC systems and operations may face greater workloads → Inadequate capacity or staffing could cause delays or operational errors.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公开业务量、参与者数量、服务变化和已披露的延迟信息；记录指标口径与期间。[1][2]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Published volumes, participation, service changes and disclosed delays, with metric definitions and reporting periods. [1][2]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区分总交易量和净结算义务。增长本身不证明容量不足；需要相关服务表现或事故证据。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Distinguish gross activity from net settlement obligations. Growth does not establish insufficient capacity without supporting service-performance or incident evidence.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信息技术 以及 处理与运营</w:t>
      </w:r>
    </w:p>
    <w:p>
      <w:pPr>
        <w:pStyle w:val="Small"/>
        <w:keepNext w:val="0"/>
        <w:keepLines/>
      </w:pPr>
      <w:r>
        <w:t>Information Technology; Processing and Operations</w:t>
      </w:r>
    </w:p>
    <w:p>
      <w:pPr>
        <w:pStyle w:val="Heading1"/>
        <w:pageBreakBefore/>
      </w:pPr>
      <w:r>
        <w:t>7 关键系统或服务中断</w:t>
      </w:r>
    </w:p>
    <w:p>
      <w:pPr>
        <w:pStyle w:val="Heading2"/>
        <w:keepNext/>
      </w:pPr>
      <w:r>
        <w:t>Critical system or service disruption</w:t>
      </w:r>
    </w:p>
    <w:p>
      <w:pPr>
        <w:pStyle w:val="Meta"/>
        <w:keepNext w:val="0"/>
        <w:keepLines/>
      </w:pPr>
      <w:r>
        <w:t>业务范围 Scope  GSD 或 MBSD    采集安排  出现公开事件时核实</w:t>
      </w:r>
    </w:p>
    <w:p>
      <w:pPr>
        <w:keepNext w:val="0"/>
        <w:keepLines/>
      </w:pPr>
      <w:r>
        <w:t>公开公告披露技术故障、网络攻击或服务商中断 → 确认受影响服务与 FICC 的实际联系 → 若交易提交、风险计算或资金证券转移受阻 → 清算与结算可能延迟 → 持续中断可能影响关键业务恢复。</w:t>
      </w:r>
    </w:p>
    <w:p>
      <w:pPr>
        <w:pStyle w:val="EnglishBody"/>
        <w:keepNext w:val="0"/>
        <w:keepLines/>
      </w:pPr>
      <w:r>
        <w:t>A public notice reports a technology failure, cyberattack or provider outage → Confirm the service connection to FICC → If trade submission, risk calculations or cash and securities transfers are disrupted → Clearing and settlement may be delayed → Prolonged disruption may impair recovery of critical operations.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官方事故公告、受影响服务、原因、起止时间、恢复进展，以及公开的依赖关系。分类依据项目风险分类表。[8]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Official incident notices, affected services, causes, start and recovery times, and public dependency evidence. Classify using the project taxonomy. [8]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行业漏洞公告只是筛选线索。先确认技术适用性和依赖，再判断影响；恢复时间未知时保留未知。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An industry vulnerability notice is a screening lead. Verify technology applicability and dependency before assessing impact; preserve unknown recovery times.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按原因选择信息技术 网络安全与信息保护 或第三方风险 关键业务恢复受阻时增加业务连续性</w:t>
      </w:r>
    </w:p>
    <w:p>
      <w:pPr>
        <w:pStyle w:val="Small"/>
        <w:keepNext w:val="0"/>
        <w:keepLines/>
      </w:pPr>
      <w:r>
        <w:t>Information Technology, Cybersecurity and Information Protection, or Third Party Risk by cause; add Business Continuity when critical recovery is impaired</w:t>
      </w:r>
    </w:p>
    <w:p>
      <w:pPr>
        <w:pStyle w:val="Heading1"/>
        <w:pageBreakBefore w:val="0"/>
      </w:pPr>
      <w:r>
        <w:t>8 MBS 数据错误或通知延迟</w:t>
      </w:r>
    </w:p>
    <w:p>
      <w:pPr>
        <w:pStyle w:val="Heading2"/>
        <w:keepNext/>
      </w:pPr>
      <w:r>
        <w:t>MBS data errors or notification delays</w:t>
      </w:r>
    </w:p>
    <w:p>
      <w:pPr>
        <w:pStyle w:val="Meta"/>
        <w:keepNext w:val="0"/>
        <w:keepLines/>
      </w:pPr>
      <w:r>
        <w:t>业务范围 Scope  MBSD    采集安排  出现具体通知时核实</w:t>
      </w:r>
    </w:p>
    <w:p>
      <w:pPr>
        <w:keepNext w:val="0"/>
        <w:keepLines/>
      </w:pPr>
      <w:r>
        <w:t>公开通知披露贷款池数据错误、更正或通知延迟 → 若信息用于 MBSD 的分配与交割 → 可能出现记录不一致或交付证券无法及时确认 → 需要额外核对修正 → 可能增加交割延迟或失败风险。</w:t>
      </w:r>
    </w:p>
    <w:p>
      <w:pPr>
        <w:pStyle w:val="EnglishBody"/>
        <w:keepNext w:val="0"/>
        <w:keepLines/>
      </w:pPr>
      <w:r>
        <w:t>A public notice identifies pool-data errors, corrections or notification delays → If the information supports MBSD allocation and settlement → Records may disagree or deliverable securities may not be confirmed in time → Additional reconciliation is needed → Settlement delays or fails may increase.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受影响的证券或贷款池、错误字段、交割日期、更正与恢复通知。[2]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Affected securities or pools, incorrect fields, settlement dates, and correction or recovery notices. [2]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确认产品、处理环节及日期与 MBSD 有关。发行机构更正数据，不代表 MBSD 已发生交割失败。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Confirm the product, process and date connection to MBSD. An issuer correction does not establish a settlement failure at MBSD.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数据管理 以及 处理与运营</w:t>
      </w:r>
    </w:p>
    <w:p>
      <w:pPr>
        <w:pStyle w:val="Small"/>
        <w:keepNext w:val="0"/>
        <w:keepLines/>
      </w:pPr>
      <w:r>
        <w:t>Data Management; Processing and Operations</w:t>
      </w:r>
    </w:p>
    <w:p>
      <w:pPr>
        <w:pStyle w:val="Heading1"/>
        <w:pageBreakBefore/>
      </w:pPr>
      <w:r>
        <w:t>9 竞争者推出清算服务</w:t>
      </w:r>
    </w:p>
    <w:p>
      <w:pPr>
        <w:pStyle w:val="Heading2"/>
        <w:keepNext/>
      </w:pPr>
      <w:r>
        <w:t>Competing clearing services</w:t>
      </w:r>
    </w:p>
    <w:p>
      <w:pPr>
        <w:pStyle w:val="Meta"/>
        <w:keepNext w:val="0"/>
        <w:keepLines/>
      </w:pPr>
      <w:r>
        <w:t>业务范围 Scope  主要为 GSD    采集安排  按公开更新补充</w:t>
      </w:r>
    </w:p>
    <w:p>
      <w:pPr>
        <w:keepNext w:val="0"/>
        <w:keepLines/>
      </w:pPr>
      <w:r>
        <w:t>竞争者获得相关批准或推出国债清算服务 → 市场参与者拥有更多选择 → 若价格、接入或产品优势吸引客户 → 新增或现有交易可能选择其他平台 → FICC 的业务结构、市场份额或增长预期可能变化。</w:t>
      </w:r>
    </w:p>
    <w:p>
      <w:pPr>
        <w:pStyle w:val="EnglishBody"/>
        <w:keepNext w:val="0"/>
        <w:keepLines/>
      </w:pPr>
      <w:r>
        <w:t>A competitor receives relevant approval or launches Treasury clearing → Participants gain more choices → If pricing, access or product features attract customers → New or existing activity may choose another platform → FICC business mix, market share or growth expectations may change.</w:t>
      </w:r>
    </w:p>
    <w:p>
      <w:pPr>
        <w:keepNext w:val="0"/>
        <w:keepLines/>
      </w:pPr>
      <w:r>
        <w:rPr>
          <w:b/>
        </w:rPr>
        <w:t>最低数据</w:t>
      </w:r>
      <w:r>
        <w:t xml:space="preserve">  监管批准、实际启动日期、产品范围、公开收费，以及客户采用或业务量资料。[5]</w:t>
      </w:r>
    </w:p>
    <w:p>
      <w:pPr>
        <w:pStyle w:val="EnglishBody"/>
        <w:keepNext w:val="0"/>
        <w:keepLines/>
      </w:pPr>
      <w:r>
        <w:rPr>
          <w:b/>
        </w:rPr>
        <w:t>Minimum data</w:t>
      </w:r>
      <w:r>
        <w:t xml:space="preserve">  Regulatory approval, actual launch dates, product scope, public fees, adoption and volume information. [5]</w:t>
      </w:r>
    </w:p>
    <w:p>
      <w:pPr>
        <w:keepNext w:val="0"/>
        <w:keepLines/>
      </w:pPr>
      <w:r>
        <w:rPr>
          <w:b/>
        </w:rPr>
        <w:t>核实条件</w:t>
      </w:r>
      <w:r>
        <w:t xml:space="preserve">  区分申请、批准、上线与实际采用。竞争者进入市场不证明 FICC 客户迁移，也不保证其增长下降。</w:t>
      </w:r>
    </w:p>
    <w:p>
      <w:pPr>
        <w:pStyle w:val="EnglishBody"/>
        <w:keepNext w:val="0"/>
        <w:keepLines/>
      </w:pPr>
      <w:r>
        <w:rPr>
          <w:b/>
        </w:rPr>
        <w:t>Evidence checks</w:t>
      </w:r>
      <w:r>
        <w:t xml:space="preserve">  Distinguish application, approval, launch and adoption. Market entry does not establish migration from FICC or declining growth.</w:t>
      </w:r>
    </w:p>
    <w:p>
      <w:pPr>
        <w:pStyle w:val="Small"/>
        <w:keepNext/>
        <w:keepLines/>
      </w:pPr>
      <w:r>
        <w:rPr>
          <w:b/>
        </w:rPr>
        <w:t>风险类别</w:t>
      </w:r>
      <w:r>
        <w:t xml:space="preserve">  战略</w:t>
      </w:r>
    </w:p>
    <w:p>
      <w:pPr>
        <w:pStyle w:val="Small"/>
        <w:keepNext w:val="0"/>
        <w:keepLines/>
      </w:pPr>
      <w:r>
        <w:t>Strategic</w:t>
      </w:r>
    </w:p>
    <w:p>
      <w:pPr>
        <w:pStyle w:val="Heading1"/>
        <w:pageBreakBefore w:val="0"/>
      </w:pPr>
      <w:r>
        <w:t>分析边界</w:t>
      </w:r>
    </w:p>
    <w:p>
      <w:pPr>
        <w:pStyle w:val="Heading2"/>
        <w:keepNext/>
      </w:pPr>
      <w:r>
        <w:t>Assessment boundaries</w:t>
      </w:r>
    </w:p>
    <w:p>
      <w:pPr>
        <w:keepNext w:val="0"/>
        <w:keepLines/>
      </w:pPr>
      <w:r>
        <w:t>这些箭头表示条件性的传导假设。将原文事实、分析判断和待确认问题分别记录。没有公开证据的会员敞口、系统容量、实际保证金及损失金额，保留未知。</w:t>
      </w:r>
    </w:p>
    <w:p>
      <w:pPr>
        <w:pStyle w:val="EnglishBody"/>
        <w:keepNext w:val="0"/>
        <w:keepLines/>
      </w:pPr>
      <w:r>
        <w:t>The arrows represent conditional transmission hypotheses. Record source facts, interpretation and unknowns separately. Keep undisclosed member exposures, capacity, actual margin and losses unknown.</w:t>
      </w:r>
    </w:p>
    <w:p>
      <w:pPr>
        <w:keepNext w:val="0"/>
        <w:keepLines/>
      </w:pPr>
      <w:r>
        <w:t>证据充分程度与潜在严重程度分别判断。缺少证据时可记录“潜在关联 待确认”，严重程度保留“暂未评估”。正面机会和负面风险分别记录。</w:t>
      </w:r>
    </w:p>
    <w:p>
      <w:pPr>
        <w:pStyle w:val="EnglishBody"/>
        <w:keepNext w:val="0"/>
        <w:keepLines/>
      </w:pPr>
      <w:r>
        <w:t>Assess evidence support separately from potential severity. Use “Potential connection — needs review” when evidence is incomplete and leave severity unassessed. Record opportunities separately from adverse risks.</w:t>
      </w:r>
    </w:p>
    <w:p>
      <w:pPr>
        <w:keepNext w:val="0"/>
        <w:keepLines/>
      </w:pPr>
      <w:r>
        <w:t>风险名称采用项目提供的分类表。信用、流动性、保证金与抵押品充足性属于“清算与结算金融风险”的子维度。[8]</w:t>
      </w:r>
    </w:p>
    <w:p>
      <w:pPr>
        <w:pStyle w:val="EnglishBody"/>
        <w:keepNext w:val="0"/>
        <w:keepLines/>
      </w:pPr>
      <w:r>
        <w:t>Use the project taxonomy. Credit, liquidity, and margin and collateral adequacy are dimensions within Clearing and Settlement Financial Risks. [8]</w:t>
      </w:r>
    </w:p>
    <w:p>
      <w:pPr>
        <w:pStyle w:val="Heading1"/>
        <w:pageBreakBefore/>
      </w:pPr>
      <w:r>
        <w:t>每个事件需要保存的字段</w:t>
      </w:r>
    </w:p>
    <w:p>
      <w:pPr>
        <w:pStyle w:val="Heading2"/>
        <w:keepNext/>
      </w:pPr>
      <w:r>
        <w:t>Fields to retain for each 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376"/>
        <w:gridCol w:w="7704"/>
      </w:tblGrid>
      <w:tr>
        <w:trPr>
          <w:tblHeader/>
        </w:trPr>
        <w:tc>
          <w:tcPr>
            <w:tcW w:type="dxa" w:w="2376"/>
            <w:shd w:fill="243E55"/>
            <w:vAlign w:val="center"/>
          </w:tcPr>
          <w:p>
            <w:pPr>
              <w:pStyle w:val="TableBody"/>
              <w:spacing w:after="0"/>
            </w:pPr>
            <w:r>
              <w:rPr>
                <w:b/>
                <w:color w:val="FFFFFF"/>
              </w:rPr>
              <w:t>字段 Field</w:t>
            </w:r>
          </w:p>
        </w:tc>
        <w:tc>
          <w:tcPr>
            <w:tcW w:type="dxa" w:w="7704"/>
            <w:shd w:fill="243E55"/>
            <w:vAlign w:val="center"/>
          </w:tcPr>
          <w:p>
            <w:pPr>
              <w:pStyle w:val="TableBody"/>
              <w:spacing w:after="0"/>
            </w:pPr>
            <w:r>
              <w:rPr>
                <w:b/>
                <w:color w:val="FFFFFF"/>
              </w:rPr>
              <w:t>内容 Content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已确认事实</w:t>
              <w:br/>
              <w:t>Confirmed facts</w:t>
            </w:r>
          </w:p>
        </w:tc>
        <w:tc>
          <w:tcPr>
            <w:tcW w:type="dxa" w:w="7704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原文明确说明的事实，并关联出处。</w:t>
              <w:br/>
              <w:t>Facts explicitly established by the source, with attribution.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业务关联</w:t>
              <w:br/>
              <w:t>Business connection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GSD 或 MBSD，以及有关机构、产品或服务。</w:t>
              <w:br/>
              <w:t>Division and relevant entity, product or service.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传导机制</w:t>
              <w:br/>
              <w:t>Transmission mechanism</w:t>
            </w:r>
          </w:p>
        </w:tc>
        <w:tc>
          <w:tcPr>
            <w:tcW w:type="dxa" w:w="7704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事件如何影响具体流程及潜在结果。</w:t>
              <w:br/>
              <w:t>How the event could affect a process and its outcome.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风险与影响方向</w:t>
              <w:br/>
              <w:t>Risk and impact direction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风险类别，以及负面、正面或混合影响。</w:t>
              <w:br/>
              <w:t>Risk family and adverse, positive or mixed implications.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时间</w:t>
              <w:br/>
              <w:t>Dates</w:t>
            </w:r>
          </w:p>
        </w:tc>
        <w:tc>
          <w:tcPr>
            <w:tcW w:type="dxa" w:w="7704"/>
            <w:vAlign w:val="center"/>
            <w:shd w:fill="F2F5F8"/>
          </w:tcPr>
          <w:p>
            <w:pPr>
              <w:pStyle w:val="TableBody"/>
              <w:spacing w:after="0" w:line="280" w:lineRule="exact"/>
              <w:jc w:val="left"/>
            </w:pPr>
            <w:r>
              <w:t>分别记录发布、事件、生效及采集时间；未知日期留空。</w:t>
              <w:br/>
              <w:t>Separate publication, event, effective and collection dates; unknown dates stay empty.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证据与未知</w:t>
              <w:br/>
              <w:t>Evidence and unknowns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pStyle w:val="TableBody"/>
              <w:spacing w:after="0" w:line="280" w:lineRule="exact"/>
              <w:jc w:val="left"/>
            </w:pPr>
            <w:r>
              <w:t>来源链接、相关证据、缺失环节、审核状态及严重程度。</w:t>
              <w:br/>
              <w:t>Source links, supporting evidence, missing connections, review status and severity.</w:t>
            </w:r>
          </w:p>
        </w:tc>
      </w:tr>
    </w:tbl>
    <w:p>
      <w:pPr>
        <w:keepNext w:val="0"/>
        <w:keepLines/>
        <w:spacing w:before="120"/>
      </w:pPr>
      <w:r>
        <w:t>数据处理保留三个层次：原始文章、合并后的事件、事件与业务的分析。同一事件的多篇报道不重复计为多个风险。</w:t>
      </w:r>
    </w:p>
    <w:p>
      <w:pPr>
        <w:pStyle w:val="EnglishBody"/>
        <w:keepNext w:val="0"/>
        <w:keepLines/>
      </w:pPr>
      <w:r>
        <w:t>Keep articles, consolidated events and event-by-business assessments separate. Multiple reports of one event should not count as multiple risks.</w:t>
      </w:r>
    </w:p>
    <w:p>
      <w:pPr>
        <w:pStyle w:val="Heading1"/>
        <w:pageBreakBefore/>
      </w:pPr>
      <w:r>
        <w:t>公开来源与项目定义</w:t>
      </w:r>
    </w:p>
    <w:p>
      <w:pPr>
        <w:pStyle w:val="Heading2"/>
        <w:keepNext/>
      </w:pPr>
      <w:r>
        <w:t>Public sources and project definitions</w:t>
      </w:r>
    </w:p>
    <w:p>
      <w:pPr>
        <w:pStyle w:val="Small"/>
        <w:keepLines/>
        <w:spacing w:after="80"/>
      </w:pPr>
      <w:r>
        <w:t xml:space="preserve">[1] </w:t>
      </w:r>
      <w:hyperlink r:id="rId9">
        <w:r>
          <w:rPr>
            <w:rFonts w:ascii="Arial" w:hAnsi="Arial"/>
            <w:color w:val="24567A"/>
            <w:sz w:val="20"/>
          </w:rPr>
          <w:t>DTCC Government Securities Division</w:t>
        </w:r>
      </w:hyperlink>
      <w:r>
        <w:br/>
        <w:t>GSD 业务范围、净额处理与接入方式。 GSD scope, netting and access.</w:t>
      </w:r>
    </w:p>
    <w:p>
      <w:pPr>
        <w:pStyle w:val="Small"/>
        <w:keepLines/>
        <w:spacing w:after="80"/>
      </w:pPr>
      <w:r>
        <w:t xml:space="preserve">[2] </w:t>
      </w:r>
      <w:hyperlink r:id="rId10">
        <w:r>
          <w:rPr>
            <w:rFonts w:ascii="Arial" w:hAnsi="Arial"/>
            <w:color w:val="24567A"/>
            <w:sz w:val="20"/>
          </w:rPr>
          <w:t>DTCC Mortgage Backed Securities Division</w:t>
        </w:r>
      </w:hyperlink>
      <w:r>
        <w:br/>
        <w:t>MBSD 范围、抵押品与贷款池通知。 MBSD scope, collateral and pool notification.</w:t>
      </w:r>
    </w:p>
    <w:p>
      <w:pPr>
        <w:pStyle w:val="Small"/>
        <w:keepLines/>
        <w:spacing w:after="80"/>
      </w:pPr>
      <w:r>
        <w:t xml:space="preserve">[3] </w:t>
      </w:r>
      <w:hyperlink r:id="rId11">
        <w:r>
          <w:rPr>
            <w:rFonts w:ascii="Arial" w:hAnsi="Arial"/>
            <w:color w:val="24567A"/>
            <w:sz w:val="20"/>
          </w:rPr>
          <w:t>DTCC FICC Risk Management</w:t>
        </w:r>
      </w:hyperlink>
      <w:r>
        <w:br/>
        <w:t>保证金、风险监控及压力测试。 Margin, monitoring and stress testing.</w:t>
      </w:r>
    </w:p>
    <w:p>
      <w:pPr>
        <w:pStyle w:val="Small"/>
        <w:keepLines/>
        <w:spacing w:after="80"/>
      </w:pPr>
      <w:r>
        <w:t xml:space="preserve">[4] </w:t>
      </w:r>
      <w:hyperlink r:id="rId12">
        <w:r>
          <w:rPr>
            <w:rFonts w:ascii="Arial" w:hAnsi="Arial"/>
            <w:color w:val="24567A"/>
            <w:sz w:val="20"/>
          </w:rPr>
          <w:t>DTCC Financial Risk Management</w:t>
        </w:r>
      </w:hyperlink>
      <w:r>
        <w:br/>
        <w:t>信用、流动性及财务保障。 Credit, liquidity and financial resources.</w:t>
      </w:r>
    </w:p>
    <w:p>
      <w:pPr>
        <w:pStyle w:val="Small"/>
        <w:keepLines/>
        <w:spacing w:after="80"/>
      </w:pPr>
      <w:r>
        <w:t xml:space="preserve">[5] </w:t>
      </w:r>
      <w:hyperlink r:id="rId13">
        <w:r>
          <w:rPr>
            <w:rFonts w:ascii="Arial" w:hAnsi="Arial"/>
            <w:color w:val="24567A"/>
            <w:sz w:val="20"/>
          </w:rPr>
          <w:t>SEC Treasury Clearing Implementation</w:t>
        </w:r>
      </w:hyperlink>
      <w:r>
        <w:br/>
        <w:t>规则、实施资料与清算服务申请。 Rules, implementation and clearing applications.</w:t>
      </w:r>
    </w:p>
    <w:p>
      <w:pPr>
        <w:pStyle w:val="Small"/>
        <w:keepLines/>
        <w:spacing w:after="80"/>
      </w:pPr>
      <w:r>
        <w:t xml:space="preserve">[6] </w:t>
      </w:r>
      <w:hyperlink r:id="rId14">
        <w:r>
          <w:rPr>
            <w:rFonts w:ascii="Arial" w:hAnsi="Arial"/>
            <w:color w:val="24567A"/>
            <w:sz w:val="20"/>
          </w:rPr>
          <w:t>Federal Reserve H15 Selected Interest Rates</w:t>
        </w:r>
      </w:hyperlink>
      <w:r>
        <w:br/>
        <w:t>国债收益率与有效联邦基金利率。 Treasury yields and EFFR.</w:t>
      </w:r>
    </w:p>
    <w:p>
      <w:pPr>
        <w:pStyle w:val="Small"/>
        <w:keepLines/>
        <w:spacing w:after="80"/>
      </w:pPr>
      <w:r>
        <w:t xml:space="preserve">[7] </w:t>
      </w:r>
      <w:hyperlink r:id="rId15">
        <w:r>
          <w:rPr>
            <w:rFonts w:ascii="Arial" w:hAnsi="Arial"/>
            <w:color w:val="24567A"/>
            <w:sz w:val="20"/>
          </w:rPr>
          <w:t>New York Fed Secured Overnight Financing Rate</w:t>
        </w:r>
      </w:hyperlink>
      <w:r>
        <w:br/>
        <w:t>SOFR 的定义、组成及发布。 SOFR definition, composition and publication.</w:t>
      </w:r>
    </w:p>
    <w:p>
      <w:pPr>
        <w:pStyle w:val="Small"/>
        <w:keepLines/>
        <w:spacing w:after="80"/>
      </w:pPr>
      <w:r>
        <w:t xml:space="preserve">[8] </w:t>
      </w:r>
      <w:r>
        <w:rPr>
          <w:b/>
        </w:rPr>
        <w:t>Cleansed Risk Taxonomy</w:t>
      </w:r>
      <w:r>
        <w:br/>
        <w:t>项目提供的风险分类文件，统一风险名称。 Project-supplied taxonomy for consistent risk labels.</w:t>
      </w:r>
    </w:p>
    <w:p>
      <w:pPr>
        <w:pStyle w:val="Small"/>
        <w:keepNext w:val="0"/>
        <w:keepLines/>
      </w:pPr>
      <w:r>
        <w:t>上述业务资料支持传导机制的解释；具体事件的影响仍需事件本身的证据。本文的整理日期不代表新闻发布时间或数据观测日期。</w:t>
      </w:r>
    </w:p>
    <w:p>
      <w:pPr>
        <w:pStyle w:val="Small"/>
        <w:keepNext w:val="0"/>
        <w:keepLines/>
      </w:pPr>
      <w:r>
        <w:t>Business references support the mechanisms; each event still needs its own evidence. The preparation date is distinct from publication and observation dates.</w:t>
      </w:r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7" w:lineRule="exact" w:after="100"/>
    </w:pPr>
    <w:rPr>
      <w:rFonts w:ascii="Arial" w:hAnsi="Arial" w:eastAsia="Arial Unicode MS"/>
      <w:b w:val="0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405" w:lineRule="exact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310" w:lineRule="exact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3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75" w:lineRule="exact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50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51" w:lineRule="exact" w:after="200"/>
    </w:pPr>
    <w:rPr>
      <w:rFonts w:asciiTheme="majorHAnsi" w:eastAsiaTheme="majorEastAsia" w:hAnsiTheme="majorHAnsi" w:cstheme="majorBidi" w:ascii="Arial" w:hAnsi="Arial" w:eastAsia="Arial Unicode MS"/>
      <w:b w:val="0"/>
      <w:i/>
      <w:iCs/>
      <w:color w:val="000000"/>
      <w:spacing w:val="15"/>
      <w:sz w:val="26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70" w:lineRule="exact" w:after="120"/>
    </w:pPr>
    <w:rPr>
      <w:rFonts w:ascii="Arial" w:hAnsi="Arial" w:eastAsia="Arial Unicode MS"/>
      <w:b w:val="0"/>
      <w:color w:val="000000"/>
      <w:sz w:val="20"/>
      <w:lang w:val="en-US" w:eastAsia="zh-CN"/>
    </w:rPr>
  </w:style>
  <w:style w:type="paragraph" w:customStyle="1" w:styleId="Small">
    <w:name w:val="Small"/>
    <w:basedOn w:val="Normal"/>
    <w:pPr>
      <w:spacing w:line="270" w:lineRule="exact" w:after="100"/>
    </w:pPr>
    <w:rPr>
      <w:rFonts w:ascii="Arial" w:hAnsi="Arial" w:eastAsia="Arial Unicode MS"/>
      <w:b w:val="0"/>
      <w:color w:val="000000"/>
      <w:sz w:val="20"/>
      <w:lang w:val="en-US" w:eastAsia="zh-CN"/>
    </w:rPr>
  </w:style>
  <w:style w:type="paragraph" w:customStyle="1" w:styleId="TableBody">
    <w:name w:val="Table Body"/>
    <w:basedOn w:val="Normal"/>
    <w:pPr>
      <w:spacing w:line="270" w:lineRule="exact" w:after="100"/>
    </w:pPr>
    <w:rPr>
      <w:rFonts w:ascii="Arial" w:hAnsi="Arial" w:eastAsia="Arial Unicode MS"/>
      <w:b w:val="0"/>
      <w:color w:val="000000"/>
      <w:sz w:val="20"/>
      <w:lang w:val="en-US" w:eastAsia="zh-CN"/>
    </w:rPr>
  </w:style>
  <w:style w:type="paragraph" w:customStyle="1" w:styleId="EnglishBody">
    <w:name w:val="English Body"/>
    <w:basedOn w:val="Normal"/>
    <w:pPr>
      <w:spacing w:line="297" w:lineRule="exact" w:after="120"/>
    </w:pPr>
    <w:rPr>
      <w:rFonts w:ascii="Arial" w:hAnsi="Arial" w:eastAsia="Arial Unicode MS"/>
      <w:b w:val="0"/>
      <w:color w:val="000000"/>
      <w:sz w:val="22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tcc.com/products-and-services/clearing-settlement-services/fixed-income-clearing-corporation-ficc/government-securities-division-gsd" TargetMode="External"/><Relationship Id="rId10" Type="http://schemas.openxmlformats.org/officeDocument/2006/relationships/hyperlink" Target="https://www.dtcc.com/products-and-services/clearing-settlement-services/fixed-income-clearing-corporation-ficc/mortgage-backed-securities-division" TargetMode="External"/><Relationship Id="rId11" Type="http://schemas.openxmlformats.org/officeDocument/2006/relationships/hyperlink" Target="https://www.dtcc.com/products-and-services/clearing-settlement-services/fixed-income-clearing-corporation-ficc/risk-management" TargetMode="External"/><Relationship Id="rId12" Type="http://schemas.openxmlformats.org/officeDocument/2006/relationships/hyperlink" Target="https://www.dtcc.com/about/protecting-the-markets/managing-risk/financial-risk-management" TargetMode="External"/><Relationship Id="rId13" Type="http://schemas.openxmlformats.org/officeDocument/2006/relationships/hyperlink" Target="https://www.sec.gov/featured-topics/treasury-clearing-implementation" TargetMode="External"/><Relationship Id="rId14" Type="http://schemas.openxmlformats.org/officeDocument/2006/relationships/hyperlink" Target="https://www.federalreserve.gov/releases/h15/" TargetMode="External"/><Relationship Id="rId15" Type="http://schemas.openxmlformats.org/officeDocument/2006/relationships/hyperlink" Target="https://www.newyorkfed.org/markets/reference-rates/sofr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FICC 九条逻辑链 中英对照</dc:title>
  <dc:subject>公开信息到 FICC 业务风险的传导与数据需求</dc:subject>
  <dc:creator/>
  <cp:keywords>FICC, GSD, MBSD, public information, risk transmission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