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rial" w:hAnsi="Arial" w:eastAsia="Arial Unicode MS"/>
          <w:b/>
          <w:color w:val="000000"/>
          <w:sz w:val="46"/>
        </w:rPr>
        <w:t>业务反应与风险缓冲需要分开检验</w:t>
      </w:r>
    </w:p>
    <w:p>
      <w:r>
        <w:rPr>
          <w:rFonts w:ascii="Arial" w:hAnsi="Arial" w:eastAsia="Arial Unicode MS"/>
          <w:b w:val="0"/>
          <w:color w:val="000000"/>
          <w:sz w:val="22"/>
        </w:rPr>
        <w:t>FICC与ECS 反馈复核及补充关联分析</w:t>
      </w:r>
    </w:p>
    <w:p>
      <w:r>
        <w:rPr>
          <w:rFonts w:ascii="Arial" w:hAnsi="Arial" w:eastAsia="Arial Unicode MS"/>
          <w:b w:val="0"/>
          <w:color w:val="000000"/>
          <w:sz w:val="19"/>
        </w:rPr>
        <w:t>2026年10月6日   数据观察截至2026Q2</w:t>
      </w:r>
    </w:p>
    <w:p>
      <w:r>
        <w:rPr>
          <w:rFonts w:ascii="Arial" w:hAnsi="Arial" w:eastAsia="Arial Unicode MS"/>
          <w:b w:val="0"/>
          <w:color w:val="000000"/>
          <w:sz w:val="19"/>
        </w:rPr>
        <w:t>事后扩展的探索性研究</w:t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结论与业务含义</w:t>
      </w:r>
    </w:p>
    <w:p>
      <w:r>
        <w:rPr>
          <w:rFonts w:ascii="Arial" w:hAnsi="Arial" w:eastAsia="Arial Unicode MS"/>
          <w:b w:val="0"/>
          <w:color w:val="000000"/>
          <w:sz w:val="21"/>
        </w:rPr>
        <w:t>我们建议将业务反应和缓冲充足度分开检验。新增保证金追缴、变动保证金支付和季末保证金变化后，部分相关性变为正，但关系仍随指标、滞后和样本时期变化。目前证据支持继续监测与核查，尚不足以建立稳定的业务风险评分。</w:t>
      </w:r>
    </w:p>
    <w:p>
      <w:r>
        <w:rPr>
          <w:rFonts w:ascii="Arial" w:hAnsi="Arial" w:eastAsia="Arial Unicode MS"/>
          <w:b w:val="0"/>
          <w:color w:val="000000"/>
          <w:sz w:val="21"/>
        </w:rPr>
        <w:t>GSD 的10年国债日变动绝对值与同季度保证金环比变化，全样本 rho 为0.408；较早样本为0.441，后续六季度为−0.147。全样本普通BH校正 q 为0.172，因此这个正相关没有通过5%的多重检验门槛。</w:t>
      </w:r>
    </w:p>
    <w:p>
      <w:r>
        <w:rPr>
          <w:rFonts w:ascii="Arial" w:hAnsi="Arial" w:eastAsia="Arial Unicode MS"/>
          <w:b w:val="0"/>
          <w:color w:val="000000"/>
          <w:sz w:val="21"/>
        </w:rPr>
        <w:t>新增检验有294个比较组合，每组分别报告较早、后续和全样本结果，共882条统计记录。全样本48项通过普通BH 5%，其中24项同时呈正相关且四季度区块bootstrap区间高于零；较早样本没有比较通过普通BH 5%。这些是事后扩展的探索性结果，普通p值也未充分处理季度序列依赖，不能把24项解读成已验证的24条传导通道。</w:t>
      </w:r>
    </w:p>
    <w:p>
      <w:r>
        <w:rPr>
          <w:rFonts w:ascii="Arial" w:hAnsi="Arial" w:eastAsia="Arial Unicode MS"/>
          <w:b w:val="0"/>
          <w:color w:val="000000"/>
          <w:sz w:val="21"/>
        </w:rPr>
        <w:t>本次提取了23个季度、3个清算服务的207个新增原始字段值。原来的事件检验、结果指标、门槛和文件均保留；本轮不重新分配风险权重，也不把新增结果转换为违约概率或官方风险等级。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Claude反馈中可以采纳和需要修正的内容</w:t>
      </w:r>
    </w:p>
    <w:p>
      <w:r>
        <w:rPr>
          <w:rFonts w:ascii="Arial" w:hAnsi="Arial" w:eastAsia="Arial Unicode MS"/>
          <w:b w:val="0"/>
          <w:color w:val="000000"/>
          <w:sz w:val="21"/>
        </w:rPr>
        <w:t>可以采纳的建议是区分业务反应与缓冲充足度，同时报告同季度与下一季度关系，补充早期披露，并处理十二个月窗口重叠。原来的4.4.3除以6.1.1可以保留为脆弱度候选，但不宜单独承担冲击是否到达业务的验证。4.4.3本身已是超过初始保证金的压力损失，并非完整的总压力损失。</w:t>
      </w:r>
    </w:p>
    <w:p>
      <w:r>
        <w:rPr>
          <w:rFonts w:ascii="Arial" w:hAnsi="Arial" w:eastAsia="Arial Unicode MS"/>
          <w:b w:val="0"/>
          <w:color w:val="000000"/>
          <w:sz w:val="21"/>
        </w:rPr>
        <w:t>负相关不能直接证明风控有效。提高保证金可以使比值下降，但持仓、业务规模、模型参数、观察窗口和其他变化也可能造成同样结果。只有把相关调整及暴露变化放入证据链，才能进一步解释原因。</w:t>
      </w:r>
    </w:p>
    <w:p>
      <w:r>
        <w:rPr>
          <w:rFonts w:ascii="Arial" w:hAnsi="Arial" w:eastAsia="Arial Unicode MS"/>
          <w:b w:val="0"/>
          <w:color w:val="000000"/>
          <w:sz w:val="21"/>
        </w:rPr>
        <w:t>我们原分析已有同季度和分子分母诊断。GSD国债日变动与损失比的全样本同季度rho为0.209，较早样本约为−0.291。只引用全样本正值会掩盖关系的不稳定；同季度相关也不能单独证明某个具体事件造成业务变化。</w:t>
      </w:r>
    </w:p>
    <w:p>
      <w:r>
        <w:rPr>
          <w:rFonts w:ascii="Arial" w:hAnsi="Arial" w:eastAsia="Arial Unicode MS"/>
          <w:b w:val="0"/>
          <w:color w:val="000000"/>
          <w:sz w:val="21"/>
        </w:rPr>
        <w:t>SVB窗口内SOFR−EFFR峰值为0bp，不是2023年全年的峰值。冻结的日度数据中，全年峰值约为7bp。缺少2019年及2020年初当季PQD限制事件配对，但2020Q4的部分十二个月披露可能包含疫情期，不能说样本完全没有包含疫情压力。</w:t>
      </w:r>
    </w:p>
    <w:p>
      <w:r>
        <w:rPr>
          <w:rFonts w:ascii="Arial" w:hAnsi="Arial" w:eastAsia="Arial Unicode MS"/>
          <w:b w:val="0"/>
          <w:color w:val="000000"/>
          <w:sz w:val="21"/>
        </w:rPr>
        <w:t>阈值排除当天、时间顺序分组、BH校正和区块bootstrap确实提高了可复核性，但原始历史版本和首次发布日期仍未核实。目录日期是公开可用时间的代理；因此不能把本次研究称为已经严格完成了历史时点回测。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新增结果指标与准确口径</w:t>
      </w:r>
    </w:p>
    <w:p>
      <w:r>
        <w:rPr>
          <w:rFonts w:ascii="Arial" w:hAnsi="Arial" w:eastAsia="Arial Unicode MS"/>
          <w:b w:val="0"/>
          <w:color w:val="000000"/>
          <w:sz w:val="21"/>
        </w:rPr>
        <w:t>IM指初始保证金，VM指变动保证金，PQD指公开量化披露。原始新增字段是6.6.1日均变动保证金支付、6.7.1最大单日变动保证金支付和6.8.1最大单日初始保证金追缴。它们的观察窗口均为报告季度。6.1.1是季末保证金要求存量。以下七种形式均来自这些字段，分别检验，不按结果挑选最终指标。</w:t>
      </w:r>
    </w:p>
    <w:p>
      <w:r>
        <w:rPr>
          <w:rFonts w:ascii="Arial" w:hAnsi="Arial" w:eastAsia="Arial Unicode MS"/>
          <w:b w:val="0"/>
          <w:color w:val="000000"/>
          <w:sz w:val="21"/>
        </w:rPr>
        <w:t>DTCC说明GSD和MBSD的VM是会员之间的现金传递，NSCC的VM收费属于清算基金要求；这些金额都不能直接当成DTCC收入或实际亏损。6.8.1反映相对于已存抵押品的最大汇总缺口和实际追缴，包含日内追缴，并非保证金要求总量的最大增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04"/>
        <w:gridCol w:w="1728"/>
        <w:gridCol w:w="3485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公式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窗口及单位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解释限制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保证金环比变化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6.1.1(t) / 6.1.1(t−1) − 1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季度存量变化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业务增长、模型与结构变化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最大单日IM追缴金额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6.8.1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季度内峰值 USD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净于已存抵押品，含日内追缴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IM追缴除以季末IM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6.8.1(t) / 6.1.1(t)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比例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季度峰值与季末存量不同日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IM追缴除以上季IM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6.8.1(t) / 6.1.1(t−1)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比例 敏感性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上一季规模与当季暴露可能不同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日均VM支付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6.6.1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季度内日均 USD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三业务支付机制不同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最大单日VM支付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6.7.1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季度内峰值 USD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受头寸规模和交易环境影响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VM峰值除以日均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6.7.1 / 6.6.1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倍数</w:t>
            </w:r>
          </w:p>
        </w:tc>
        <w:tc>
          <w:tcPr>
            <w:tcW w:type="dxa" w:w="34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持续压力也可能提高分母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同季度和下一季度的补充结果</w:t>
      </w:r>
    </w:p>
    <w:p>
      <w:r>
        <w:rPr>
          <w:rFonts w:ascii="Arial" w:hAnsi="Arial" w:eastAsia="Arial Unicode MS"/>
          <w:b w:val="0"/>
          <w:color w:val="000000"/>
          <w:sz w:val="21"/>
        </w:rPr>
        <w:t>表中的六个案例在本轮统计运行前按经济通道和反馈问题指定，用来展示不同指标的含义，并非从最大正相关中挑选。较早期的结果季度截至2024Q4；后续期为2025Q1至2026Q2，只有六对有效观察。后续期已被查看，不是新的盲测样本。</w:t>
      </w:r>
    </w:p>
    <w:p>
      <w:r>
        <w:rPr>
          <w:rFonts w:ascii="Arial" w:hAnsi="Arial" w:eastAsia="Arial Unicode MS"/>
          <w:b w:val="0"/>
          <w:color w:val="000000"/>
          <w:sz w:val="21"/>
        </w:rPr>
        <w:t>对保证金环比变化来说，国债冲击的全样本同季度方向为正，可能与保证金需求反应一致；但q值、时期反转和业务规模影响使证据仍不充分。最大追缴除以季末保证金仍呈负相关，说明换一个看起来更直接的比例并不自动解决问题。</w:t>
      </w:r>
    </w:p>
    <w:p>
      <w:r>
        <w:rPr>
          <w:rFonts w:ascii="Arial" w:hAnsi="Arial" w:eastAsia="Arial Unicode MS"/>
          <w:b w:val="0"/>
          <w:color w:val="000000"/>
          <w:sz w:val="21"/>
        </w:rPr>
        <w:t>MBSD国债冲击与VM峰值在后续六期的同季度rho为0.736，但较早期仅0.053，全样本为0.200。NSCC的VIX与VM峰值同季度全样本rho为0.326，后续期约−0.029。小样本中的高相关需要保留，不应据此宣布传导成立。</w:t>
      </w:r>
    </w:p>
    <w:p>
      <w:r>
        <w:rPr>
          <w:rFonts w:ascii="Arial" w:hAnsi="Arial" w:eastAsia="Arial Unicode MS"/>
          <w:b w:val="0"/>
          <w:color w:val="000000"/>
          <w:sz w:val="21"/>
        </w:rPr>
        <w:t>下一季度使用季度t的完整最大冲击；这一值只能在季度结束后确定。因此这些结果是历史关联诊断，不能直接用作事件发生当日的实时预测。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128266"/>
            <wp:docPr id="1" name="Picture 1" descr="Earlier and later Spearman correlations for GSD and MBSD Treasury changes versus peak VM, and NSCC VIX versus peak V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_and_lag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 w:eastAsia="Arial Unicode MS"/>
          <w:b w:val="0"/>
          <w:color w:val="000000"/>
          <w:sz w:val="18"/>
        </w:rPr>
        <w:t>图1 不同时期与滞后下的相关性  后续期只有六对观察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000000"/>
          <w:sz w:val="24"/>
        </w:rPr>
        <w:t>展示案例的完整统计</w:t>
      </w:r>
    </w:p>
    <w:p>
      <w:r>
        <w:rPr>
          <w:rFonts w:ascii="Arial" w:hAnsi="Arial" w:eastAsia="Arial Unicode MS"/>
          <w:b w:val="0"/>
          <w:color w:val="000000"/>
          <w:sz w:val="19"/>
        </w:rPr>
        <w:t>A  GSD  10年国债日变动绝对值 → 保证金环比变化</w:t>
        <w:br/>
        <w:t>B  GSD  10年国债日变动绝对值 → IM追缴除以季末IM</w:t>
        <w:br/>
        <w:t>C  GSD  10年国债日变动绝对值 → 最大单日VM支付</w:t>
        <w:br/>
        <w:t>D  MBSD  10年国债日变动绝对值 → 最大单日VM支付</w:t>
        <w:br/>
        <w:t>E  NSCC  VIX → 最大单日VM支付</w:t>
        <w:br/>
        <w:t>F  GSD  校正SOFR−EFFR → VM峰值除以日均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691"/>
        <w:gridCol w:w="504"/>
        <w:gridCol w:w="893"/>
        <w:gridCol w:w="893"/>
        <w:gridCol w:w="2275"/>
        <w:gridCol w:w="1526"/>
        <w:gridCol w:w="155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案例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滞后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rho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BH q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95%区间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较早rho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shd w:fill="E8EDF1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后续rho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0.408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0.172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0.010 to 0.766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0.441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-0.147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0.464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0.109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-0.107 to 0.712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0.549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0.058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-0.274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0.375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-0.598 to 0.198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-0.393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0.294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-0.307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0.313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-0.515 to 0.354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-0.340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-0.116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-0.179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0.597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-0.777 to 0.510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0.311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0.265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-0.013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0.977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-0.722 to 0.551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0.410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0.377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0.200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0.547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-0.313 to 0.693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0.053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0.736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-0.200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0.547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-0.610 to 0.286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-0.382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-0.638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0.326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0.280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-0.114 to 0.776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0.512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-0.029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0.408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0.160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0.053 to 0.701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0.600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-0.143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-0.329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0.275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-0.612 to 0.207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-0.332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0.429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-0.521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0.057</w:t>
            </w:r>
          </w:p>
        </w:tc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-0.882 to 0.091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-0.376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-0.771</w:t>
            </w:r>
          </w:p>
        </w:tc>
      </w:tr>
    </w:tbl>
    <w:p>
      <w:pPr>
        <w:spacing w:after="20"/>
      </w:pPr>
    </w:p>
    <w:p>
      <w:r>
        <w:rPr>
          <w:rFonts w:ascii="Arial" w:hAnsi="Arial" w:eastAsia="Arial Unicode MS"/>
          <w:b w:val="0"/>
          <w:color w:val="000000"/>
          <w:sz w:val="18"/>
        </w:rPr>
        <w:t>滞后0为同季度，1为下一季度。区间来自全样本四季度移动区块bootstrap。较早结果季度截至2024Q4，后续为2025Q1至2026Q2。q在全样本294项比较中校正。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验证方法与证据边界</w:t>
      </w:r>
    </w:p>
    <w:p>
      <w:r>
        <w:rPr>
          <w:rFonts w:ascii="Arial" w:hAnsi="Arial" w:eastAsia="Arial Unicode MS"/>
          <w:b w:val="0"/>
          <w:color w:val="000000"/>
          <w:sz w:val="21"/>
        </w:rPr>
        <w:t>原七个候选指标中四个通过原事件筛选；本轮业务反应诊断没有改变这一结果，也不代表全部候选已经通过双重检验。复用原七个日度指标与季度最大值，不改变原事件窗口或报警阈值。分别对GSD、MBSD、NSCC，七个外部指标、七种业务反应形式、两种滞后进行比较。每个样本组294项普通Spearman p值统一进行BH校正，表中q由完整比较族计算，不只对展示案例计算。</w:t>
      </w:r>
    </w:p>
    <w:p>
      <w:r>
        <w:rPr>
          <w:rFonts w:ascii="Arial" w:hAnsi="Arial" w:eastAsia="Arial Unicode MS"/>
          <w:b w:val="0"/>
          <w:color w:val="000000"/>
          <w:sz w:val="21"/>
        </w:rPr>
        <w:t>至少12对且具有足够不同值时，计算四个连续日历季度的移动区块bootstrap，重复2000次，给出95%区间。后续六期仅描述rho，不满足该门槛。另做按日历季度对齐的一阶差分诊断，帮助检查名义金额趋势；差分结果也不替代业务暴露和模型变更控制。</w:t>
      </w:r>
    </w:p>
    <w:p>
      <w:r>
        <w:rPr>
          <w:rFonts w:ascii="Arial" w:hAnsi="Arial" w:eastAsia="Arial Unicode MS"/>
          <w:b w:val="0"/>
          <w:color w:val="000000"/>
          <w:sz w:val="21"/>
        </w:rPr>
        <w:t>比例分子与分母可能不是同一天：季度峰值追缴对季末IM是近似尺度化。VM峰值除以日均衡量峰值集中程度；当整个季度持续高压时，日均也会升高。所有比例均同时保留原始金额，缺失不填零。</w:t>
      </w:r>
    </w:p>
    <w:p>
      <w:r>
        <w:rPr>
          <w:rFonts w:ascii="Arial" w:hAnsi="Arial" w:eastAsia="Arial Unicode MS"/>
          <w:b w:val="0"/>
          <w:color w:val="000000"/>
          <w:sz w:val="21"/>
        </w:rPr>
        <w:t>季度业务规模、会员结构和风险模型调整尚未控制。PQD金额汇总不能定位事件发生日，T12m压力指标又存在窗口重叠。相关系数回答共同变化，不能识别因果，也不能证明乘法结构改善了模型。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436951"/>
            <wp:docPr id="2" name="Picture 2" descr="Six predefined same-quarter correlations with four-quarter block-bootstrap confidence intervals; wide intervals and mixed signs show uncertain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quarter_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 w:eastAsia="Arial Unicode MS"/>
          <w:b w:val="0"/>
          <w:color w:val="000000"/>
          <w:sz w:val="18"/>
        </w:rPr>
        <w:t>图2 全样本同季度相关性与95%区间  虚线为原研究的0.3方向门槛  不代表因果或验证通过</w:t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下一阶段的数据和实施安排</w:t>
      </w:r>
    </w:p>
    <w:p>
      <w:r>
        <w:rPr>
          <w:rFonts w:ascii="Arial" w:hAnsi="Arial" w:eastAsia="Arial Unicode MS"/>
          <w:b w:val="0"/>
          <w:color w:val="000000"/>
          <w:sz w:val="21"/>
        </w:rPr>
        <w:t>先冻结本轮定义和全部结果，再收集新增、未参与这次解释的数据用于后续验证。已看过的2025Q1至2026Q2不能重新命名为独立最终测试集。</w:t>
      </w:r>
    </w:p>
    <w:p>
      <w:r>
        <w:rPr>
          <w:rFonts w:ascii="Arial" w:hAnsi="Arial" w:eastAsia="Arial Unicode MS"/>
          <w:b w:val="0"/>
          <w:color w:val="000000"/>
          <w:sz w:val="21"/>
        </w:rPr>
        <w:t>优先补充2019年及2020年初的PQD和历史原始版本，核实首次发布日期；再争取按日的保证金要求、追缴、VM支付、可用流动性与覆盖不足记录。历史公开文件可以继续检索；向项目方索取资料时，应明确公开或可批准使用的范围。</w:t>
      </w:r>
    </w:p>
    <w:p>
      <w:r>
        <w:rPr>
          <w:rFonts w:ascii="Arial" w:hAnsi="Arial" w:eastAsia="Arial Unicode MS"/>
          <w:b w:val="0"/>
          <w:color w:val="000000"/>
          <w:sz w:val="21"/>
        </w:rPr>
        <w:t>FICC分别补充GSD国债及回购暴露、MBSD的MBS利差和久期凸性环境；ECS保持NSCC清算与DTC结算证据独立。MOVE完整日度历史和MBS专属数据仍是缺口，本报告不扩展到DAS或其他运营风险的已验证评分。</w:t>
      </w:r>
    </w:p>
    <w:p>
      <w:r>
        <w:rPr>
          <w:rFonts w:ascii="Arial" w:hAnsi="Arial" w:eastAsia="Arial Unicode MS"/>
          <w:b w:val="0"/>
          <w:color w:val="000000"/>
          <w:sz w:val="21"/>
        </w:rPr>
        <w:t>监测输出可先采用事件卡片，列明事件、业务、通道、外部指标变化、当时可获得的脆弱度和证据强度。自动权重、统一0至100评分和业务损失预测需等更稳定的验证结果。</w:t>
      </w:r>
    </w:p>
    <w:p>
      <w:pPr>
        <w:pStyle w:val="Heading1"/>
      </w:pPr>
      <w:r>
        <w:rPr>
          <w:rFonts w:ascii="Arial" w:hAnsi="Arial" w:eastAsia="Arial Unicode MS"/>
          <w:b/>
          <w:color w:val="000000"/>
          <w:sz w:val="30"/>
        </w:rPr>
        <w:t>数据来源与复现</w:t>
      </w:r>
    </w:p>
    <w:p>
      <w:r>
        <w:rPr>
          <w:rFonts w:ascii="Arial" w:hAnsi="Arial" w:eastAsia="Arial Unicode MS"/>
          <w:b w:val="0"/>
          <w:color w:val="000000"/>
          <w:sz w:val="21"/>
        </w:rPr>
        <w:t>数据观察截至2026Q2，报告日期为2026年10月6日。原始市场及PQD文件采集于10月5日至6日；本轮复用冻结文件，新增提取字段，没有下载到更早季度的PQD。</w:t>
      </w:r>
    </w:p>
    <w:p>
      <w:r>
        <w:rPr>
          <w:rFonts w:ascii="Arial" w:hAnsi="Arial" w:eastAsia="Arial Unicode MS"/>
          <w:b w:val="0"/>
          <w:color w:val="000000"/>
          <w:sz w:val="21"/>
        </w:rPr>
        <w:t>PQD共22份XLSX和2024Q4官方PDF，覆盖2020Q4至2026Q2。2024Q4新增值来自第13页，原单位USD MM乘以1000000转为USD；每项原值、单元格或页码、下载URL与SHA256保留在response_cell_evidence.csv和source_manifest.json。</w:t>
      </w:r>
    </w:p>
    <w:p>
      <w:r>
        <w:rPr>
          <w:rFonts w:ascii="Arial" w:hAnsi="Arial" w:eastAsia="Arial Unicode MS"/>
          <w:b w:val="0"/>
          <w:color w:val="000000"/>
          <w:sz w:val="21"/>
        </w:rPr>
        <w:t>官方定义见CPMI–IOSCO公开量化披露标准，以及各季度DTCC说明。方法参考项目Quant-tech的样本外评估及过拟合控制原则。本轮独立目录保留分析计划、207项字段证据、69行季度面板、逐对关联证据和882条统计结果。</w:t>
      </w:r>
    </w:p>
    <w:p>
      <w:pPr>
        <w:spacing w:after="100"/>
      </w:pPr>
      <w:hyperlink r:id="rId11">
        <w:r>
          <w:rPr>
            <w:color w:val="145E75"/>
            <w:sz w:val="19"/>
          </w:rPr>
          <w:t>DTCC quantitative disclosure directory</w:t>
        </w:r>
      </w:hyperlink>
    </w:p>
    <w:p>
      <w:pPr>
        <w:spacing w:after="100"/>
      </w:pPr>
      <w:hyperlink r:id="rId12">
        <w:r>
          <w:rPr>
            <w:color w:val="145E75"/>
            <w:sz w:val="19"/>
          </w:rPr>
          <w:t>CPMI–IOSCO disclosure standards February 2015</w:t>
        </w:r>
      </w:hyperlink>
    </w:p>
    <w:p>
      <w:pPr>
        <w:spacing w:after="100"/>
      </w:pPr>
      <w:hyperlink r:id="rId13">
        <w:r>
          <w:rPr>
            <w:color w:val="145E75"/>
            <w:sz w:val="19"/>
          </w:rPr>
          <w:t>FRED SOFR</w:t>
        </w:r>
      </w:hyperlink>
    </w:p>
    <w:p>
      <w:pPr>
        <w:spacing w:after="100"/>
      </w:pPr>
      <w:hyperlink r:id="rId14">
        <w:r>
          <w:rPr>
            <w:color w:val="145E75"/>
            <w:sz w:val="19"/>
          </w:rPr>
          <w:t>FRED EFFR</w:t>
        </w:r>
      </w:hyperlink>
    </w:p>
    <w:p>
      <w:pPr>
        <w:spacing w:after="100"/>
      </w:pPr>
      <w:hyperlink r:id="rId15">
        <w:r>
          <w:rPr>
            <w:color w:val="145E75"/>
            <w:sz w:val="19"/>
          </w:rPr>
          <w:t>FRED Treasury yield</w:t>
        </w:r>
      </w:hyperlink>
    </w:p>
    <w:p>
      <w:pPr>
        <w:spacing w:after="100"/>
      </w:pPr>
      <w:hyperlink r:id="rId16">
        <w:r>
          <w:rPr>
            <w:color w:val="145E75"/>
            <w:sz w:val="19"/>
          </w:rPr>
          <w:t>FRED VIX</w:t>
        </w:r>
      </w:hyperlink>
    </w:p>
    <w:p>
      <w:pPr>
        <w:spacing w:after="100"/>
      </w:pPr>
      <w:hyperlink r:id="rId17">
        <w:r>
          <w:rPr>
            <w:color w:val="145E75"/>
            <w:sz w:val="19"/>
          </w:rPr>
          <w:t>FRED Baa spread</w:t>
        </w:r>
      </w:hyperlink>
    </w:p>
    <w:p>
      <w:pPr>
        <w:pStyle w:val="Heading2"/>
      </w:pPr>
      <w:r>
        <w:rPr>
          <w:rFonts w:ascii="Arial" w:hAnsi="Arial" w:eastAsia="Arial Unicode MS"/>
          <w:b/>
          <w:color w:val="000000"/>
          <w:sz w:val="24"/>
        </w:rPr>
        <w:t>可复现文件</w:t>
      </w:r>
    </w:p>
    <w:p>
      <w:r>
        <w:rPr>
          <w:rFonts w:ascii="Arial" w:hAnsi="Arial" w:eastAsia="Arial Unicode MS"/>
          <w:b w:val="0"/>
          <w:color w:val="000000"/>
          <w:sz w:val="18"/>
        </w:rPr>
        <w:t>分析程序 src/analyze_responses.py</w:t>
        <w:br/>
        <w:t>原始字段 data/response_cell_evidence.csv</w:t>
        <w:br/>
        <w:t>全部结果 results/response_correlations.csv</w:t>
        <w:br/>
        <w:t>来源记录 source_manifest.json</w:t>
      </w:r>
    </w:p>
    <w:sectPr w:rsidR="00FC693F" w:rsidRPr="0006063C" w:rsidSect="00034616">
      <w:footerReference w:type="default" r:id="rId18"/>
      <w:pgSz w:w="11909" w:h="16834"/>
      <w:pgMar w:top="1037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b w:val="0"/>
        <w:color w:val="000000"/>
        <w:sz w:val="16"/>
      </w:rPr>
      <w:t xml:space="preserve">Capstone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dtcc.com/legal/policy-and-compliance" TargetMode="External"/><Relationship Id="rId12" Type="http://schemas.openxmlformats.org/officeDocument/2006/relationships/hyperlink" Target="https://www.bis.org/publications/public-quantitative-disclosure-standards-central-counterparties.pdf" TargetMode="External"/><Relationship Id="rId13" Type="http://schemas.openxmlformats.org/officeDocument/2006/relationships/hyperlink" Target="https://fred.stlouisfed.org/series/SOFR" TargetMode="External"/><Relationship Id="rId14" Type="http://schemas.openxmlformats.org/officeDocument/2006/relationships/hyperlink" Target="https://fred.stlouisfed.org/series/EFFR" TargetMode="External"/><Relationship Id="rId15" Type="http://schemas.openxmlformats.org/officeDocument/2006/relationships/hyperlink" Target="https://fred.stlouisfed.org/series/DGS10" TargetMode="External"/><Relationship Id="rId16" Type="http://schemas.openxmlformats.org/officeDocument/2006/relationships/hyperlink" Target="https://fred.stlouisfed.org/series/VIXCLS" TargetMode="External"/><Relationship Id="rId17" Type="http://schemas.openxmlformats.org/officeDocument/2006/relationships/hyperlink" Target="https://fred.stlouisfed.org/series/BAA10Y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业务反应与风险缓冲需要分开检验</dc:title>
  <dc:subject>FICC与ECS 反馈复核及补充关联分析</dc:subject>
  <dc:creator>Capstone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