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rFonts w:ascii="Arial" w:hAnsi="Arial" w:eastAsia="Arial Unicode MS"/>
          <w:b/>
          <w:color w:val="000000"/>
          <w:sz w:val="46"/>
        </w:rPr>
        <w:t>Business responses and risk buffers need separate tests</w:t>
      </w:r>
    </w:p>
    <w:p>
      <w:r>
        <w:rPr>
          <w:rFonts w:ascii="Arial" w:hAnsi="Arial" w:eastAsia="Arial Unicode MS"/>
          <w:b w:val="0"/>
          <w:color w:val="000000"/>
          <w:sz w:val="22"/>
        </w:rPr>
        <w:t>FICC and ECS feedback review and supplemental association analysis</w:t>
      </w:r>
    </w:p>
    <w:p>
      <w:r>
        <w:rPr>
          <w:rFonts w:ascii="Arial" w:hAnsi="Arial" w:eastAsia="Arial Unicode MS"/>
          <w:b w:val="0"/>
          <w:color w:val="000000"/>
          <w:sz w:val="19"/>
        </w:rPr>
        <w:t>October 6, 2026   Observations through 2026Q2</w:t>
      </w:r>
    </w:p>
    <w:p>
      <w:r>
        <w:rPr>
          <w:rFonts w:ascii="Arial" w:hAnsi="Arial" w:eastAsia="Arial Unicode MS"/>
          <w:b w:val="0"/>
          <w:color w:val="000000"/>
          <w:sz w:val="19"/>
        </w:rPr>
        <w:t>Post-result exploratory extension</w:t>
      </w:r>
    </w:p>
    <w:p>
      <w:pPr>
        <w:pStyle w:val="Heading1"/>
      </w:pPr>
      <w:r>
        <w:rPr>
          <w:rFonts w:ascii="Arial" w:hAnsi="Arial" w:eastAsia="Arial Unicode MS"/>
          <w:b/>
          <w:color w:val="000000"/>
          <w:sz w:val="30"/>
        </w:rPr>
        <w:t>Conclusion and business implication</w:t>
      </w:r>
    </w:p>
    <w:p>
      <w:r>
        <w:rPr>
          <w:rFonts w:ascii="Arial" w:hAnsi="Arial" w:eastAsia="Arial Unicode MS"/>
          <w:b w:val="0"/>
          <w:color w:val="000000"/>
          <w:sz w:val="21"/>
        </w:rPr>
        <w:t>Business responses and risk-buffer adequacy should be tested separately. Adding margin calls, variation margin payments and changes in quarter-end initial margin produces some positive relationships, but associations still change with the outcome, lag and sample period. The evidence supports continued monitoring and investigation; it does not yet support a stable business risk score.</w:t>
      </w:r>
    </w:p>
    <w:p>
      <w:r>
        <w:rPr>
          <w:rFonts w:ascii="Arial" w:hAnsi="Arial" w:eastAsia="Arial Unicode MS"/>
          <w:b w:val="0"/>
          <w:color w:val="000000"/>
          <w:sz w:val="21"/>
        </w:rPr>
        <w:t>For GSD, the full-sample same-quarter correlation between the absolute daily change in the 10-year Treasury yield and quarter-on-quarter initial margin growth is 0.408. It is 0.441 through 2024Q4 and −0.147 in the following six quarters. Its full-sample ordinary BH-adjusted q-value is 0.172, above the 5% multiple-testing threshold.</w:t>
      </w:r>
    </w:p>
    <w:p>
      <w:r>
        <w:rPr>
          <w:rFonts w:ascii="Arial" w:hAnsi="Arial" w:eastAsia="Arial Unicode MS"/>
          <w:b w:val="0"/>
          <w:color w:val="000000"/>
          <w:sz w:val="21"/>
        </w:rPr>
        <w:t>There are 294 comparison combinations, each reported for the earlier, later and full samples, producing 882 statistical records. In the full sample, 48 comparisons meet ordinary BH 5%; 24 also have a positive correlation and a four-quarter block-bootstrap interval above zero. No earlier-sample comparison meets ordinary BH 5%. These are post-result exploratory extensions. Ordinary p-values do not adequately address quarterly dependence, and the 24 comparisons must not be presented as 24 validated transmission channels.</w:t>
      </w:r>
    </w:p>
    <w:p>
      <w:r>
        <w:rPr>
          <w:rFonts w:ascii="Arial" w:hAnsi="Arial" w:eastAsia="Arial Unicode MS"/>
          <w:b w:val="0"/>
          <w:color w:val="000000"/>
          <w:sz w:val="21"/>
        </w:rPr>
        <w:t>The extension extracts 207 new raw field values across 23 quarters and three clearing services. The original event tests, outcomes, thresholds and files are preserved. This report does not reassign risk weights or interpret the new statistics as default probabilities or official risk grades.</w:t>
      </w:r>
    </w:p>
    <w:p>
      <w:r>
        <w:br w:type="page"/>
      </w:r>
    </w:p>
    <w:p>
      <w:pPr>
        <w:pStyle w:val="Heading1"/>
      </w:pPr>
      <w:r>
        <w:rPr>
          <w:rFonts w:ascii="Arial" w:hAnsi="Arial" w:eastAsia="Arial Unicode MS"/>
          <w:b/>
          <w:color w:val="000000"/>
          <w:sz w:val="30"/>
        </w:rPr>
        <w:t>What to adopt and correct in the feedback</w:t>
      </w:r>
    </w:p>
    <w:p>
      <w:r>
        <w:rPr>
          <w:rFonts w:ascii="Arial" w:hAnsi="Arial" w:eastAsia="Arial Unicode MS"/>
          <w:b w:val="0"/>
          <w:color w:val="000000"/>
          <w:sz w:val="21"/>
        </w:rPr>
        <w:t>Adopt the separation of business responses from buffer adequacy, report same-quarter and next-quarter associations separately, seek earlier disclosures, and account for overlapping twelve-month windows. The original 4.4.3 / 6.1.1 ratio may remain a vulnerability candidate, but should not alone establish that a shock reached the business. Item 4.4.3 already measures stress loss in excess of initial margin, rather than total gross stress loss.</w:t>
      </w:r>
    </w:p>
    <w:p>
      <w:r>
        <w:rPr>
          <w:rFonts w:ascii="Arial" w:hAnsi="Arial" w:eastAsia="Arial Unicode MS"/>
          <w:b w:val="0"/>
          <w:color w:val="000000"/>
          <w:sz w:val="21"/>
        </w:rPr>
        <w:t>A negative correlation does not demonstrate effective risk management. Increasing initial margin can reduce the ratio, but positions, business scale, model parameters, reporting windows and other changes can produce a similar result. The explanation requires evidence of exposures and actual risk-management changes.</w:t>
      </w:r>
    </w:p>
    <w:p>
      <w:r>
        <w:rPr>
          <w:rFonts w:ascii="Arial" w:hAnsi="Arial" w:eastAsia="Arial Unicode MS"/>
          <w:b w:val="0"/>
          <w:color w:val="000000"/>
          <w:sz w:val="21"/>
        </w:rPr>
        <w:t>The original analysis already includes same-quarter and numerator/denominator diagnostics. For GSD Treasury yield changes versus the stress-loss ratio, the full-sample same-quarter rho is 0.209, while the earlier-sample value is approximately −0.291. Quoting only the positive full-sample value hides instability. Contemporaneous correlation also cannot identify the effect of a particular event.</w:t>
      </w:r>
    </w:p>
    <w:p>
      <w:r>
        <w:rPr>
          <w:rFonts w:ascii="Arial" w:hAnsi="Arial" w:eastAsia="Arial Unicode MS"/>
          <w:b w:val="0"/>
          <w:color w:val="000000"/>
          <w:sz w:val="21"/>
        </w:rPr>
        <w:t>The SOFR−EFFR peak of 0bp applies to the specified SVB event window, not the whole of 2023. The frozen daily data show a full-year peak of approximately 7bp. Missing contemporaneous PQD for 2019 and early 2020 limits event matching, but some 2020Q4 trailing-twelve-month disclosures may include the pandemic period.</w:t>
      </w:r>
    </w:p>
    <w:p>
      <w:r>
        <w:rPr>
          <w:rFonts w:ascii="Arial" w:hAnsi="Arial" w:eastAsia="Arial Unicode MS"/>
          <w:b w:val="0"/>
          <w:color w:val="000000"/>
          <w:sz w:val="21"/>
        </w:rPr>
        <w:t>Excluding the current observation from thresholds, chronological grouping, BH correction and block bootstrap improve reproducibility. However, original historical vintages and first-release dates remain unverified. Directory listing dates proxy public availability, so this is not a fully validated point-in-time backtest.</w:t>
      </w:r>
    </w:p>
    <w:p>
      <w:r>
        <w:br w:type="page"/>
      </w:r>
    </w:p>
    <w:p>
      <w:pPr>
        <w:pStyle w:val="Heading1"/>
      </w:pPr>
      <w:r>
        <w:rPr>
          <w:rFonts w:ascii="Arial" w:hAnsi="Arial" w:eastAsia="Arial Unicode MS"/>
          <w:b/>
          <w:color w:val="000000"/>
          <w:sz w:val="30"/>
        </w:rPr>
        <w:t>New response measures and field definitions</w:t>
      </w:r>
    </w:p>
    <w:p>
      <w:r>
        <w:rPr>
          <w:rFonts w:ascii="Arial" w:hAnsi="Arial" w:eastAsia="Arial Unicode MS"/>
          <w:b w:val="0"/>
          <w:color w:val="000000"/>
          <w:sz w:val="21"/>
        </w:rPr>
        <w:t>IM means initial margin, VM means variation margin, and PQD means public quantitative disclosure. The new raw fields are 6.6.1 average daily variation margin paid, 6.7.1 maximum variation margin paid on a business day, and 6.8.1 maximum aggregate initial margin call on a business day. Their observation windows are the reporting quarter. Item 6.1.1 is quarter-end initial margin required. Seven formulations derived from these fields are compared separately, without selecting a final measure from the observed fit.</w:t>
      </w:r>
    </w:p>
    <w:p>
      <w:r>
        <w:rPr>
          <w:rFonts w:ascii="Arial" w:hAnsi="Arial" w:eastAsia="Arial Unicode MS"/>
          <w:b w:val="0"/>
          <w:color w:val="000000"/>
          <w:sz w:val="21"/>
        </w:rPr>
        <w:t>DTCC explains that VM is a cash pass-through process across GSD and MBSD members, while NSCC VM charges form part of clearing fund requirements. These amounts are not DTCC revenue or realized business losses. Item 6.8.1 represents the largest aggregate deficit over collateral already deposited and the actual call, including intraday calls; it is not the maximum increase in total margin requirements.</w:t>
      </w:r>
    </w:p>
    <w:tbl>
      <w:tblPr>
        <w:tblW w:type="auto" w:w="0"/>
        <w:jc w:val="center"/>
        <w:tblLayout w:type="fixed"/>
        <w:tblLook w:firstColumn="1" w:firstRow="1" w:lastColumn="0" w:lastRow="0" w:noHBand="0" w:noVBand="1" w:val="04A0"/>
      </w:tblPr>
      <w:tblGrid>
        <w:gridCol w:w="2088"/>
        <w:gridCol w:w="2304"/>
        <w:gridCol w:w="1728"/>
        <w:gridCol w:w="3485"/>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pPr>
            <w:r>
              <w:rPr>
                <w:rFonts w:ascii="Arial" w:hAnsi="Arial" w:eastAsia="Arial Unicode MS"/>
                <w:b/>
                <w:color w:val="000000"/>
                <w:sz w:val="18"/>
              </w:rPr>
              <w:t>Measure</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pPr>
            <w:r>
              <w:rPr>
                <w:rFonts w:ascii="Arial" w:hAnsi="Arial" w:eastAsia="Arial Unicode MS"/>
                <w:b/>
                <w:color w:val="000000"/>
                <w:sz w:val="18"/>
              </w:rPr>
              <w:t>Formula</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pPr>
            <w:r>
              <w:rPr>
                <w:rFonts w:ascii="Arial" w:hAnsi="Arial" w:eastAsia="Arial Unicode MS"/>
                <w:b/>
                <w:color w:val="000000"/>
                <w:sz w:val="18"/>
              </w:rPr>
              <w:t>Window and unit</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pPr>
            <w:r>
              <w:rPr>
                <w:rFonts w:ascii="Arial" w:hAnsi="Arial" w:eastAsia="Arial Unicode MS"/>
                <w:b/>
                <w:color w:val="000000"/>
                <w:sz w:val="18"/>
              </w:rPr>
              <w:t>Interpretation limit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IM quarter-on-quarter growth</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6.1.1(t) / 6.1.1(t−1) − 1</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Quarter-end stock change</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Business growth, model and composition changes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Peak daily IM call</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6.8.1</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Quarterly peak USD</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Net of deposited collateral; includes intraday calls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IM call / quarter-end IM</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6.8.1(t) / 6.1.1(t)</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Fraction</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Quarter peak and quarter-end stock differ in timing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IM call / prior-quarter IM</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6.8.1(t) / 6.1.1(t−1)</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Fraction sensitivity</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Prior scale may differ from current exposure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Average daily VM</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6.6.1</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Quarterly daily mean USD</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Payment mechanics differ across services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Peak daily VM</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6.7.1</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Quarterly peak USD</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Affected by positions and market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Peak / average VM</w:t>
            </w:r>
          </w:p>
        </w:tc>
        <w:tc>
          <w:tcPr>
            <w:tcW w:type="dxa" w:w="23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6.7.1 / 6.6.1</w:t>
            </w:r>
          </w:p>
        </w:tc>
        <w:tc>
          <w:tcPr>
            <w:tcW w:type="dxa" w:w="1728"/>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Multiple</w:t>
            </w:r>
          </w:p>
        </w:tc>
        <w:tc>
          <w:tcPr>
            <w:tcW w:type="dxa" w:w="348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Sustained stress can also raise the denominator</w:t>
            </w:r>
          </w:p>
        </w:tc>
      </w:tr>
    </w:tbl>
    <w:p>
      <w:pPr>
        <w:spacing w:after="20"/>
      </w:pPr>
    </w:p>
    <w:p>
      <w:r>
        <w:br w:type="page"/>
      </w:r>
    </w:p>
    <w:p>
      <w:pPr>
        <w:pStyle w:val="Heading1"/>
      </w:pPr>
      <w:r>
        <w:rPr>
          <w:rFonts w:ascii="Arial" w:hAnsi="Arial" w:eastAsia="Arial Unicode MS"/>
          <w:b/>
          <w:color w:val="000000"/>
          <w:sz w:val="30"/>
        </w:rPr>
        <w:t>Supplemental same-quarter and next-quarter results</w:t>
      </w:r>
    </w:p>
    <w:p>
      <w:r>
        <w:rPr>
          <w:rFonts w:ascii="Arial" w:hAnsi="Arial" w:eastAsia="Arial Unicode MS"/>
          <w:b w:val="0"/>
          <w:color w:val="000000"/>
          <w:sz w:val="21"/>
        </w:rPr>
        <w:t>The six displayed examples were specified before this extension was run, based on economic channels and the feedback questions. They were not selected from the largest positive correlations. The earlier sample ends at target quarter 2024Q4; the later sample covers 2025Q1–2026Q2 and has only six valid pairs. The later period has already been viewed and is not a new blind test.</w:t>
      </w:r>
    </w:p>
    <w:p>
      <w:r>
        <w:rPr>
          <w:rFonts w:ascii="Arial" w:hAnsi="Arial" w:eastAsia="Arial Unicode MS"/>
          <w:b w:val="0"/>
          <w:color w:val="000000"/>
          <w:sz w:val="21"/>
        </w:rPr>
        <w:t>The full-sample positive same-quarter Treasury-shock correlation with initial margin growth is consistent with a margin-demand response, but its q-value, period reversal and possible business-scale effects leave the evidence inconclusive. Peak margin calls scaled by quarter-end margin remain negatively correlated: using a more direct-looking ratio does not automatically resolve the identification problem.</w:t>
      </w:r>
    </w:p>
    <w:p>
      <w:r>
        <w:rPr>
          <w:rFonts w:ascii="Arial" w:hAnsi="Arial" w:eastAsia="Arial Unicode MS"/>
          <w:b w:val="0"/>
          <w:color w:val="000000"/>
          <w:sz w:val="21"/>
        </w:rPr>
        <w:t>For MBSD, the same-quarter Treasury-shock correlation with peak VM is 0.736 in the later six quarters, compared with 0.053 earlier and 0.200 overall. For NSCC, the same-quarter VIX correlation with peak VM is 0.326 overall and approximately −0.029 later. Retain these small-sample results, but do not interpret a high coefficient as established transmission.</w:t>
      </w:r>
    </w:p>
    <w:p>
      <w:r>
        <w:rPr>
          <w:rFonts w:ascii="Arial" w:hAnsi="Arial" w:eastAsia="Arial Unicode MS"/>
          <w:b w:val="0"/>
          <w:color w:val="000000"/>
          <w:sz w:val="21"/>
        </w:rPr>
        <w:t>Next-quarter comparisons use the completed quarter-t maximum external indicator, which becomes known only after quarter-end. They are historical association diagnostics, not an event-day real-time forecast.</w:t>
      </w:r>
    </w:p>
    <w:p>
      <w:pPr>
        <w:keepNext/>
      </w:pPr>
      <w:r>
        <w:drawing>
          <wp:inline xmlns:a="http://schemas.openxmlformats.org/drawingml/2006/main" xmlns:pic="http://schemas.openxmlformats.org/drawingml/2006/picture">
            <wp:extent cx="6080760" cy="2128266"/>
            <wp:docPr id="1" name="Picture 1" descr="Earlier and later Spearman correlations for GSD and MBSD Treasury changes versus peak VM, and NSCC VIX versus peak VM."/>
            <wp:cNvGraphicFramePr>
              <a:graphicFrameLocks noChangeAspect="1"/>
            </wp:cNvGraphicFramePr>
            <a:graphic>
              <a:graphicData uri="http://schemas.openxmlformats.org/drawingml/2006/picture">
                <pic:pic>
                  <pic:nvPicPr>
                    <pic:cNvPr id="0" name="period_and_lag_comparison.png"/>
                    <pic:cNvPicPr/>
                  </pic:nvPicPr>
                  <pic:blipFill>
                    <a:blip r:embed="rId9"/>
                    <a:stretch>
                      <a:fillRect/>
                    </a:stretch>
                  </pic:blipFill>
                  <pic:spPr>
                    <a:xfrm>
                      <a:off x="0" y="0"/>
                      <a:ext cx="6080760" cy="2128266"/>
                    </a:xfrm>
                    <a:prstGeom prst="rect"/>
                  </pic:spPr>
                </pic:pic>
              </a:graphicData>
            </a:graphic>
          </wp:inline>
        </w:drawing>
      </w:r>
    </w:p>
    <w:p>
      <w:pPr>
        <w:spacing w:after="240"/>
      </w:pPr>
      <w:r>
        <w:rPr>
          <w:rFonts w:ascii="Arial" w:hAnsi="Arial" w:eastAsia="Arial Unicode MS"/>
          <w:b w:val="0"/>
          <w:color w:val="000000"/>
          <w:sz w:val="18"/>
        </w:rPr>
        <w:t>Figure 1 Associations by period and lag  The later sample has only six pairs</w:t>
      </w:r>
    </w:p>
    <w:p>
      <w:pPr>
        <w:pStyle w:val="Heading2"/>
        <w:pageBreakBefore/>
      </w:pPr>
      <w:r>
        <w:rPr>
          <w:rFonts w:ascii="Arial" w:hAnsi="Arial" w:eastAsia="Arial Unicode MS"/>
          <w:b/>
          <w:color w:val="000000"/>
          <w:sz w:val="24"/>
        </w:rPr>
        <w:t>Complete statistics for displayed cases</w:t>
      </w:r>
    </w:p>
    <w:p>
      <w:r>
        <w:rPr>
          <w:rFonts w:ascii="Arial" w:hAnsi="Arial" w:eastAsia="Arial Unicode MS"/>
          <w:b w:val="0"/>
          <w:color w:val="000000"/>
          <w:sz w:val="19"/>
        </w:rPr>
        <w:t>A  GSD  10Y absolute daily yield change → IM quarter-on-quarter growth</w:t>
        <w:br/>
        <w:t>B  GSD  10Y absolute daily yield change → IM call / quarter-end IM</w:t>
        <w:br/>
        <w:t>C  GSD  10Y absolute daily yield change → Peak daily VM</w:t>
        <w:br/>
        <w:t>D  MBSD  10Y absolute daily yield change → Peak daily VM</w:t>
        <w:br/>
        <w:t>E  NSCC  VIX → Peak daily VM</w:t>
        <w:br/>
        <w:t>F  GSD  Adjusted SOFR−EFFR → Peak / average VM</w:t>
      </w:r>
    </w:p>
    <w:tbl>
      <w:tblPr>
        <w:tblW w:type="auto" w:w="0"/>
        <w:jc w:val="center"/>
        <w:tblLayout w:type="fixed"/>
        <w:tblLook w:firstColumn="1" w:firstRow="1" w:lastColumn="0" w:lastRow="0" w:noHBand="0" w:noVBand="1" w:val="04A0"/>
      </w:tblPr>
      <w:tblGrid>
        <w:gridCol w:w="691"/>
        <w:gridCol w:w="691"/>
        <w:gridCol w:w="504"/>
        <w:gridCol w:w="893"/>
        <w:gridCol w:w="893"/>
        <w:gridCol w:w="2275"/>
        <w:gridCol w:w="1526"/>
        <w:gridCol w:w="1555"/>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pPr>
            <w:r>
              <w:rPr>
                <w:rFonts w:ascii="Arial" w:hAnsi="Arial" w:eastAsia="Arial Unicode MS"/>
                <w:b/>
                <w:color w:val="000000"/>
                <w:sz w:val="18"/>
              </w:rPr>
              <w:t>Case</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jc w:val="right"/>
            </w:pPr>
            <w:r>
              <w:rPr>
                <w:rFonts w:ascii="Arial" w:hAnsi="Arial" w:eastAsia="Arial Unicode MS"/>
                <w:b/>
                <w:color w:val="000000"/>
                <w:sz w:val="18"/>
              </w:rPr>
              <w:t>Lag</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jc w:val="right"/>
            </w:pPr>
            <w:r>
              <w:rPr>
                <w:rFonts w:ascii="Arial" w:hAnsi="Arial" w:eastAsia="Arial Unicode MS"/>
                <w:b/>
                <w:color w:val="000000"/>
                <w:sz w:val="18"/>
              </w:rPr>
              <w:t>n</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jc w:val="right"/>
            </w:pPr>
            <w:r>
              <w:rPr>
                <w:rFonts w:ascii="Arial" w:hAnsi="Arial" w:eastAsia="Arial Unicode MS"/>
                <w:b/>
                <w:color w:val="000000"/>
                <w:sz w:val="18"/>
              </w:rPr>
              <w:t>rho</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jc w:val="right"/>
            </w:pPr>
            <w:r>
              <w:rPr>
                <w:rFonts w:ascii="Arial" w:hAnsi="Arial" w:eastAsia="Arial Unicode MS"/>
                <w:b/>
                <w:color w:val="000000"/>
                <w:sz w:val="18"/>
              </w:rPr>
              <w:t>BH q</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pPr>
            <w:r>
              <w:rPr>
                <w:rFonts w:ascii="Arial" w:hAnsi="Arial" w:eastAsia="Arial Unicode MS"/>
                <w:b/>
                <w:color w:val="000000"/>
                <w:sz w:val="18"/>
              </w:rPr>
              <w:t>95% interval</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jc w:val="right"/>
            </w:pPr>
            <w:r>
              <w:rPr>
                <w:rFonts w:ascii="Arial" w:hAnsi="Arial" w:eastAsia="Arial Unicode MS"/>
                <w:b/>
                <w:color w:val="000000"/>
                <w:sz w:val="18"/>
              </w:rPr>
              <w:t>Earlier rho</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shd w:fill="E8EDF1"/>
          </w:tcPr>
          <w:p>
            <w:pPr>
              <w:spacing w:before="0" w:after="0" w:line="269" w:lineRule="auto"/>
              <w:jc w:val="right"/>
            </w:pPr>
            <w:r>
              <w:rPr>
                <w:rFonts w:ascii="Arial" w:hAnsi="Arial" w:eastAsia="Arial Unicode MS"/>
                <w:b/>
                <w:color w:val="000000"/>
                <w:sz w:val="18"/>
              </w:rPr>
              <w:t>Later rho</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A</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22</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0.408</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0.172</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0.010 to 0.766</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0.441</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-0.147</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A</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1</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22</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0.464</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0.109</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-0.107 to 0.712</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0.549</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0.058</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B</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-0.274</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0.375</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-0.598 to 0.198</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-0.393</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0.294</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B</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1</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-0.307</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0.313</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-0.515 to 0.354</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-0.340</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-0.116</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C</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-0.179</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0.597</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-0.777 to 0.510</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0.311</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0.265</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C</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1</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-0.013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0.977</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-0.722 to 0.551</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0.410</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0.377</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D</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0.200</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0.547</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-0.313 to 0.693</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0.053</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0.736</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D</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1</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-0.200</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0.547</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-0.610 to 0.286</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-0.382</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-0.638</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E</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0.326</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0.280</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-0.114 to 0.776</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0.512</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-0.029</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E</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1</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0.408</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0.160</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0.053 to 0.701</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0.600</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-0.143</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F</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-0.329</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0.275</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-0.612 to 0.207</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-0.332</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0.429</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F</w:t>
            </w:r>
          </w:p>
        </w:tc>
        <w:tc>
          <w:tcPr>
            <w:tcW w:type="dxa" w:w="691"/>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1</w:t>
            </w:r>
          </w:p>
        </w:tc>
        <w:tc>
          <w:tcPr>
            <w:tcW w:type="dxa" w:w="504"/>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23</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-0.521</w:t>
            </w:r>
          </w:p>
        </w:tc>
        <w:tc>
          <w:tcPr>
            <w:tcW w:type="dxa" w:w="893"/>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0.057</w:t>
            </w:r>
          </w:p>
        </w:tc>
        <w:tc>
          <w:tcPr>
            <w:tcW w:type="dxa" w:w="227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pPr>
            <w:r>
              <w:rPr>
                <w:rFonts w:ascii="Arial" w:hAnsi="Arial" w:eastAsia="Arial Unicode MS"/>
                <w:b w:val="0"/>
                <w:color w:val="000000"/>
                <w:sz w:val="18"/>
              </w:rPr>
              <w:t>-0.882 to 0.091</w:t>
            </w:r>
          </w:p>
        </w:tc>
        <w:tc>
          <w:tcPr>
            <w:tcW w:type="dxa" w:w="1526"/>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-0.376</w:t>
            </w:r>
          </w:p>
        </w:tc>
        <w:tc>
          <w:tcPr>
            <w:tcW w:type="dxa" w:w="1555"/>
            <w:vAlign w:val="center"/>
            <w:tcBorders>
              <w:top w:val="single" w:sz="4" w:color="D9D9D9"/>
              <w:left w:val="single" w:sz="4" w:color="D9D9D9"/>
              <w:bottom w:val="single" w:sz="4" w:color="D9D9D9"/>
              <w:right w:val="single" w:sz="4" w:color="D9D9D9"/>
            </w:tcBorders>
            <w:tcMar>
              <w:top w:w="85" w:type="dxa"/>
              <w:left w:w="95" w:type="dxa"/>
              <w:bottom w:w="85" w:type="dxa"/>
              <w:right w:w="95" w:type="dxa"/>
            </w:tcMar>
          </w:tcPr>
          <w:p>
            <w:pPr>
              <w:spacing w:before="0" w:after="0" w:line="269" w:lineRule="auto"/>
              <w:jc w:val="right"/>
            </w:pPr>
            <w:r>
              <w:rPr>
                <w:rFonts w:ascii="Arial" w:hAnsi="Arial" w:eastAsia="Arial Unicode MS"/>
                <w:b w:val="0"/>
                <w:color w:val="000000"/>
                <w:sz w:val="18"/>
              </w:rPr>
              <w:t>-0.771</w:t>
            </w:r>
          </w:p>
        </w:tc>
      </w:tr>
    </w:tbl>
    <w:p>
      <w:pPr>
        <w:spacing w:after="20"/>
      </w:pPr>
    </w:p>
    <w:p>
      <w:r>
        <w:rPr>
          <w:rFonts w:ascii="Arial" w:hAnsi="Arial" w:eastAsia="Arial Unicode MS"/>
          <w:b w:val="0"/>
          <w:color w:val="000000"/>
          <w:sz w:val="18"/>
        </w:rPr>
        <w:t>Lag 0 is same-quarter; lag 1 is next-quarter. Intervals use the full-sample four-quarter moving-block bootstrap. Earlier target quarters end in 2024Q4; later targets are 2025Q1–2026Q2. q-values adjust the full family of 294 comparisons.</w:t>
      </w:r>
    </w:p>
    <w:p>
      <w:r>
        <w:br w:type="page"/>
      </w:r>
    </w:p>
    <w:p>
      <w:pPr>
        <w:pStyle w:val="Heading1"/>
      </w:pPr>
      <w:r>
        <w:rPr>
          <w:rFonts w:ascii="Arial" w:hAnsi="Arial" w:eastAsia="Arial Unicode MS"/>
          <w:b/>
          <w:color w:val="000000"/>
          <w:sz w:val="30"/>
        </w:rPr>
        <w:t>Validation method and evidence limits</w:t>
      </w:r>
    </w:p>
    <w:p>
      <w:r>
        <w:rPr>
          <w:rFonts w:ascii="Arial" w:hAnsi="Arial" w:eastAsia="Arial Unicode MS"/>
          <w:b w:val="0"/>
          <w:color w:val="000000"/>
          <w:sz w:val="21"/>
        </w:rPr>
        <w:t>Four of the original seven candidates passed the original event screen. This extension does not change that finding or establish that every candidate has passed both tests. Reuse the original seven daily transformations and quarterly maxima; do not change the original event windows or alarm thresholds. Compare seven external indicators with seven response formulations and two lags separately for GSD, MBSD and NSCC. Apply BH to all 294 ordinary Spearman p-values within each sample. Displayed q-values come from the complete comparison family, not just the displayed cases.</w:t>
      </w:r>
    </w:p>
    <w:p>
      <w:r>
        <w:rPr>
          <w:rFonts w:ascii="Arial" w:hAnsi="Arial" w:eastAsia="Arial Unicode MS"/>
          <w:b w:val="0"/>
          <w:color w:val="000000"/>
          <w:sz w:val="21"/>
        </w:rPr>
        <w:t>For at least twelve pairs with adequate distinct values, use moving blocks of four consecutive calendar quarters, 2000 replicates and a 95% interval. The later six-quarter sample is descriptive and does not meet this threshold. Calendar-aligned first differences help examine nominal-value trends, but do not substitute for controls for exposures and model changes.</w:t>
      </w:r>
    </w:p>
    <w:p>
      <w:r>
        <w:rPr>
          <w:rFonts w:ascii="Arial" w:hAnsi="Arial" w:eastAsia="Arial Unicode MS"/>
          <w:b w:val="0"/>
          <w:color w:val="000000"/>
          <w:sz w:val="21"/>
        </w:rPr>
        <w:t>Ratio components may be measured on different days: the quarter peak call divided by quarter-end IM is approximate scaling. Peak/average VM measures concentration of peak payments; average VM can also rise during sustained quarterly stress. Retain raw amounts alongside ratios and never replace missing observations with zero.</w:t>
      </w:r>
    </w:p>
    <w:p>
      <w:r>
        <w:rPr>
          <w:rFonts w:ascii="Arial" w:hAnsi="Arial" w:eastAsia="Arial Unicode MS"/>
          <w:b w:val="0"/>
          <w:color w:val="000000"/>
          <w:sz w:val="21"/>
        </w:rPr>
        <w:t>Business scale, membership composition and margin-model changes remain uncontrolled. Quarterly aggregates cannot locate the event day; trailing-twelve-month stress outcomes overlap. Correlations describe co-movement, not causality, and do not validate the external-shock-times-vulnerability structure.</w:t>
      </w:r>
    </w:p>
    <w:p>
      <w:pPr>
        <w:keepNext/>
      </w:pPr>
      <w:r>
        <w:drawing>
          <wp:inline xmlns:a="http://schemas.openxmlformats.org/drawingml/2006/main" xmlns:pic="http://schemas.openxmlformats.org/drawingml/2006/picture">
            <wp:extent cx="6080760" cy="3436951"/>
            <wp:docPr id="2" name="Picture 2" descr="Six predefined same-quarter correlations with four-quarter block-bootstrap confidence intervals; wide intervals and mixed signs show uncertainty."/>
            <wp:cNvGraphicFramePr>
              <a:graphicFrameLocks noChangeAspect="1"/>
            </wp:cNvGraphicFramePr>
            <a:graphic>
              <a:graphicData uri="http://schemas.openxmlformats.org/drawingml/2006/picture">
                <pic:pic>
                  <pic:nvPicPr>
                    <pic:cNvPr id="0" name="same_quarter_cases.png"/>
                    <pic:cNvPicPr/>
                  </pic:nvPicPr>
                  <pic:blipFill>
                    <a:blip r:embed="rId10"/>
                    <a:stretch>
                      <a:fillRect/>
                    </a:stretch>
                  </pic:blipFill>
                  <pic:spPr>
                    <a:xfrm>
                      <a:off x="0" y="0"/>
                      <a:ext cx="6080760" cy="3436951"/>
                    </a:xfrm>
                    <a:prstGeom prst="rect"/>
                  </pic:spPr>
                </pic:pic>
              </a:graphicData>
            </a:graphic>
          </wp:inline>
        </w:drawing>
      </w:r>
    </w:p>
    <w:p>
      <w:pPr>
        <w:spacing w:after="240"/>
      </w:pPr>
      <w:r>
        <w:rPr>
          <w:rFonts w:ascii="Arial" w:hAnsi="Arial" w:eastAsia="Arial Unicode MS"/>
          <w:b w:val="0"/>
          <w:color w:val="000000"/>
          <w:sz w:val="18"/>
        </w:rPr>
        <w:t>Figure 2 Full-sample same-quarter associations and 95% intervals  The dashed line marks the original 0.3 directional threshold  It does not establish causality or validation</w:t>
      </w:r>
    </w:p>
    <w:p>
      <w:pPr>
        <w:pStyle w:val="Heading1"/>
      </w:pPr>
      <w:r>
        <w:rPr>
          <w:rFonts w:ascii="Arial" w:hAnsi="Arial" w:eastAsia="Arial Unicode MS"/>
          <w:b/>
          <w:color w:val="000000"/>
          <w:sz w:val="30"/>
        </w:rPr>
        <w:t>Data priorities and implementation</w:t>
      </w:r>
    </w:p>
    <w:p>
      <w:r>
        <w:rPr>
          <w:rFonts w:ascii="Arial" w:hAnsi="Arial" w:eastAsia="Arial Unicode MS"/>
          <w:b w:val="0"/>
          <w:color w:val="000000"/>
          <w:sz w:val="21"/>
        </w:rPr>
        <w:t>Freeze the definitions and complete results, then collect new evidence that has not contributed to this interpretation. The already-viewed 2025Q1–2026Q2 period cannot be relabeled an independent final test set.</w:t>
      </w:r>
    </w:p>
    <w:p>
      <w:r>
        <w:rPr>
          <w:rFonts w:ascii="Arial" w:hAnsi="Arial" w:eastAsia="Arial Unicode MS"/>
          <w:b w:val="0"/>
          <w:color w:val="000000"/>
          <w:sz w:val="21"/>
        </w:rPr>
        <w:t>Prioritize 2019 and early-2020 PQD, original historical versions and verified first-release dates. Seek daily margin requirements, calls, VM payments, available liquidity and coverage breaches. Earlier public files can be searched; any project-team data request should clearly specify public or otherwise approved data scope.</w:t>
      </w:r>
    </w:p>
    <w:p>
      <w:r>
        <w:rPr>
          <w:rFonts w:ascii="Arial" w:hAnsi="Arial" w:eastAsia="Arial Unicode MS"/>
          <w:b w:val="0"/>
          <w:color w:val="000000"/>
          <w:sz w:val="21"/>
        </w:rPr>
        <w:t>For FICC, keep GSD Treasury/repo exposures separate from MBSD MBS spreads and duration/convexity conditions. For ECS, preserve the distinction between NSCC clearing and DTC settlement evidence. Complete MOVE histories and dedicated MBS data remain gaps. This report does not establish DAS or operational-risk scoring.</w:t>
      </w:r>
    </w:p>
    <w:p>
      <w:r>
        <w:rPr>
          <w:rFonts w:ascii="Arial" w:hAnsi="Arial" w:eastAsia="Arial Unicode MS"/>
          <w:b w:val="0"/>
          <w:color w:val="000000"/>
          <w:sz w:val="21"/>
        </w:rPr>
        <w:t>Use event cards initially: event, business, channel, external indicator change, vulnerability available at that time, and evidence strength. Automated weights, a common 0–100 scale and business-loss forecasts require more stable validation.</w:t>
      </w:r>
    </w:p>
    <w:p>
      <w:pPr>
        <w:pStyle w:val="Heading1"/>
      </w:pPr>
      <w:r>
        <w:rPr>
          <w:rFonts w:ascii="Arial" w:hAnsi="Arial" w:eastAsia="Arial Unicode MS"/>
          <w:b/>
          <w:color w:val="000000"/>
          <w:sz w:val="30"/>
        </w:rPr>
        <w:t>Sources and reproducibility</w:t>
      </w:r>
    </w:p>
    <w:p>
      <w:r>
        <w:rPr>
          <w:rFonts w:ascii="Arial" w:hAnsi="Arial" w:eastAsia="Arial Unicode MS"/>
          <w:b w:val="0"/>
          <w:color w:val="000000"/>
          <w:sz w:val="21"/>
        </w:rPr>
        <w:t>The observation cutoff is 2026Q2 and the report date is October 6, 2026. Original market and PQD files were collected on October 5–6. This extension reuses frozen files and extracts additional fields; it does not add earlier PQD quarters.</w:t>
      </w:r>
    </w:p>
    <w:p>
      <w:r>
        <w:rPr>
          <w:rFonts w:ascii="Arial" w:hAnsi="Arial" w:eastAsia="Arial Unicode MS"/>
          <w:b w:val="0"/>
          <w:color w:val="000000"/>
          <w:sz w:val="21"/>
        </w:rPr>
        <w:t>The PQD inputs are 22 XLSX files and the official 2024Q4 PDF, covering 2020Q4–2026Q2. New 2024Q4 values come from page 13, with USD MM multiplied by 1000000 to obtain USD. Raw values, cells or pages, download URLs and SHA256 hashes are retained in response_cell_evidence.csv and source_manifest.json.</w:t>
      </w:r>
    </w:p>
    <w:p>
      <w:r>
        <w:rPr>
          <w:rFonts w:ascii="Arial" w:hAnsi="Arial" w:eastAsia="Arial Unicode MS"/>
          <w:b w:val="0"/>
          <w:color w:val="000000"/>
          <w:sz w:val="21"/>
        </w:rPr>
        <w:t>Definitions are checked against the CPMI–IOSCO public quantitative disclosure standards and DTCC quarterly explanatory notes. Validation principles follow the project Quant-tech material on out-of-sample evaluation and overfitting. The separate extension directory retains the plan, 207 field-evidence records, a 69-row quarterly panel, paired observations and all 882 statistical records.</w:t>
      </w:r>
    </w:p>
    <w:p>
      <w:pPr>
        <w:spacing w:after="100"/>
      </w:pPr>
      <w:hyperlink r:id="rId11">
        <w:r>
          <w:rPr>
            <w:color w:val="145E75"/>
            <w:sz w:val="19"/>
          </w:rPr>
          <w:t>DTCC quantitative disclosure directory</w:t>
        </w:r>
      </w:hyperlink>
    </w:p>
    <w:p>
      <w:pPr>
        <w:spacing w:after="100"/>
      </w:pPr>
      <w:hyperlink r:id="rId12">
        <w:r>
          <w:rPr>
            <w:color w:val="145E75"/>
            <w:sz w:val="19"/>
          </w:rPr>
          <w:t>CPMI–IOSCO disclosure standards February 2015</w:t>
        </w:r>
      </w:hyperlink>
    </w:p>
    <w:p>
      <w:pPr>
        <w:spacing w:after="100"/>
      </w:pPr>
      <w:hyperlink r:id="rId13">
        <w:r>
          <w:rPr>
            <w:color w:val="145E75"/>
            <w:sz w:val="19"/>
          </w:rPr>
          <w:t>FRED SOFR</w:t>
        </w:r>
      </w:hyperlink>
    </w:p>
    <w:p>
      <w:pPr>
        <w:spacing w:after="100"/>
      </w:pPr>
      <w:hyperlink r:id="rId14">
        <w:r>
          <w:rPr>
            <w:color w:val="145E75"/>
            <w:sz w:val="19"/>
          </w:rPr>
          <w:t>FRED EFFR</w:t>
        </w:r>
      </w:hyperlink>
    </w:p>
    <w:p>
      <w:pPr>
        <w:spacing w:after="100"/>
      </w:pPr>
      <w:hyperlink r:id="rId15">
        <w:r>
          <w:rPr>
            <w:color w:val="145E75"/>
            <w:sz w:val="19"/>
          </w:rPr>
          <w:t>FRED Treasury yield</w:t>
        </w:r>
      </w:hyperlink>
    </w:p>
    <w:p>
      <w:pPr>
        <w:spacing w:after="100"/>
      </w:pPr>
      <w:hyperlink r:id="rId16">
        <w:r>
          <w:rPr>
            <w:color w:val="145E75"/>
            <w:sz w:val="19"/>
          </w:rPr>
          <w:t>FRED VIX</w:t>
        </w:r>
      </w:hyperlink>
    </w:p>
    <w:p>
      <w:pPr>
        <w:spacing w:after="100"/>
      </w:pPr>
      <w:hyperlink r:id="rId17">
        <w:r>
          <w:rPr>
            <w:color w:val="145E75"/>
            <w:sz w:val="19"/>
          </w:rPr>
          <w:t>FRED Baa spread</w:t>
        </w:r>
      </w:hyperlink>
    </w:p>
    <w:p>
      <w:pPr>
        <w:pStyle w:val="Heading2"/>
      </w:pPr>
      <w:r>
        <w:rPr>
          <w:rFonts w:ascii="Arial" w:hAnsi="Arial" w:eastAsia="Arial Unicode MS"/>
          <w:b/>
          <w:color w:val="000000"/>
          <w:sz w:val="24"/>
        </w:rPr>
        <w:t>Reproducible files</w:t>
      </w:r>
    </w:p>
    <w:p>
      <w:r>
        <w:rPr>
          <w:rFonts w:ascii="Arial" w:hAnsi="Arial" w:eastAsia="Arial Unicode MS"/>
          <w:b w:val="0"/>
          <w:color w:val="000000"/>
          <w:sz w:val="18"/>
        </w:rPr>
        <w:t>Analysis script src/analyze_responses.py</w:t>
        <w:br/>
        <w:t>Raw field evidence data/response_cell_evidence.csv</w:t>
        <w:br/>
        <w:t>Complete results results/response_correlations.csv</w:t>
        <w:br/>
        <w:t>Source manifest source_manifest.json</w:t>
      </w:r>
    </w:p>
    <w:sectPr w:rsidR="00FC693F" w:rsidRPr="0006063C" w:rsidSect="00034616">
      <w:footerReference w:type="default" r:id="rId18"/>
      <w:pgSz w:w="11909" w:h="16834"/>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Unicode MS"/>
        <w:b w:val="0"/>
        <w:color w:val="000000"/>
        <w:sz w:val="16"/>
      </w:rPr>
      <w:t xml:space="preserve">Capstone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Arial" w:hAnsi="Arial"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dtcc.com/legal/policy-and-compliance" TargetMode="External"/><Relationship Id="rId12" Type="http://schemas.openxmlformats.org/officeDocument/2006/relationships/hyperlink" Target="https://www.bis.org/publications/public-quantitative-disclosure-standards-central-counterparties.pdf" TargetMode="External"/><Relationship Id="rId13" Type="http://schemas.openxmlformats.org/officeDocument/2006/relationships/hyperlink" Target="https://fred.stlouisfed.org/series/SOFR" TargetMode="External"/><Relationship Id="rId14" Type="http://schemas.openxmlformats.org/officeDocument/2006/relationships/hyperlink" Target="https://fred.stlouisfed.org/series/EFFR" TargetMode="External"/><Relationship Id="rId15" Type="http://schemas.openxmlformats.org/officeDocument/2006/relationships/hyperlink" Target="https://fred.stlouisfed.org/series/DGS10" TargetMode="External"/><Relationship Id="rId16" Type="http://schemas.openxmlformats.org/officeDocument/2006/relationships/hyperlink" Target="https://fred.stlouisfed.org/series/VIXCLS" TargetMode="External"/><Relationship Id="rId17" Type="http://schemas.openxmlformats.org/officeDocument/2006/relationships/hyperlink" Target="https://fred.stlouisfed.org/series/BAA10Y"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responses and risk buffers need separate tests</dc:title>
  <dc:subject>FICC and ECS feedback review and supplemental association analysis</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