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rPr>
          <w:rFonts w:ascii="Calibri" w:hAnsi="Calibri" w:eastAsia="Hiragino Sans GB"/>
          <w:color w:val="000000"/>
        </w:rPr>
        <w:t>FICC 与 ECS 传导链修订版</w:t>
      </w:r>
    </w:p>
    <w:p>
      <w:r>
        <w:rPr>
          <w:rFonts w:ascii="Calibri" w:hAnsi="Calibri" w:eastAsia="Hiragino Sans GB"/>
          <w:color w:val="000000"/>
        </w:rPr>
        <w:t>2026 年 10 月 21 日  版本 v2</w:t>
      </w:r>
    </w:p>
    <w:p>
      <w:r>
        <w:rPr>
          <w:rFonts w:ascii="Calibri" w:hAnsi="Calibri" w:eastAsia="Hiragino Sans GB"/>
          <w:color w:val="000000"/>
        </w:rPr>
        <w:t>本版把原有 FICC 和 ECS 传导链与 DTCC 提供的三步示例对齐：相似链采用示例机制，有冲突的表述以示例为准，不冲突的独立机制保留为团队扩展。原有 22 条均可追溯，没有因为检验未通过而删除。</w:t>
      </w:r>
    </w:p>
    <w:p>
      <w:r>
        <w:rPr>
          <w:rFonts w:ascii="Calibri" w:hAnsi="Calibri" w:eastAsia="Hiragino Sans GB"/>
          <w:color w:val="000000"/>
        </w:rPr>
        <w:t>修订后为 25 条路线，其中 14 条沿用示例编号，11 条使用 TEAM 编号。两条制度变更链合并，四处宽泛假设按事件阶段或机构角色拆分。TEAM 编号表示团队扩展，不代表 DTCC 已确认该假设。</w:t>
      </w:r>
    </w:p>
    <w:p>
      <w:r>
        <w:rPr>
          <w:rFonts w:ascii="Calibri" w:hAnsi="Calibri" w:eastAsia="Hiragino Sans GB"/>
          <w:color w:val="000000"/>
        </w:rPr>
        <w:t>链的正文只回答外部事件、传导机制和具体流程。市场指标是监测线索，检验结果是另一个证据层，均不直接证明某条新闻已造成业务损失。</w:t>
      </w:r>
    </w:p>
    <w:p>
      <w:r>
        <w:rPr>
          <w:rFonts w:ascii="Calibri" w:hAnsi="Calibri" w:eastAsia="Hiragino Sans GB"/>
          <w:color w:val="000000"/>
        </w:rPr>
        <w:t>框架继续使用外部冲击 S 与内部脆弱度 V 的乘积，不新增 E。业务相关性在链匹配时确认；V 缺失保留缺失。本文于 2026 年 10 月 21 日修订，统计证据沿用 10 月 16 日快照，未新增采集或重跑模型。</w:t>
      </w:r>
    </w:p>
    <w:p>
      <w:pPr>
        <w:pStyle w:val="Heading2"/>
      </w:pPr>
      <w:r>
        <w:rPr>
          <w:rFonts w:ascii="Calibri" w:hAnsi="Calibri" w:eastAsia="Hiragino Sans GB"/>
          <w:color w:val="000000"/>
        </w:rPr>
        <w:t>修订规则</w:t>
      </w:r>
    </w:p>
    <w:p>
      <w:r>
        <w:rPr>
          <w:rFonts w:ascii="Calibri" w:hAnsi="Calibri" w:eastAsia="Hiragino Sans GB"/>
          <w:b/>
          <w:color w:val="000000"/>
        </w:rPr>
        <w:t xml:space="preserve">同一流程的展示  </w:t>
      </w:r>
      <w:r>
        <w:rPr>
          <w:rFonts w:ascii="Calibri" w:hAnsi="Calibri" w:eastAsia="Hiragino Sans GB"/>
          <w:color w:val="000000"/>
        </w:rPr>
        <w:t>ECS-NSCC-01 与 ECS-NSCC-02 按示例放在同一张 NSCC 变动保证金与流动性卡中，保留价格和融资两条路线。原 IM 追缴与回测链仍独立保留，不与 VM 混为同一指标。</w:t>
      </w:r>
    </w:p>
    <w:p>
      <w:r>
        <w:rPr>
          <w:rFonts w:ascii="Calibri" w:hAnsi="Calibri" w:eastAsia="Hiragino Sans GB"/>
          <w:b/>
          <w:color w:val="000000"/>
        </w:rPr>
        <w:t xml:space="preserve">相同编号不代表相同机制  </w:t>
      </w:r>
      <w:r>
        <w:rPr>
          <w:rFonts w:ascii="Calibri" w:hAnsi="Calibri" w:eastAsia="Hiragino Sans GB"/>
          <w:color w:val="000000"/>
        </w:rPr>
        <w:t>新 GSD-05 为 GCF 履约，新 GSD-06 为实际违约，新 MBSD-02 为池交付，新 NSCC-04 为集中头寸，新 NSCC-05 为补充流动性存款，新 DTC-01 为 MMI 确认，新 DTC-03 为市场中断，新 DTC-04 为加拿大链接。旧结果只能通过下表映射，不得按编号直接关联。</w:t>
      </w:r>
    </w:p>
    <w:p>
      <w:r>
        <w:rPr>
          <w:rFonts w:ascii="Calibri" w:hAnsi="Calibri" w:eastAsia="Hiragino Sans GB"/>
          <w:b/>
          <w:color w:val="000000"/>
        </w:rPr>
        <w:t xml:space="preserve">不冲突的扩展保留  </w:t>
      </w:r>
      <w:r>
        <w:rPr>
          <w:rFonts w:ascii="Calibri" w:hAnsi="Calibri" w:eastAsia="Hiragino Sans GB"/>
          <w:color w:val="000000"/>
        </w:rPr>
        <w:t>竞争、GSE 改革、会员运营、IM 追缴、回测覆盖、容量、违约前信用、高峰日、供应商、新券发行及 DTC 自身系统中断均保留。更具体的示例不自动否定这些不同机制。</w:t>
      </w:r>
    </w:p>
    <w:p>
      <w:pPr>
        <w:pStyle w:val="Heading1"/>
      </w:pPr>
      <w:r>
        <w:rPr>
          <w:rFonts w:ascii="Calibri" w:hAnsi="Calibri" w:eastAsia="Hiragino Sans GB"/>
          <w:color w:val="000000"/>
        </w:rPr>
        <w:t>FICC 修订链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vAlign w:val="center"/>
            <w:shd w:fill="F2F2F2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/>
                <w:color w:val="000000"/>
                <w:sz w:val="22"/>
              </w:rPr>
              <w:t>编号</w:t>
            </w:r>
          </w:p>
        </w:tc>
        <w:tc>
          <w:tcPr>
            <w:tcW w:type="dxa" w:w="2340"/>
            <w:vAlign w:val="center"/>
            <w:shd w:fill="F2F2F2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/>
                <w:color w:val="000000"/>
                <w:sz w:val="22"/>
              </w:rPr>
              <w:t>外部事件</w:t>
            </w:r>
          </w:p>
        </w:tc>
        <w:tc>
          <w:tcPr>
            <w:tcW w:type="dxa" w:w="2340"/>
            <w:vAlign w:val="center"/>
            <w:shd w:fill="F2F2F2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/>
                <w:color w:val="000000"/>
                <w:sz w:val="22"/>
              </w:rPr>
              <w:t>机制</w:t>
            </w:r>
          </w:p>
        </w:tc>
        <w:tc>
          <w:tcPr>
            <w:tcW w:type="dxa" w:w="2340"/>
            <w:vAlign w:val="center"/>
            <w:shd w:fill="F2F2F2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/>
                <w:color w:val="000000"/>
                <w:sz w:val="22"/>
              </w:rPr>
              <w:t>具体 DTCC 流程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FICC-GSD-01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国债抛售或收益率剧烈波动。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会员已清算头寸的价格变动加大，改变其所需保证金。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GSD 保证金要求。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FICC-GSD-02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回购利率飙升或短期融资收紧。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会员融资成本上升，每日结算支付更难筹集资金。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GSD 结算支付和流动性。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FICC-GSD-03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国债集中清算合规节点临近、延期或调整。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机构为满足规则接入清算，包括通过 Sponsored 模式接入，改变接入工作量和业务量。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GSD 客户接入和 Sponsored 业务量。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FICC-GSD-04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银行或交易商会员被降级、出现亏损或信用恶化，尚未确认违约。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会员违约风险上升，增加风险监测和违约管理准备需求；实际违约另归 GSD-06。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FICC 会员信用监测及违约管理准备。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FICC-GSD-06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GSD 清算会员实际违约或 FICC 宣布停止为其提供服务。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FICC 按违约程序动用违约会员资源；剩余缺口才按损失分摊规则处理，可能涉及存续会员清算基金。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GSD 损失分摊与清算基金互助机制。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FICC-MBSD-01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房贷利率骤变或 MBS 利差扩大。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TBA 价格波动改变会员头寸的盯市价值，带动变动保证金和保证金要求变化。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MBSD 保证金及变动保证金。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FICC-GSD-08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承担 GSD 结算职能的清算银行出现运营或信用问题。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经该银行完成的证券交收与 Fedwire 付款无法按时衔接，使对应 GSD 结算受阻。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GSD 经清算银行进行的证券结算。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TEAM-FICC-01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CME、ICE 等竞争对手推出国债清算服务、功能或客户接入。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同一客户群可选择其他服务；只有客户迁移或可比业务量证据才能判断 FICC 份额变化。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GSD 新增业务获取与竞争地位。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TEAM-FICC-02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GSD 会员或其供应商发生网络攻击或系统故障。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若故障确实影响该会员的 GSD 连接、提交或履约能力，交易提交或结算可能延迟。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GSD 会员交易提交及结算；银行结算通道问题另归 GSD-08。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TEAM-FICC-03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GSE 托管、私有化或机构 MBS 担保安排出现实质变化。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担保预期或交易约定变化可能改变机构 MBS 定价和 TBA 活动，进而影响 MBSD 清算及风险参数。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MBSD TBA 清算活动及相关风险参数。</w:t>
            </w:r>
          </w:p>
        </w:tc>
      </w:tr>
    </w:tbl>
    <w:p>
      <w:pPr>
        <w:pStyle w:val="Heading1"/>
      </w:pPr>
      <w:r>
        <w:rPr>
          <w:rFonts w:ascii="Calibri" w:hAnsi="Calibri" w:eastAsia="Hiragino Sans GB"/>
          <w:color w:val="000000"/>
        </w:rPr>
        <w:t>ECS 修订链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vAlign w:val="center"/>
            <w:shd w:fill="F2F2F2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/>
                <w:color w:val="000000"/>
                <w:sz w:val="22"/>
              </w:rPr>
              <w:t>编号</w:t>
            </w:r>
          </w:p>
        </w:tc>
        <w:tc>
          <w:tcPr>
            <w:tcW w:type="dxa" w:w="2340"/>
            <w:vAlign w:val="center"/>
            <w:shd w:fill="F2F2F2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/>
                <w:color w:val="000000"/>
                <w:sz w:val="22"/>
              </w:rPr>
              <w:t>外部事件</w:t>
            </w:r>
          </w:p>
        </w:tc>
        <w:tc>
          <w:tcPr>
            <w:tcW w:type="dxa" w:w="2340"/>
            <w:vAlign w:val="center"/>
            <w:shd w:fill="F2F2F2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/>
                <w:color w:val="000000"/>
                <w:sz w:val="22"/>
              </w:rPr>
              <w:t>机制</w:t>
            </w:r>
          </w:p>
        </w:tc>
        <w:tc>
          <w:tcPr>
            <w:tcW w:type="dxa" w:w="2340"/>
            <w:vAlign w:val="center"/>
            <w:shd w:fill="F2F2F2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/>
                <w:color w:val="000000"/>
                <w:sz w:val="22"/>
              </w:rPr>
              <w:t>具体 DTCC 流程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ECS-NSCC-01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股市急跌或价格剧烈波动。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每日盯市现金流大幅变化，会员需要当日调动更多现金。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NSCC 变动保证金。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ECS-NSCC-02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短期融资紧张，券商筹资成本上升。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券商可用于每日付款的现金减少，变动保证金和结算付款更难筹集。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NSCC 变动保证金和流动性。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ECS-NSCC-03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市场股票成交量异常激增。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交付需求和证券可得性压力加大，可能留下更多尚未完成交收的头寸。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NSCC CNS 证券交收及未交割余额。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ECS-SET-01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结算周期缩短或交易时段延长，例如 T+1、T+0 或 24x5。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处理、确认和筹资窗口变化，迟到或手工步骤可能成为瓶颈；是否增加失败须看实际结果。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NSCC 与 DTC 结算；分别记录 CNS 和非 CNS 结果。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ECS-NSCC-06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NSCC 清算会员实际违约或 NSCC 停止为其提供服务。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NSCC 处理该会员未平仓 CNS 多空头寸，面临买入及平仓期间的市场价格风险。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NSCC 停止服务后的 CNS 平仓。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ECS-DTC-02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DTC 结算银行出现融资、信用或运营问题。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若该银行拒绝或无法通过 Fedwire 完成汇总净额支付，其所代表参与者的日终资金结算不能按时完成。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DTC 结算银行日终资金结算。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ECS-DTC-05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大型 DTC 参与者遭遇网络攻击或重大系统故障。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参与者与 DTC 的连接或指令传输受损，使其账簿划转和结算受阻，可涉及参与者系统中断处理。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DTC 参与者系统中断及相关指令处理。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TEAM-ECS-01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股市急跌或价格剧烈波动。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头寸风险重估可能改变 Clearing Fund 要求，引发追加保证金需求。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NSCC Clearing Fund 追缴；区别于每日 VM 付款。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TEAM-ECS-02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股市波动超过保证金模型覆盖预期。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部分历史头寸损失超过模型所需保证金，产生回测突破并提示覆盖偏差。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NSCC 保证金模型覆盖及回测。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TEAM-ECS-03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股票成交量异常激增。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若交易捕获和净额处理负荷接近实际容量，可能出现延迟或故障；须有独立运营证据。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NSCC 交易捕获及净额处理系统。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TEAM-ECS-04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具名券商或银行会员信用恶化，尚未确认违约。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信用风险增加可能触发会员监测或风险措施；实际违约后的 CNS 平仓另归 NSCC-06。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NSCC 会员信用监测与风险措施。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TEAM-ECS-05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三巫日、Russell 调整或 S&amp;P 指数再平衡等已知高峰日期。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活动集中到可预知日期，增加当日处理负荷；额外失败或故障需单独验证。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NSCC 高峰日交易处理和后续交收。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TEAM-ECS-06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云、网络或共享供应商发生广泛故障。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只有确认 DTC 或参与者依赖该服务、且相关连接或指令受阻，才能判断其向 DTC 传导。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DTC 依赖服务及指令处理；参与者中断与 DTC-05 关联去重。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TEAM-ECS-07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IPO 或债券发行量显著增加。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新券资格审查和首次交收需求增加；是否形成积压取决于容量与实际处理情况。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DTC 新券资格及初始交收；业务归属暂沿用 ECS。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TEAM-ECS-08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网络攻击或重大故障直接影响 DTC 自身的相关系统。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若 DTC 的指令接收、处理或连接服务确实不可用，相关参与者的账簿划转与结算可能延迟。</w:t>
            </w:r>
          </w:p>
        </w:tc>
        <w:tc>
          <w:tcPr>
            <w:tcW w:type="dxa" w:w="234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DTC 自身服务连续性；区别于 DTC-05 的参与者系统中断。</w:t>
            </w:r>
          </w:p>
        </w:tc>
      </w:tr>
    </w:tbl>
    <w:p>
      <w:pPr>
        <w:pStyle w:val="Heading1"/>
      </w:pPr>
      <w:r>
        <w:rPr>
          <w:rFonts w:ascii="Calibri" w:hAnsi="Calibri" w:eastAsia="Hiragino Sans GB"/>
          <w:color w:val="000000"/>
        </w:rPr>
        <w:t>旧链到新链的完整对照</w:t>
      </w:r>
    </w:p>
    <w:p>
      <w:r>
        <w:rPr>
          <w:rFonts w:ascii="Calibri" w:hAnsi="Calibri" w:eastAsia="Hiragino Sans GB"/>
          <w:color w:val="000000"/>
        </w:rPr>
        <w:t>旧编号仅指 2026 年 10 月 16 日结果所用的 v1 编号。新编号对应本版，不可混用。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800"/>
        <w:gridCol w:w="2304"/>
        <w:gridCol w:w="5256"/>
      </w:tblGrid>
      <w:tr>
        <w:trPr>
          <w:cantSplit/>
          <w:tblHeader/>
        </w:trPr>
        <w:tc>
          <w:tcPr>
            <w:tcW w:type="dxa" w:w="1800"/>
            <w:vAlign w:val="center"/>
            <w:shd w:fill="F2F2F2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/>
                <w:color w:val="000000"/>
                <w:sz w:val="22"/>
              </w:rPr>
              <w:t>旧 v1 编号</w:t>
            </w:r>
          </w:p>
        </w:tc>
        <w:tc>
          <w:tcPr>
            <w:tcW w:type="dxa" w:w="2304"/>
            <w:vAlign w:val="center"/>
            <w:shd w:fill="F2F2F2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/>
                <w:color w:val="000000"/>
                <w:sz w:val="22"/>
              </w:rPr>
              <w:t>v2 编号</w:t>
            </w:r>
          </w:p>
        </w:tc>
        <w:tc>
          <w:tcPr>
            <w:tcW w:type="dxa" w:w="5256"/>
            <w:vAlign w:val="center"/>
            <w:shd w:fill="F2F2F2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/>
                <w:color w:val="000000"/>
                <w:sz w:val="22"/>
              </w:rPr>
              <w:t>处理及原因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FICC-GSD-01</w:t>
            </w:r>
          </w:p>
        </w:tc>
        <w:tc>
          <w:tcPr>
            <w:tcW w:type="dxa" w:w="2304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FICC-GSD-01</w:t>
            </w:r>
          </w:p>
        </w:tc>
        <w:tc>
          <w:tcPr>
            <w:tcW w:type="dxa" w:w="5256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相似，按示例收敛到保证金；保留原检验。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FICC-GSD-02</w:t>
            </w:r>
          </w:p>
        </w:tc>
        <w:tc>
          <w:tcPr>
            <w:tcW w:type="dxa" w:w="2304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FICC-GSD-02</w:t>
            </w:r>
          </w:p>
        </w:tc>
        <w:tc>
          <w:tcPr>
            <w:tcW w:type="dxa" w:w="5256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相似，按示例写结算流动性；利差结果仅为间接代理。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FICC-GSD-03</w:t>
            </w:r>
          </w:p>
        </w:tc>
        <w:tc>
          <w:tcPr>
            <w:tcW w:type="dxa" w:w="2304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FICC-GSD-03</w:t>
            </w:r>
          </w:p>
        </w:tc>
        <w:tc>
          <w:tcPr>
            <w:tcW w:type="dxa" w:w="5256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相似，保留接入和 Sponsored；移除必然集中于少数担保会员的结论。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FICC-GSD-04</w:t>
            </w:r>
          </w:p>
        </w:tc>
        <w:tc>
          <w:tcPr>
            <w:tcW w:type="dxa" w:w="2304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FICC-GSD-04</w:t>
              <w:br/>
              <w:t>FICC-GSD-06</w:t>
            </w:r>
          </w:p>
        </w:tc>
        <w:tc>
          <w:tcPr>
            <w:tcW w:type="dxa" w:w="5256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按示例拆分信用恶化与实际违约；不再把降级直接写成共同分摊损失。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FICC-MBSD-01</w:t>
            </w:r>
          </w:p>
        </w:tc>
        <w:tc>
          <w:tcPr>
            <w:tcW w:type="dxa" w:w="2304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FICC-MBSD-01</w:t>
            </w:r>
          </w:p>
        </w:tc>
        <w:tc>
          <w:tcPr>
            <w:tcW w:type="dxa" w:w="5256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相似，按示例保留 TBA 价格到保证金；保留代理及检验限制。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FICC-GSD-05</w:t>
            </w:r>
          </w:p>
        </w:tc>
        <w:tc>
          <w:tcPr>
            <w:tcW w:type="dxa" w:w="2304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TEAM-FICC-01</w:t>
            </w:r>
          </w:p>
        </w:tc>
        <w:tc>
          <w:tcPr>
            <w:tcW w:type="dxa" w:w="5256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不同机制且不冲突，保留竞争链；新 GSD-05 专指 GCF 履约。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FICC-GSD-06</w:t>
            </w:r>
          </w:p>
        </w:tc>
        <w:tc>
          <w:tcPr>
            <w:tcW w:type="dxa" w:w="2304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FICC-GSD-08</w:t>
              <w:br/>
              <w:t>TEAM-FICC-02</w:t>
            </w:r>
          </w:p>
        </w:tc>
        <w:tc>
          <w:tcPr>
            <w:tcW w:type="dxa" w:w="5256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清算银行分支按示例 GSD-08；会员或供应商分支另保留。旧编号让给实际违约。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FICC-MBSD-02</w:t>
            </w:r>
          </w:p>
        </w:tc>
        <w:tc>
          <w:tcPr>
            <w:tcW w:type="dxa" w:w="2304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TEAM-FICC-03</w:t>
            </w:r>
          </w:p>
        </w:tc>
        <w:tc>
          <w:tcPr>
            <w:tcW w:type="dxa" w:w="5256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保留 GSE 改革；示例 MBSD-02 是池交付失败，不能按同号替换。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ECS-NSCC-01A</w:t>
            </w:r>
          </w:p>
        </w:tc>
        <w:tc>
          <w:tcPr>
            <w:tcW w:type="dxa" w:w="2304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TEAM-ECS-01</w:t>
            </w:r>
          </w:p>
        </w:tc>
        <w:tc>
          <w:tcPr>
            <w:tcW w:type="dxa" w:w="5256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IM 追缴与 VM 是不同流程，不冲突，单独保留。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ECS-NSCC-01B</w:t>
            </w:r>
          </w:p>
        </w:tc>
        <w:tc>
          <w:tcPr>
            <w:tcW w:type="dxa" w:w="2304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ECS-NSCC-01</w:t>
            </w:r>
          </w:p>
        </w:tc>
        <w:tc>
          <w:tcPr>
            <w:tcW w:type="dxa" w:w="5256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与示例股市波动到 VM 相同，采用其编号与流程。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ECS-NSCC-01C</w:t>
            </w:r>
          </w:p>
        </w:tc>
        <w:tc>
          <w:tcPr>
            <w:tcW w:type="dxa" w:w="2304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TEAM-ECS-02</w:t>
            </w:r>
          </w:p>
        </w:tc>
        <w:tc>
          <w:tcPr>
            <w:tcW w:type="dxa" w:w="5256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回测覆盖是不同流程，保留；不把突破等同实际损失。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ECS-NSCC-02A</w:t>
            </w:r>
          </w:p>
        </w:tc>
        <w:tc>
          <w:tcPr>
            <w:tcW w:type="dxa" w:w="2304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ECS-NSCC-03</w:t>
            </w:r>
          </w:p>
        </w:tc>
        <w:tc>
          <w:tcPr>
            <w:tcW w:type="dxa" w:w="5256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与示例成交量到 CNS 失败相似，改号；FTD 仍是未交割余额。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ECS-NSCC-02B</w:t>
            </w:r>
          </w:p>
        </w:tc>
        <w:tc>
          <w:tcPr>
            <w:tcW w:type="dxa" w:w="2304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TEAM-ECS-03</w:t>
            </w:r>
          </w:p>
        </w:tc>
        <w:tc>
          <w:tcPr>
            <w:tcW w:type="dxa" w:w="5256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系统容量与交割失败不同，不冲突，保留容量链。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ECS-NSCC-03A</w:t>
            </w:r>
          </w:p>
        </w:tc>
        <w:tc>
          <w:tcPr>
            <w:tcW w:type="dxa" w:w="2304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TEAM-ECS-04</w:t>
              <w:br/>
              <w:t>ECS-NSCC-06</w:t>
            </w:r>
          </w:p>
        </w:tc>
        <w:tc>
          <w:tcPr>
            <w:tcW w:type="dxa" w:w="5256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保留违约前信用链；实际违约按示例 CNS 平仓链。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ECS-NSCC-03B</w:t>
            </w:r>
          </w:p>
        </w:tc>
        <w:tc>
          <w:tcPr>
            <w:tcW w:type="dxa" w:w="2304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ECS-NSCC-02</w:t>
            </w:r>
          </w:p>
        </w:tc>
        <w:tc>
          <w:tcPr>
            <w:tcW w:type="dxa" w:w="5256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按示例定位 VM 和流动性；旧 IM 比例通过不等于新目标已通过。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ECS-NSCC-04</w:t>
            </w:r>
          </w:p>
        </w:tc>
        <w:tc>
          <w:tcPr>
            <w:tcW w:type="dxa" w:w="2304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ECS-SET-01</w:t>
            </w:r>
          </w:p>
        </w:tc>
        <w:tc>
          <w:tcPr>
            <w:tcW w:type="dxa" w:w="5256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与旧 DTC-01 合并事件链，NSCC 结果单独保留；不预设失败增加。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ECS-NSCC-05</w:t>
            </w:r>
          </w:p>
        </w:tc>
        <w:tc>
          <w:tcPr>
            <w:tcW w:type="dxa" w:w="2304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TEAM-ECS-05</w:t>
            </w:r>
          </w:p>
        </w:tc>
        <w:tc>
          <w:tcPr>
            <w:tcW w:type="dxa" w:w="5256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已知高峰日不等于示例的补充流动性存款，不冲突，保留并改号。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ECS-DTC-01</w:t>
            </w:r>
          </w:p>
        </w:tc>
        <w:tc>
          <w:tcPr>
            <w:tcW w:type="dxa" w:w="2304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ECS-SET-01</w:t>
            </w:r>
          </w:p>
        </w:tc>
        <w:tc>
          <w:tcPr>
            <w:tcW w:type="dxa" w:w="5256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并入共同制度事件链，但 DTC 非 CNS 结果不与 NSCC 混合。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ECS-DTC-02A</w:t>
            </w:r>
          </w:p>
        </w:tc>
        <w:tc>
          <w:tcPr>
            <w:tcW w:type="dxa" w:w="2304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ECS-DTC-05</w:t>
              <w:br/>
              <w:t>TEAM-ECS-08</w:t>
            </w:r>
          </w:p>
        </w:tc>
        <w:tc>
          <w:tcPr>
            <w:tcW w:type="dxa" w:w="5256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参与者分支按示例 DTC-05；DTC 自身系统分支另保留。KEV 入库不证明暴露。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ECS-DTC-02B</w:t>
            </w:r>
          </w:p>
        </w:tc>
        <w:tc>
          <w:tcPr>
            <w:tcW w:type="dxa" w:w="2304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TEAM-ECS-06</w:t>
            </w:r>
          </w:p>
        </w:tc>
        <w:tc>
          <w:tcPr>
            <w:tcW w:type="dxa" w:w="5256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供应商根因不冲突，保留；若归入同一参与者中断，仅链接一次事件。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ECS-DTC-03</w:t>
            </w:r>
          </w:p>
        </w:tc>
        <w:tc>
          <w:tcPr>
            <w:tcW w:type="dxa" w:w="2304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TEAM-ECS-07</w:t>
            </w:r>
          </w:p>
        </w:tc>
        <w:tc>
          <w:tcPr>
            <w:tcW w:type="dxa" w:w="5256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新券处理与示例的市场中断不同，不冲突，保留并改号。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ECS-DTC-04</w:t>
            </w:r>
          </w:p>
        </w:tc>
        <w:tc>
          <w:tcPr>
            <w:tcW w:type="dxa" w:w="2304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ECS-DTC-02</w:t>
            </w:r>
          </w:p>
        </w:tc>
        <w:tc>
          <w:tcPr>
            <w:tcW w:type="dxa" w:w="5256"/>
            <w:vAlign w:val="center"/>
          </w:tcPr>
          <w:p>
            <w:pPr>
              <w:keepNext w:val="0"/>
              <w:spacing w:before="0" w:after="80" w:line="259" w:lineRule="auto"/>
            </w:pPr>
            <w:r>
              <w:rPr>
                <w:rFonts w:ascii="Calibri" w:hAnsi="Calibri" w:eastAsia="Hiragino Sans GB"/>
                <w:b w:val="0"/>
                <w:color w:val="000000"/>
                <w:sz w:val="22"/>
              </w:rPr>
              <w:t>按结算银行付款链改写；删除 DTC 必须补缺口的断言，须先证实银行角色。</w:t>
            </w:r>
          </w:p>
        </w:tc>
      </w:tr>
    </w:tbl>
    <w:p>
      <w:pPr>
        <w:pStyle w:val="Heading1"/>
      </w:pPr>
      <w:r>
        <w:rPr>
          <w:rFonts w:ascii="Calibri" w:hAnsi="Calibri" w:eastAsia="Hiragino Sans GB"/>
          <w:color w:val="000000"/>
        </w:rPr>
        <w:t>已有检验如何沿用</w:t>
      </w:r>
    </w:p>
    <w:p>
      <w:pPr>
        <w:pStyle w:val="Heading2"/>
      </w:pPr>
      <w:r>
        <w:rPr>
          <w:rFonts w:ascii="Calibri" w:hAnsi="Calibri" w:eastAsia="Hiragino Sans GB"/>
          <w:color w:val="000000"/>
        </w:rPr>
        <w:t>FTD 结果可保留但不扩大解释</w:t>
      </w:r>
    </w:p>
    <w:p>
      <w:r>
        <w:rPr>
          <w:rFonts w:ascii="Calibri" w:hAnsi="Calibri" w:eastAsia="Hiragino Sans GB"/>
          <w:color w:val="000000"/>
        </w:rPr>
        <w:t>旧 NSCC-02A 对应新 NSCC-03：高量周与多 30.4 百万股未交割余额相关，HAC p=1.3e-05，n=413 周。旧卡门槛通过；这不是新增失败流量、失败率、系统容量不足或 DTCC 损失的证明。</w:t>
      </w:r>
    </w:p>
    <w:p>
      <w:pPr>
        <w:pStyle w:val="Heading2"/>
      </w:pPr>
      <w:r>
        <w:rPr>
          <w:rFonts w:ascii="Calibri" w:hAnsi="Calibri" w:eastAsia="Hiragino Sans GB"/>
          <w:color w:val="000000"/>
        </w:rPr>
        <w:t>融资链不移植旧通过标签</w:t>
      </w:r>
    </w:p>
    <w:p>
      <w:r>
        <w:rPr>
          <w:rFonts w:ascii="Calibri" w:hAnsi="Calibri" w:eastAsia="Hiragino Sans GB"/>
          <w:color w:val="000000"/>
        </w:rPr>
        <w:t>旧 NSCC-03B 的 IM 追缴比例同季度 ρ=0.454，95% 区间 [0.197, 0.680]，n=23，旧卡门槛通过；变化量 ρ=0.154，后期 ρ=0.086，BH q=0.119。新 NSCC-02 关注 VM 和流动性，因此旧结果仅作相关证据。下一季度 VM 比例约 0.711 是改结果和时滞后的探索，不能当作新链已通过。</w:t>
      </w:r>
    </w:p>
    <w:p>
      <w:pPr>
        <w:pStyle w:val="Heading2"/>
      </w:pPr>
      <w:r>
        <w:rPr>
          <w:rFonts w:ascii="Calibri" w:hAnsi="Calibri" w:eastAsia="Hiragino Sans GB"/>
          <w:color w:val="000000"/>
        </w:rPr>
        <w:t>其余完整统计保留</w:t>
      </w:r>
    </w:p>
    <w:p>
      <w:r>
        <w:rPr>
          <w:rFonts w:ascii="Calibri" w:hAnsi="Calibri" w:eastAsia="Hiragino Sans GB"/>
          <w:color w:val="000000"/>
        </w:rPr>
        <w:t>GSD-01：ρ=0.408、区间跨零；GSD-02：系数 0.021bp、p=0.976；MBSD-01：ρ=0.150、区间跨零。旧 NSCC-01A、01B、01C 的同季度 ρ 分别为 0.195、0.081、0.414，区间均跨零。原八项完整执行与两个旧卡门槛通过，仍只是旧规格结论。</w:t>
      </w:r>
    </w:p>
    <w:p>
      <w:pPr>
        <w:pStyle w:val="Heading2"/>
      </w:pPr>
      <w:r>
        <w:rPr>
          <w:rFonts w:ascii="Calibri" w:hAnsi="Calibri" w:eastAsia="Hiragino Sans GB"/>
          <w:color w:val="000000"/>
        </w:rPr>
        <w:t>案例按阶段和机构归属</w:t>
      </w:r>
    </w:p>
    <w:p>
      <w:r>
        <w:rPr>
          <w:rFonts w:ascii="Calibri" w:hAnsi="Calibri" w:eastAsia="Hiragino Sans GB"/>
          <w:color w:val="000000"/>
        </w:rPr>
        <w:t>雷曼材料保留为违约管理案例，不能证明任一被降级会员已经违约，也不证明存续会员遭受分摊损失。拆出的 GSD-06、NSCC-06 还需核对具体损失分摊或 CNS 平仓步骤。ICBC 的市场和 BNY 影响不能自动变成 GSD 或 DTC 服务中断。</w:t>
      </w:r>
    </w:p>
    <w:p>
      <w:pPr>
        <w:pStyle w:val="Heading2"/>
      </w:pPr>
      <w:r>
        <w:rPr>
          <w:rFonts w:ascii="Calibri" w:hAnsi="Calibri" w:eastAsia="Hiragino Sans GB"/>
          <w:color w:val="000000"/>
        </w:rPr>
        <w:t>制度事件分别取结果</w:t>
      </w:r>
    </w:p>
    <w:p>
      <w:r>
        <w:rPr>
          <w:rFonts w:ascii="Calibri" w:hAnsi="Calibri" w:eastAsia="Hiragino Sans GB"/>
          <w:color w:val="000000"/>
        </w:rPr>
        <w:t>新 SET-01 共用实施日，但 NSCC CNS 与 DTC 非 CNS 失败率分别分析。指定前后三个月仍缺连续历史，不能用两个快照替代；原首日资料也不支持必然上升。</w:t>
      </w:r>
    </w:p>
    <w:p>
      <w:pPr>
        <w:pStyle w:val="Heading1"/>
      </w:pPr>
      <w:r>
        <w:rPr>
          <w:rFonts w:ascii="Calibri" w:hAnsi="Calibri" w:eastAsia="Hiragino Sans GB"/>
          <w:color w:val="000000"/>
        </w:rPr>
        <w:t>监测指标与数据衔接</w:t>
      </w:r>
    </w:p>
    <w:p>
      <w:pPr>
        <w:pStyle w:val="Heading2"/>
      </w:pPr>
      <w:r>
        <w:rPr>
          <w:rFonts w:ascii="Calibri" w:hAnsi="Calibri" w:eastAsia="Hiragino Sans GB"/>
          <w:color w:val="000000"/>
        </w:rPr>
        <w:t>共享一次采集</w:t>
      </w:r>
    </w:p>
    <w:p>
      <w:r>
        <w:rPr>
          <w:rFonts w:ascii="Calibri" w:hAnsi="Calibri" w:eastAsia="Hiragino Sans GB"/>
          <w:color w:val="000000"/>
        </w:rPr>
        <w:t>同一新闻、事件、市场序列和 PQD 单元格只存一份，通过链编号关联。Cboe 成交量供 CNS、容量和高峰日复用；SEC FTD 供 CNS 和高峰日复用；融资与信用序列在相关业务间共用。</w:t>
      </w:r>
    </w:p>
    <w:p>
      <w:pPr>
        <w:pStyle w:val="Heading2"/>
      </w:pPr>
      <w:r>
        <w:rPr>
          <w:rFonts w:ascii="Calibri" w:hAnsi="Calibri" w:eastAsia="Hiragino Sans GB"/>
          <w:color w:val="000000"/>
        </w:rPr>
        <w:t>指标并非业务触达证明</w:t>
      </w:r>
    </w:p>
    <w:p>
      <w:r>
        <w:rPr>
          <w:rFonts w:ascii="Calibri" w:hAnsi="Calibri" w:eastAsia="Hiragino Sans GB"/>
          <w:color w:val="000000"/>
        </w:rPr>
        <w:t>每条链的可选监测指标见配套结构化清单。对会员信用、银行、网络和供应商事件，必须核对具名机构、角色、依赖与直接流程证据。KEV 入库、行业信用利差或全市场故障不能代替这些信息。</w:t>
      </w:r>
    </w:p>
    <w:p>
      <w:pPr>
        <w:pStyle w:val="Heading2"/>
      </w:pPr>
      <w:r>
        <w:rPr>
          <w:rFonts w:ascii="Calibri" w:hAnsi="Calibri" w:eastAsia="Hiragino Sans GB"/>
          <w:color w:val="000000"/>
        </w:rPr>
        <w:t>V 保留前一期公开可用口径</w:t>
      </w:r>
    </w:p>
    <w:p>
      <w:r>
        <w:rPr>
          <w:rFonts w:ascii="Calibri" w:hAnsi="Calibri" w:eastAsia="Hiragino Sans GB"/>
          <w:color w:val="000000"/>
        </w:rPr>
        <w:t>保证金路线可研究压力缺口相对 IM，支付路线可研究支付义务相对合格流动性资源，会员路线可研究集中度。PQD 4.4.3 是超出 IM 的压力损失，不是总损失；指标发布日期须早于评估时点。</w:t>
      </w:r>
    </w:p>
    <w:p>
      <w:pPr>
        <w:pStyle w:val="Heading2"/>
      </w:pPr>
      <w:r>
        <w:rPr>
          <w:rFonts w:ascii="Calibri" w:hAnsi="Calibri" w:eastAsia="Hiragino Sans GB"/>
          <w:color w:val="000000"/>
        </w:rPr>
        <w:t>V 与缺失值</w:t>
      </w:r>
    </w:p>
    <w:p>
      <w:r>
        <w:rPr>
          <w:rFonts w:ascii="Calibri" w:hAnsi="Calibri" w:eastAsia="Hiragino Sans GB"/>
          <w:color w:val="000000"/>
        </w:rPr>
        <w:t>共享系统 17.2/17.3 不能当 NSCC 或 GSD 独立容量；DTC 缺少相应脆弱度时保留缺失，不能填 0，也不能把外部冲击单独标成完整风险分数。</w:t>
      </w:r>
    </w:p>
    <w:p>
      <w:pPr>
        <w:pStyle w:val="Heading1"/>
      </w:pPr>
      <w:r>
        <w:rPr>
          <w:rFonts w:ascii="Calibri" w:hAnsi="Calibri" w:eastAsia="Hiragino Sans GB"/>
          <w:color w:val="000000"/>
        </w:rPr>
        <w:t>依据与版本记录</w:t>
      </w:r>
    </w:p>
    <w:p>
      <w:r>
        <w:rPr>
          <w:rFonts w:ascii="Calibri" w:hAnsi="Calibri" w:eastAsia="Hiragino Sans GB"/>
          <w:color w:val="000000"/>
        </w:rPr>
        <w:t>DTCC 提供的 Transmission Chain Format and example：三步格式、现有十条及新增候选表。</w:t>
      </w:r>
    </w:p>
    <w:p>
      <w:r>
        <w:rPr>
          <w:rFonts w:ascii="Calibri" w:hAnsi="Calibri" w:eastAsia="Hiragino Sans GB"/>
          <w:color w:val="000000"/>
        </w:rPr>
        <w:t>团队 FICC Transmission Chain Hypotheses v1 与 ECS Transmission Chain Hypotheses v1：原 22 条假设及数据定义。</w:t>
      </w:r>
    </w:p>
    <w:p>
      <w:r>
        <w:rPr>
          <w:rFonts w:ascii="Calibri" w:hAnsi="Calibri" w:eastAsia="Hiragino Sans GB"/>
          <w:color w:val="000000"/>
        </w:rPr>
        <w:t>chain_status_CN.csv 与 chain_status_EN.csv：2026 年 10 月 16 日已执行检验和未完成项。</w:t>
      </w:r>
    </w:p>
    <w:p>
      <w:r>
        <w:rPr>
          <w:rFonts w:ascii="Calibri" w:hAnsi="Calibri" w:eastAsia="Hiragino Sans GB"/>
          <w:color w:val="000000"/>
        </w:rPr>
        <w:t>配套 chain_registry_v2.json 保留 25 条新链、22 条映射、每条可选监测指标、全部旧状态字段及参考目录。更改定义不改变历史结果；新规格的验证须另行冻结并执行。</w:t>
      </w:r>
    </w:p>
    <w:sectPr w:rsidR="003760D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153707"/>
    <w:multiLevelType w:val="hybridMultilevel"/>
    <w:tmpl w:val="77628328"/>
    <w:lvl w:ilvl="0" w:tplc="1898BFF2">
      <w:start w:val="1"/>
      <w:numFmt w:val="bullet"/>
      <w:lvlText w:val="•"/>
      <w:lvlJc w:val="left"/>
      <w:pPr>
        <w:ind w:left="720" w:hanging="360"/>
      </w:pPr>
    </w:lvl>
    <w:lvl w:ilvl="1" w:tplc="4DB4600C">
      <w:start w:val="1"/>
      <w:numFmt w:val="bullet"/>
      <w:lvlText w:val="o"/>
      <w:lvlJc w:val="left"/>
      <w:pPr>
        <w:ind w:left="1440" w:hanging="360"/>
      </w:pPr>
    </w:lvl>
    <w:lvl w:ilvl="2" w:tplc="40F2EE88">
      <w:start w:val="1"/>
      <w:numFmt w:val="bullet"/>
      <w:lvlText w:val="▪"/>
      <w:lvlJc w:val="left"/>
      <w:pPr>
        <w:ind w:left="2160" w:hanging="360"/>
      </w:pPr>
    </w:lvl>
    <w:lvl w:ilvl="3" w:tplc="89B69B9C">
      <w:start w:val="1"/>
      <w:numFmt w:val="bullet"/>
      <w:lvlText w:val="•"/>
      <w:lvlJc w:val="left"/>
      <w:pPr>
        <w:ind w:left="2880" w:hanging="360"/>
      </w:pPr>
    </w:lvl>
    <w:lvl w:ilvl="4" w:tplc="2584A1EC">
      <w:start w:val="1"/>
      <w:numFmt w:val="bullet"/>
      <w:lvlText w:val="o"/>
      <w:lvlJc w:val="left"/>
      <w:pPr>
        <w:ind w:left="3600" w:hanging="360"/>
      </w:pPr>
    </w:lvl>
    <w:lvl w:ilvl="5" w:tplc="598A879E">
      <w:start w:val="1"/>
      <w:numFmt w:val="bullet"/>
      <w:lvlText w:val="▪"/>
      <w:lvlJc w:val="left"/>
      <w:pPr>
        <w:ind w:left="4320" w:hanging="360"/>
      </w:pPr>
    </w:lvl>
    <w:lvl w:ilvl="6" w:tplc="56FED8DA">
      <w:start w:val="1"/>
      <w:numFmt w:val="bullet"/>
      <w:lvlText w:val="•"/>
      <w:lvlJc w:val="left"/>
      <w:pPr>
        <w:ind w:left="5040" w:hanging="360"/>
      </w:pPr>
    </w:lvl>
    <w:lvl w:ilvl="7" w:tplc="9E583556">
      <w:start w:val="1"/>
      <w:numFmt w:val="bullet"/>
      <w:lvlText w:val="o"/>
      <w:lvlJc w:val="left"/>
      <w:pPr>
        <w:ind w:left="5760" w:hanging="360"/>
      </w:pPr>
    </w:lvl>
    <w:lvl w:ilvl="8" w:tplc="A8D69F56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63810E2E"/>
    <w:multiLevelType w:val="hybridMultilevel"/>
    <w:tmpl w:val="3AE02AFE"/>
    <w:lvl w:ilvl="0" w:tplc="A12CAC80">
      <w:start w:val="1"/>
      <w:numFmt w:val="decimal"/>
      <w:lvlText w:val="%1."/>
      <w:lvlJc w:val="left"/>
      <w:pPr>
        <w:ind w:left="720" w:hanging="360"/>
      </w:pPr>
    </w:lvl>
    <w:lvl w:ilvl="1" w:tplc="2C588662">
      <w:start w:val="1"/>
      <w:numFmt w:val="lowerLetter"/>
      <w:lvlText w:val="%2."/>
      <w:lvlJc w:val="left"/>
      <w:pPr>
        <w:ind w:left="1440" w:hanging="360"/>
      </w:pPr>
    </w:lvl>
    <w:lvl w:ilvl="2" w:tplc="D876C796">
      <w:start w:val="1"/>
      <w:numFmt w:val="lowerRoman"/>
      <w:lvlText w:val="%3."/>
      <w:lvlJc w:val="left"/>
      <w:pPr>
        <w:ind w:left="2160" w:hanging="360"/>
      </w:pPr>
    </w:lvl>
    <w:lvl w:ilvl="3" w:tplc="50565370">
      <w:start w:val="1"/>
      <w:numFmt w:val="decimal"/>
      <w:lvlText w:val="%4."/>
      <w:lvlJc w:val="left"/>
      <w:pPr>
        <w:ind w:left="2880" w:hanging="360"/>
      </w:pPr>
    </w:lvl>
    <w:lvl w:ilvl="4" w:tplc="62C0F230">
      <w:start w:val="1"/>
      <w:numFmt w:val="lowerLetter"/>
      <w:lvlText w:val="%5."/>
      <w:lvlJc w:val="left"/>
      <w:pPr>
        <w:ind w:left="3600" w:hanging="360"/>
      </w:pPr>
    </w:lvl>
    <w:lvl w:ilvl="5" w:tplc="B8A891C8">
      <w:start w:val="1"/>
      <w:numFmt w:val="lowerRoman"/>
      <w:lvlText w:val="%6."/>
      <w:lvlJc w:val="left"/>
      <w:pPr>
        <w:ind w:left="4320" w:hanging="360"/>
      </w:pPr>
    </w:lvl>
    <w:lvl w:ilvl="6" w:tplc="156E6A30">
      <w:start w:val="1"/>
      <w:numFmt w:val="decimal"/>
      <w:lvlText w:val="%7."/>
      <w:lvlJc w:val="left"/>
      <w:pPr>
        <w:ind w:left="5040" w:hanging="360"/>
      </w:pPr>
    </w:lvl>
    <w:lvl w:ilvl="7" w:tplc="09C65C14">
      <w:start w:val="1"/>
      <w:numFmt w:val="lowerLetter"/>
      <w:lvlText w:val="%8."/>
      <w:lvlJc w:val="left"/>
      <w:pPr>
        <w:ind w:left="5760" w:hanging="360"/>
      </w:pPr>
    </w:lvl>
    <w:lvl w:ilvl="8" w:tplc="080034CC">
      <w:start w:val="1"/>
      <w:numFmt w:val="lowerRoman"/>
      <w:lvlText w:val="%9."/>
      <w:lvlJc w:val="left"/>
      <w:pPr>
        <w:ind w:left="6480" w:hanging="360"/>
      </w:pPr>
    </w:lvl>
  </w:abstractNum>
  <w:num w:numId="1" w16cid:durableId="1627656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60D9"/>
    <w:rsid w:val="003760D9"/>
    <w:rsid w:val="009E5C92"/>
    <w:rsid w:val="00F64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E51A46"/>
  <w15:docId w15:val="{5E28CDDC-693B-0B46-AFEC-2B7B3095F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337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FICC 与 ECS 传导链修订版</dc:title>
  <dc:description>Claude Docs node/1e7741e0-7e9d@10 docx-w6</dc:description>
  <cp:lastModifiedBy>Olivia Cai</cp:lastModifiedBy>
  <cp:revision>11</cp:revision>
  <dcterms:created xsi:type="dcterms:W3CDTF">2026-10-16T15:12:00Z</dcterms:created>
  <dcterms:modified xsi:type="dcterms:W3CDTF">2026-10-16T15:13:00Z</dcterms:modified>
  <dc:subject>Revision of team chains against supplied transmission-chain reference</dc:subject>
  <dc:creator>Capstone project team</dc:creator>
</cp:coreProperties>
</file>