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rFonts w:ascii="Calibri" w:hAnsi="Calibri" w:eastAsia="Hiragino Sans GB"/>
          <w:color w:val="000000"/>
        </w:rPr>
        <w:t>项目传导链完整目录</w:t>
      </w:r>
    </w:p>
    <w:p>
      <w:r>
        <w:rPr>
          <w:rFonts w:ascii="Calibri" w:hAnsi="Calibri" w:eastAsia="Hiragino Sans GB"/>
          <w:color w:val="000000"/>
        </w:rPr>
        <w:t>2026 年 10 月 21 日  版本 v3</w:t>
      </w:r>
    </w:p>
    <w:p>
      <w:r>
        <w:rPr>
          <w:rFonts w:ascii="Calibri" w:hAnsi="Calibri" w:eastAsia="Hiragino Sans GB"/>
          <w:color w:val="000000"/>
        </w:rPr>
        <w:t>本版覆盖 DTCC 提供文件中的全部 45 条示例链，并保留团队原有的 11 条独立扩展。原 v2 的 25 条不删减，补入此前未覆盖的 31 条；所有链继续采用外部事件、机制和具体流程的三步格式。</w:t>
      </w:r>
    </w:p>
    <w:p>
      <w:r>
        <w:rPr>
          <w:rFonts w:ascii="Calibri" w:hAnsi="Calibri" w:eastAsia="Hiragino Sans GB"/>
          <w:color w:val="000000"/>
        </w:rPr>
        <w:t>完整目录共 56 条：FICC 23 条、ECS 26 条、资产服务 4 条、WIS 3 条。资产服务和 WIS 按参考文件的业务归属列示，不因为底层机构是 DTC 或 NSCC 就归入 ECS。原有 22 条假设的编号映射继续保留。</w:t>
      </w:r>
    </w:p>
    <w:p>
      <w:r>
        <w:rPr>
          <w:rFonts w:ascii="Calibri" w:hAnsi="Calibri" w:eastAsia="Hiragino Sans GB"/>
          <w:color w:val="000000"/>
        </w:rPr>
        <w:t>链的正文只回答外部事件、传导机制和具体流程。市场指标是监测线索，检验结果是另一个证据层，均不直接证明某条新闻已造成业务损失。</w:t>
      </w:r>
    </w:p>
    <w:p>
      <w:r>
        <w:rPr>
          <w:rFonts w:ascii="Calibri" w:hAnsi="Calibri" w:eastAsia="Hiragino Sans GB"/>
          <w:color w:val="000000"/>
        </w:rPr>
        <w:t>框架继续使用外部冲击 S 与内部脆弱度 V 的乘积，不新增 E。业务相关性在链匹配时确认；V 缺失保留缺失。本文于 2026 年 10 月 21 日修订，统计证据沿用 10 月 16 日快照，未新增采集或重跑模型。</w:t>
      </w:r>
    </w:p>
    <w:p>
      <w:pPr>
        <w:pStyle w:val="Heading2"/>
      </w:pPr>
      <w:r>
        <w:rPr>
          <w:rFonts w:ascii="Calibri" w:hAnsi="Calibri" w:eastAsia="Hiragino Sans GB"/>
          <w:color w:val="000000"/>
        </w:rPr>
        <w:t>修订规则</w:t>
      </w:r>
    </w:p>
    <w:p>
      <w:r>
        <w:rPr>
          <w:rFonts w:ascii="Calibri" w:hAnsi="Calibri" w:eastAsia="Hiragino Sans GB"/>
          <w:b/>
          <w:color w:val="000000"/>
        </w:rPr>
        <w:t xml:space="preserve">同一流程的展示  </w:t>
      </w:r>
      <w:r>
        <w:rPr>
          <w:rFonts w:ascii="Calibri" w:hAnsi="Calibri" w:eastAsia="Hiragino Sans GB"/>
          <w:color w:val="000000"/>
        </w:rPr>
        <w:t>ECS-NSCC-01 与 ECS-NSCC-02 按示例放在同一张 NSCC 变动保证金与流动性卡中，保留价格和融资两条路线。原 IM 追缴与回测链仍独立保留，不与 VM 混为同一指标。</w:t>
      </w:r>
    </w:p>
    <w:p>
      <w:r>
        <w:rPr>
          <w:rFonts w:ascii="Calibri" w:hAnsi="Calibri" w:eastAsia="Hiragino Sans GB"/>
          <w:b/>
          <w:color w:val="000000"/>
        </w:rPr>
        <w:t xml:space="preserve">相同编号不代表相同机制  </w:t>
      </w:r>
      <w:r>
        <w:rPr>
          <w:rFonts w:ascii="Calibri" w:hAnsi="Calibri" w:eastAsia="Hiragino Sans GB"/>
          <w:color w:val="000000"/>
        </w:rPr>
        <w:t>新 GSD-05 为 GCF 履约，新 GSD-06 为实际违约，新 MBSD-02 为池交付，新 NSCC-04 为集中头寸，新 NSCC-05 为补充流动性存款，新 DTC-01 为 MMI 确认，新 DTC-03 为市场中断，新 DTC-04 为加拿大链接。旧结果只能通过下表映射，不得按编号直接关联。</w:t>
      </w:r>
    </w:p>
    <w:p>
      <w:r>
        <w:rPr>
          <w:rFonts w:ascii="Calibri" w:hAnsi="Calibri" w:eastAsia="Hiragino Sans GB"/>
          <w:b/>
          <w:color w:val="000000"/>
        </w:rPr>
        <w:t xml:space="preserve">不冲突的扩展保留  </w:t>
      </w:r>
      <w:r>
        <w:rPr>
          <w:rFonts w:ascii="Calibri" w:hAnsi="Calibri" w:eastAsia="Hiragino Sans GB"/>
          <w:color w:val="000000"/>
        </w:rPr>
        <w:t>竞争、GSE 改革、会员运营、IM 追缴、回测覆盖、容量、违约前信用、高峰日、供应商、新券发行及 DTC 自身系统中断均保留。更具体的示例不自动否定这些不同机制。</w:t>
      </w:r>
    </w:p>
    <w:p>
      <w:pPr>
        <w:pStyle w:val="Heading1"/>
      </w:pPr>
      <w:r>
        <w:rPr>
          <w:rFonts w:ascii="Calibri" w:hAnsi="Calibri" w:eastAsia="Hiragino Sans GB"/>
          <w:color w:val="000000"/>
        </w:rPr>
        <w:t>FICC 修订链</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编号</w:t>
            </w:r>
          </w:p>
        </w:tc>
        <w:tc>
          <w:tcPr>
            <w:tcW w:type="dxa" w:w="2340"/>
            <w:vAlign w:val="center"/>
            <w:shd w:fill="F2F2F2"/>
          </w:tcPr>
          <w:p>
            <w:pPr>
              <w:keepNext w:val="0"/>
              <w:spacing w:before="0" w:after="80" w:line="259" w:lineRule="auto"/>
            </w:pPr>
            <w:r>
              <w:rPr>
                <w:rFonts w:ascii="Calibri" w:hAnsi="Calibri" w:eastAsia="Hiragino Sans GB"/>
                <w:b/>
                <w:color w:val="000000"/>
                <w:sz w:val="22"/>
              </w:rPr>
              <w:t>外部事件</w:t>
            </w:r>
          </w:p>
        </w:tc>
        <w:tc>
          <w:tcPr>
            <w:tcW w:type="dxa" w:w="2340"/>
            <w:vAlign w:val="center"/>
            <w:shd w:fill="F2F2F2"/>
          </w:tcPr>
          <w:p>
            <w:pPr>
              <w:keepNext w:val="0"/>
              <w:spacing w:before="0" w:after="80" w:line="259" w:lineRule="auto"/>
            </w:pPr>
            <w:r>
              <w:rPr>
                <w:rFonts w:ascii="Calibri" w:hAnsi="Calibri" w:eastAsia="Hiragino Sans GB"/>
                <w:b/>
                <w:color w:val="000000"/>
                <w:sz w:val="22"/>
              </w:rPr>
              <w:t>机制</w:t>
            </w:r>
          </w:p>
        </w:tc>
        <w:tc>
          <w:tcPr>
            <w:tcW w:type="dxa" w:w="2340"/>
            <w:vAlign w:val="center"/>
            <w:shd w:fill="F2F2F2"/>
          </w:tcPr>
          <w:p>
            <w:pPr>
              <w:keepNext w:val="0"/>
              <w:spacing w:before="0" w:after="80" w:line="259" w:lineRule="auto"/>
            </w:pPr>
            <w:r>
              <w:rPr>
                <w:rFonts w:ascii="Calibri" w:hAnsi="Calibri" w:eastAsia="Hiragino Sans GB"/>
                <w:b/>
                <w:color w:val="000000"/>
                <w:sz w:val="22"/>
              </w:rPr>
              <w:t>具体 DTCC 流程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FICC-GSD-01</w:t>
            </w:r>
          </w:p>
        </w:tc>
        <w:tc>
          <w:tcPr>
            <w:tcW w:type="dxa" w:w="2340"/>
            <w:vAlign w:val="center"/>
          </w:tcPr>
          <w:p>
            <w:pPr>
              <w:keepNext w:val="0"/>
              <w:spacing w:before="0" w:after="80" w:line="259" w:lineRule="auto"/>
            </w:pPr>
            <w:r>
              <w:rPr>
                <w:rFonts w:ascii="Calibri" w:hAnsi="Calibri" w:eastAsia="Hiragino Sans GB"/>
                <w:b w:val="0"/>
                <w:color w:val="000000"/>
                <w:sz w:val="22"/>
              </w:rPr>
              <w:t>国债抛售或收益率剧烈波动。</w:t>
            </w:r>
          </w:p>
        </w:tc>
        <w:tc>
          <w:tcPr>
            <w:tcW w:type="dxa" w:w="2340"/>
            <w:vAlign w:val="center"/>
          </w:tcPr>
          <w:p>
            <w:pPr>
              <w:keepNext w:val="0"/>
              <w:spacing w:before="0" w:after="80" w:line="259" w:lineRule="auto"/>
            </w:pPr>
            <w:r>
              <w:rPr>
                <w:rFonts w:ascii="Calibri" w:hAnsi="Calibri" w:eastAsia="Hiragino Sans GB"/>
                <w:b w:val="0"/>
                <w:color w:val="000000"/>
                <w:sz w:val="22"/>
              </w:rPr>
              <w:t>会员已清算头寸的价格变动加大，改变其所需保证金。</w:t>
            </w:r>
          </w:p>
        </w:tc>
        <w:tc>
          <w:tcPr>
            <w:tcW w:type="dxa" w:w="2340"/>
            <w:vAlign w:val="center"/>
          </w:tcPr>
          <w:p>
            <w:pPr>
              <w:keepNext w:val="0"/>
              <w:spacing w:before="0" w:after="80" w:line="259" w:lineRule="auto"/>
            </w:pPr>
            <w:r>
              <w:rPr>
                <w:rFonts w:ascii="Calibri" w:hAnsi="Calibri" w:eastAsia="Hiragino Sans GB"/>
                <w:b w:val="0"/>
                <w:color w:val="000000"/>
                <w:sz w:val="22"/>
              </w:rPr>
              <w:t>GSD 保证金要求。</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FICC-GSD-02</w:t>
            </w:r>
          </w:p>
        </w:tc>
        <w:tc>
          <w:tcPr>
            <w:tcW w:type="dxa" w:w="2340"/>
            <w:vAlign w:val="center"/>
          </w:tcPr>
          <w:p>
            <w:pPr>
              <w:keepNext w:val="0"/>
              <w:spacing w:before="0" w:after="80" w:line="259" w:lineRule="auto"/>
            </w:pPr>
            <w:r>
              <w:rPr>
                <w:rFonts w:ascii="Calibri" w:hAnsi="Calibri" w:eastAsia="Hiragino Sans GB"/>
                <w:b w:val="0"/>
                <w:color w:val="000000"/>
                <w:sz w:val="22"/>
              </w:rPr>
              <w:t>回购利率飙升或短期融资收紧。</w:t>
            </w:r>
          </w:p>
        </w:tc>
        <w:tc>
          <w:tcPr>
            <w:tcW w:type="dxa" w:w="2340"/>
            <w:vAlign w:val="center"/>
          </w:tcPr>
          <w:p>
            <w:pPr>
              <w:keepNext w:val="0"/>
              <w:spacing w:before="0" w:after="80" w:line="259" w:lineRule="auto"/>
            </w:pPr>
            <w:r>
              <w:rPr>
                <w:rFonts w:ascii="Calibri" w:hAnsi="Calibri" w:eastAsia="Hiragino Sans GB"/>
                <w:b w:val="0"/>
                <w:color w:val="000000"/>
                <w:sz w:val="22"/>
              </w:rPr>
              <w:t>会员融资成本上升，每日结算支付更难筹集资金。</w:t>
            </w:r>
          </w:p>
        </w:tc>
        <w:tc>
          <w:tcPr>
            <w:tcW w:type="dxa" w:w="2340"/>
            <w:vAlign w:val="center"/>
          </w:tcPr>
          <w:p>
            <w:pPr>
              <w:keepNext w:val="0"/>
              <w:spacing w:before="0" w:after="80" w:line="259" w:lineRule="auto"/>
            </w:pPr>
            <w:r>
              <w:rPr>
                <w:rFonts w:ascii="Calibri" w:hAnsi="Calibri" w:eastAsia="Hiragino Sans GB"/>
                <w:b w:val="0"/>
                <w:color w:val="000000"/>
                <w:sz w:val="22"/>
              </w:rPr>
              <w:t>GSD 结算支付和流动性。</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FICC-GSD-03</w:t>
            </w:r>
          </w:p>
        </w:tc>
        <w:tc>
          <w:tcPr>
            <w:tcW w:type="dxa" w:w="2340"/>
            <w:vAlign w:val="center"/>
          </w:tcPr>
          <w:p>
            <w:pPr>
              <w:keepNext w:val="0"/>
              <w:spacing w:before="0" w:after="80" w:line="259" w:lineRule="auto"/>
            </w:pPr>
            <w:r>
              <w:rPr>
                <w:rFonts w:ascii="Calibri" w:hAnsi="Calibri" w:eastAsia="Hiragino Sans GB"/>
                <w:b w:val="0"/>
                <w:color w:val="000000"/>
                <w:sz w:val="22"/>
              </w:rPr>
              <w:t>国债集中清算合规节点临近、延期或调整。</w:t>
            </w:r>
          </w:p>
        </w:tc>
        <w:tc>
          <w:tcPr>
            <w:tcW w:type="dxa" w:w="2340"/>
            <w:vAlign w:val="center"/>
          </w:tcPr>
          <w:p>
            <w:pPr>
              <w:keepNext w:val="0"/>
              <w:spacing w:before="0" w:after="80" w:line="259" w:lineRule="auto"/>
            </w:pPr>
            <w:r>
              <w:rPr>
                <w:rFonts w:ascii="Calibri" w:hAnsi="Calibri" w:eastAsia="Hiragino Sans GB"/>
                <w:b w:val="0"/>
                <w:color w:val="000000"/>
                <w:sz w:val="22"/>
              </w:rPr>
              <w:t>机构为满足规则接入清算，包括通过 Sponsored 模式接入，改变接入工作量和业务量。</w:t>
            </w:r>
          </w:p>
        </w:tc>
        <w:tc>
          <w:tcPr>
            <w:tcW w:type="dxa" w:w="2340"/>
            <w:vAlign w:val="center"/>
          </w:tcPr>
          <w:p>
            <w:pPr>
              <w:keepNext w:val="0"/>
              <w:spacing w:before="0" w:after="80" w:line="259" w:lineRule="auto"/>
            </w:pPr>
            <w:r>
              <w:rPr>
                <w:rFonts w:ascii="Calibri" w:hAnsi="Calibri" w:eastAsia="Hiragino Sans GB"/>
                <w:b w:val="0"/>
                <w:color w:val="000000"/>
                <w:sz w:val="22"/>
              </w:rPr>
              <w:t>GSD 客户接入和 Sponsored 业务量。</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FICC-GSD-04</w:t>
            </w:r>
          </w:p>
        </w:tc>
        <w:tc>
          <w:tcPr>
            <w:tcW w:type="dxa" w:w="2340"/>
            <w:vAlign w:val="center"/>
          </w:tcPr>
          <w:p>
            <w:pPr>
              <w:keepNext w:val="0"/>
              <w:spacing w:before="0" w:after="80" w:line="259" w:lineRule="auto"/>
            </w:pPr>
            <w:r>
              <w:rPr>
                <w:rFonts w:ascii="Calibri" w:hAnsi="Calibri" w:eastAsia="Hiragino Sans GB"/>
                <w:b w:val="0"/>
                <w:color w:val="000000"/>
                <w:sz w:val="22"/>
              </w:rPr>
              <w:t>银行或交易商会员被降级、出现亏损或信用恶化，尚未确认违约。</w:t>
            </w:r>
          </w:p>
        </w:tc>
        <w:tc>
          <w:tcPr>
            <w:tcW w:type="dxa" w:w="2340"/>
            <w:vAlign w:val="center"/>
          </w:tcPr>
          <w:p>
            <w:pPr>
              <w:keepNext w:val="0"/>
              <w:spacing w:before="0" w:after="80" w:line="259" w:lineRule="auto"/>
            </w:pPr>
            <w:r>
              <w:rPr>
                <w:rFonts w:ascii="Calibri" w:hAnsi="Calibri" w:eastAsia="Hiragino Sans GB"/>
                <w:b w:val="0"/>
                <w:color w:val="000000"/>
                <w:sz w:val="22"/>
              </w:rPr>
              <w:t>会员违约风险上升，增加风险监测和违约管理准备需求；实际违约另归 GSD-06。</w:t>
            </w:r>
          </w:p>
        </w:tc>
        <w:tc>
          <w:tcPr>
            <w:tcW w:type="dxa" w:w="2340"/>
            <w:vAlign w:val="center"/>
          </w:tcPr>
          <w:p>
            <w:pPr>
              <w:keepNext w:val="0"/>
              <w:spacing w:before="0" w:after="80" w:line="259" w:lineRule="auto"/>
            </w:pPr>
            <w:r>
              <w:rPr>
                <w:rFonts w:ascii="Calibri" w:hAnsi="Calibri" w:eastAsia="Hiragino Sans GB"/>
                <w:b w:val="0"/>
                <w:color w:val="000000"/>
                <w:sz w:val="22"/>
              </w:rPr>
              <w:t>FICC 会员信用监测及违约管理准备。</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FICC-GSD-06</w:t>
            </w:r>
          </w:p>
        </w:tc>
        <w:tc>
          <w:tcPr>
            <w:tcW w:type="dxa" w:w="2340"/>
            <w:vAlign w:val="center"/>
          </w:tcPr>
          <w:p>
            <w:pPr>
              <w:keepNext w:val="0"/>
              <w:spacing w:before="0" w:after="80" w:line="259" w:lineRule="auto"/>
            </w:pPr>
            <w:r>
              <w:rPr>
                <w:rFonts w:ascii="Calibri" w:hAnsi="Calibri" w:eastAsia="Hiragino Sans GB"/>
                <w:b w:val="0"/>
                <w:color w:val="000000"/>
                <w:sz w:val="22"/>
              </w:rPr>
              <w:t>GSD 清算会员实际违约或 FICC 宣布停止为其提供服务。</w:t>
            </w:r>
          </w:p>
        </w:tc>
        <w:tc>
          <w:tcPr>
            <w:tcW w:type="dxa" w:w="2340"/>
            <w:vAlign w:val="center"/>
          </w:tcPr>
          <w:p>
            <w:pPr>
              <w:keepNext w:val="0"/>
              <w:spacing w:before="0" w:after="80" w:line="259" w:lineRule="auto"/>
            </w:pPr>
            <w:r>
              <w:rPr>
                <w:rFonts w:ascii="Calibri" w:hAnsi="Calibri" w:eastAsia="Hiragino Sans GB"/>
                <w:b w:val="0"/>
                <w:color w:val="000000"/>
                <w:sz w:val="22"/>
              </w:rPr>
              <w:t>FICC 按违约程序动用违约会员资源；剩余缺口才按损失分摊规则处理，可能涉及存续会员清算基金。</w:t>
            </w:r>
          </w:p>
        </w:tc>
        <w:tc>
          <w:tcPr>
            <w:tcW w:type="dxa" w:w="2340"/>
            <w:vAlign w:val="center"/>
          </w:tcPr>
          <w:p>
            <w:pPr>
              <w:keepNext w:val="0"/>
              <w:spacing w:before="0" w:after="80" w:line="259" w:lineRule="auto"/>
            </w:pPr>
            <w:r>
              <w:rPr>
                <w:rFonts w:ascii="Calibri" w:hAnsi="Calibri" w:eastAsia="Hiragino Sans GB"/>
                <w:b w:val="0"/>
                <w:color w:val="000000"/>
                <w:sz w:val="22"/>
              </w:rPr>
              <w:t>GSD 损失分摊与清算基金互助机制。</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FICC-MBSD-01</w:t>
            </w:r>
          </w:p>
        </w:tc>
        <w:tc>
          <w:tcPr>
            <w:tcW w:type="dxa" w:w="2340"/>
            <w:vAlign w:val="center"/>
          </w:tcPr>
          <w:p>
            <w:pPr>
              <w:keepNext w:val="0"/>
              <w:spacing w:before="0" w:after="80" w:line="259" w:lineRule="auto"/>
            </w:pPr>
            <w:r>
              <w:rPr>
                <w:rFonts w:ascii="Calibri" w:hAnsi="Calibri" w:eastAsia="Hiragino Sans GB"/>
                <w:b w:val="0"/>
                <w:color w:val="000000"/>
                <w:sz w:val="22"/>
              </w:rPr>
              <w:t>房贷利率骤变或 MBS 利差扩大。</w:t>
            </w:r>
          </w:p>
        </w:tc>
        <w:tc>
          <w:tcPr>
            <w:tcW w:type="dxa" w:w="2340"/>
            <w:vAlign w:val="center"/>
          </w:tcPr>
          <w:p>
            <w:pPr>
              <w:keepNext w:val="0"/>
              <w:spacing w:before="0" w:after="80" w:line="259" w:lineRule="auto"/>
            </w:pPr>
            <w:r>
              <w:rPr>
                <w:rFonts w:ascii="Calibri" w:hAnsi="Calibri" w:eastAsia="Hiragino Sans GB"/>
                <w:b w:val="0"/>
                <w:color w:val="000000"/>
                <w:sz w:val="22"/>
              </w:rPr>
              <w:t>TBA 价格波动改变会员头寸的盯市价值，带动变动保证金和保证金要求变化。</w:t>
            </w:r>
          </w:p>
        </w:tc>
        <w:tc>
          <w:tcPr>
            <w:tcW w:type="dxa" w:w="2340"/>
            <w:vAlign w:val="center"/>
          </w:tcPr>
          <w:p>
            <w:pPr>
              <w:keepNext w:val="0"/>
              <w:spacing w:before="0" w:after="80" w:line="259" w:lineRule="auto"/>
            </w:pPr>
            <w:r>
              <w:rPr>
                <w:rFonts w:ascii="Calibri" w:hAnsi="Calibri" w:eastAsia="Hiragino Sans GB"/>
                <w:b w:val="0"/>
                <w:color w:val="000000"/>
                <w:sz w:val="22"/>
              </w:rPr>
              <w:t>MBSD 保证金及变动保证金。</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FICC-GSD-08</w:t>
            </w:r>
          </w:p>
        </w:tc>
        <w:tc>
          <w:tcPr>
            <w:tcW w:type="dxa" w:w="2340"/>
            <w:vAlign w:val="center"/>
          </w:tcPr>
          <w:p>
            <w:pPr>
              <w:keepNext w:val="0"/>
              <w:spacing w:before="0" w:after="80" w:line="259" w:lineRule="auto"/>
            </w:pPr>
            <w:r>
              <w:rPr>
                <w:rFonts w:ascii="Calibri" w:hAnsi="Calibri" w:eastAsia="Hiragino Sans GB"/>
                <w:b w:val="0"/>
                <w:color w:val="000000"/>
                <w:sz w:val="22"/>
              </w:rPr>
              <w:t>承担 GSD 结算职能的清算银行出现运营或信用问题。</w:t>
            </w:r>
          </w:p>
        </w:tc>
        <w:tc>
          <w:tcPr>
            <w:tcW w:type="dxa" w:w="2340"/>
            <w:vAlign w:val="center"/>
          </w:tcPr>
          <w:p>
            <w:pPr>
              <w:keepNext w:val="0"/>
              <w:spacing w:before="0" w:after="80" w:line="259" w:lineRule="auto"/>
            </w:pPr>
            <w:r>
              <w:rPr>
                <w:rFonts w:ascii="Calibri" w:hAnsi="Calibri" w:eastAsia="Hiragino Sans GB"/>
                <w:b w:val="0"/>
                <w:color w:val="000000"/>
                <w:sz w:val="22"/>
              </w:rPr>
              <w:t>经该银行完成的证券交收与 Fedwire 付款无法按时衔接，使对应 GSD 结算受阻。</w:t>
            </w:r>
          </w:p>
        </w:tc>
        <w:tc>
          <w:tcPr>
            <w:tcW w:type="dxa" w:w="2340"/>
            <w:vAlign w:val="center"/>
          </w:tcPr>
          <w:p>
            <w:pPr>
              <w:keepNext w:val="0"/>
              <w:spacing w:before="0" w:after="80" w:line="259" w:lineRule="auto"/>
            </w:pPr>
            <w:r>
              <w:rPr>
                <w:rFonts w:ascii="Calibri" w:hAnsi="Calibri" w:eastAsia="Hiragino Sans GB"/>
                <w:b w:val="0"/>
                <w:color w:val="000000"/>
                <w:sz w:val="22"/>
              </w:rPr>
              <w:t>GSD 经清算银行进行的证券结算。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TEAM-FICC-01</w:t>
            </w:r>
          </w:p>
        </w:tc>
        <w:tc>
          <w:tcPr>
            <w:tcW w:type="dxa" w:w="2340"/>
            <w:vAlign w:val="center"/>
          </w:tcPr>
          <w:p>
            <w:pPr>
              <w:keepNext w:val="0"/>
              <w:spacing w:before="0" w:after="80" w:line="259" w:lineRule="auto"/>
            </w:pPr>
            <w:r>
              <w:rPr>
                <w:rFonts w:ascii="Calibri" w:hAnsi="Calibri" w:eastAsia="Hiragino Sans GB"/>
                <w:b w:val="0"/>
                <w:color w:val="000000"/>
                <w:sz w:val="22"/>
              </w:rPr>
              <w:t>CME、ICE 等竞争对手推出国债清算服务、功能或客户接入。</w:t>
            </w:r>
          </w:p>
        </w:tc>
        <w:tc>
          <w:tcPr>
            <w:tcW w:type="dxa" w:w="2340"/>
            <w:vAlign w:val="center"/>
          </w:tcPr>
          <w:p>
            <w:pPr>
              <w:keepNext w:val="0"/>
              <w:spacing w:before="0" w:after="80" w:line="259" w:lineRule="auto"/>
            </w:pPr>
            <w:r>
              <w:rPr>
                <w:rFonts w:ascii="Calibri" w:hAnsi="Calibri" w:eastAsia="Hiragino Sans GB"/>
                <w:b w:val="0"/>
                <w:color w:val="000000"/>
                <w:sz w:val="22"/>
              </w:rPr>
              <w:t>同一客户群可选择其他服务；只有客户迁移或可比业务量证据才能判断 FICC 份额变化。</w:t>
            </w:r>
          </w:p>
        </w:tc>
        <w:tc>
          <w:tcPr>
            <w:tcW w:type="dxa" w:w="2340"/>
            <w:vAlign w:val="center"/>
          </w:tcPr>
          <w:p>
            <w:pPr>
              <w:keepNext w:val="0"/>
              <w:spacing w:before="0" w:after="80" w:line="259" w:lineRule="auto"/>
            </w:pPr>
            <w:r>
              <w:rPr>
                <w:rFonts w:ascii="Calibri" w:hAnsi="Calibri" w:eastAsia="Hiragino Sans GB"/>
                <w:b w:val="0"/>
                <w:color w:val="000000"/>
                <w:sz w:val="22"/>
              </w:rPr>
              <w:t>GSD 新增业务获取与竞争地位。</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TEAM-FICC-02</w:t>
            </w:r>
          </w:p>
        </w:tc>
        <w:tc>
          <w:tcPr>
            <w:tcW w:type="dxa" w:w="2340"/>
            <w:vAlign w:val="center"/>
          </w:tcPr>
          <w:p>
            <w:pPr>
              <w:keepNext w:val="0"/>
              <w:spacing w:before="0" w:after="80" w:line="259" w:lineRule="auto"/>
            </w:pPr>
            <w:r>
              <w:rPr>
                <w:rFonts w:ascii="Calibri" w:hAnsi="Calibri" w:eastAsia="Hiragino Sans GB"/>
                <w:b w:val="0"/>
                <w:color w:val="000000"/>
                <w:sz w:val="22"/>
              </w:rPr>
              <w:t>GSD 会员或其供应商发生网络攻击或系统故障。</w:t>
            </w:r>
          </w:p>
        </w:tc>
        <w:tc>
          <w:tcPr>
            <w:tcW w:type="dxa" w:w="2340"/>
            <w:vAlign w:val="center"/>
          </w:tcPr>
          <w:p>
            <w:pPr>
              <w:keepNext w:val="0"/>
              <w:spacing w:before="0" w:after="80" w:line="259" w:lineRule="auto"/>
            </w:pPr>
            <w:r>
              <w:rPr>
                <w:rFonts w:ascii="Calibri" w:hAnsi="Calibri" w:eastAsia="Hiragino Sans GB"/>
                <w:b w:val="0"/>
                <w:color w:val="000000"/>
                <w:sz w:val="22"/>
              </w:rPr>
              <w:t>若故障确实影响该会员的 GSD 连接、提交或履约能力，交易提交或结算可能延迟。</w:t>
            </w:r>
          </w:p>
        </w:tc>
        <w:tc>
          <w:tcPr>
            <w:tcW w:type="dxa" w:w="2340"/>
            <w:vAlign w:val="center"/>
          </w:tcPr>
          <w:p>
            <w:pPr>
              <w:keepNext w:val="0"/>
              <w:spacing w:before="0" w:after="80" w:line="259" w:lineRule="auto"/>
            </w:pPr>
            <w:r>
              <w:rPr>
                <w:rFonts w:ascii="Calibri" w:hAnsi="Calibri" w:eastAsia="Hiragino Sans GB"/>
                <w:b w:val="0"/>
                <w:color w:val="000000"/>
                <w:sz w:val="22"/>
              </w:rPr>
              <w:t>GSD 会员交易提交及结算；银行结算通道问题另归 GSD-08。</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TEAM-FICC-03</w:t>
            </w:r>
          </w:p>
        </w:tc>
        <w:tc>
          <w:tcPr>
            <w:tcW w:type="dxa" w:w="2340"/>
            <w:vAlign w:val="center"/>
          </w:tcPr>
          <w:p>
            <w:pPr>
              <w:keepNext w:val="0"/>
              <w:spacing w:before="0" w:after="80" w:line="259" w:lineRule="auto"/>
            </w:pPr>
            <w:r>
              <w:rPr>
                <w:rFonts w:ascii="Calibri" w:hAnsi="Calibri" w:eastAsia="Hiragino Sans GB"/>
                <w:b w:val="0"/>
                <w:color w:val="000000"/>
                <w:sz w:val="22"/>
              </w:rPr>
              <w:t>GSE 托管、私有化或机构 MBS 担保安排出现实质变化。</w:t>
            </w:r>
          </w:p>
        </w:tc>
        <w:tc>
          <w:tcPr>
            <w:tcW w:type="dxa" w:w="2340"/>
            <w:vAlign w:val="center"/>
          </w:tcPr>
          <w:p>
            <w:pPr>
              <w:keepNext w:val="0"/>
              <w:spacing w:before="0" w:after="80" w:line="259" w:lineRule="auto"/>
            </w:pPr>
            <w:r>
              <w:rPr>
                <w:rFonts w:ascii="Calibri" w:hAnsi="Calibri" w:eastAsia="Hiragino Sans GB"/>
                <w:b w:val="0"/>
                <w:color w:val="000000"/>
                <w:sz w:val="22"/>
              </w:rPr>
              <w:t>担保预期或交易约定变化可能改变机构 MBS 定价和 TBA 活动，进而影响 MBSD 清算及风险参数。</w:t>
            </w:r>
          </w:p>
        </w:tc>
        <w:tc>
          <w:tcPr>
            <w:tcW w:type="dxa" w:w="2340"/>
            <w:vAlign w:val="center"/>
          </w:tcPr>
          <w:p>
            <w:pPr>
              <w:keepNext w:val="0"/>
              <w:spacing w:before="0" w:after="80" w:line="259" w:lineRule="auto"/>
            </w:pPr>
            <w:r>
              <w:rPr>
                <w:rFonts w:ascii="Calibri" w:hAnsi="Calibri" w:eastAsia="Hiragino Sans GB"/>
                <w:b w:val="0"/>
                <w:color w:val="000000"/>
                <w:sz w:val="22"/>
              </w:rPr>
              <w:t>MBSD TBA 清算活动及相关风险参数。</w:t>
            </w:r>
          </w:p>
        </w:tc>
      </w:tr>
    </w:tbl>
    <w:p>
      <w:pPr>
        <w:pStyle w:val="Heading1"/>
      </w:pPr>
      <w:r>
        <w:rPr>
          <w:rFonts w:ascii="Calibri" w:hAnsi="Calibri" w:eastAsia="Hiragino Sans GB"/>
          <w:color w:val="000000"/>
        </w:rPr>
        <w:t>ECS 修订链</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编号</w:t>
            </w:r>
          </w:p>
        </w:tc>
        <w:tc>
          <w:tcPr>
            <w:tcW w:type="dxa" w:w="2340"/>
            <w:vAlign w:val="center"/>
            <w:shd w:fill="F2F2F2"/>
          </w:tcPr>
          <w:p>
            <w:pPr>
              <w:keepNext w:val="0"/>
              <w:spacing w:before="0" w:after="80" w:line="259" w:lineRule="auto"/>
            </w:pPr>
            <w:r>
              <w:rPr>
                <w:rFonts w:ascii="Calibri" w:hAnsi="Calibri" w:eastAsia="Hiragino Sans GB"/>
                <w:b/>
                <w:color w:val="000000"/>
                <w:sz w:val="22"/>
              </w:rPr>
              <w:t>外部事件</w:t>
            </w:r>
          </w:p>
        </w:tc>
        <w:tc>
          <w:tcPr>
            <w:tcW w:type="dxa" w:w="2340"/>
            <w:vAlign w:val="center"/>
            <w:shd w:fill="F2F2F2"/>
          </w:tcPr>
          <w:p>
            <w:pPr>
              <w:keepNext w:val="0"/>
              <w:spacing w:before="0" w:after="80" w:line="259" w:lineRule="auto"/>
            </w:pPr>
            <w:r>
              <w:rPr>
                <w:rFonts w:ascii="Calibri" w:hAnsi="Calibri" w:eastAsia="Hiragino Sans GB"/>
                <w:b/>
                <w:color w:val="000000"/>
                <w:sz w:val="22"/>
              </w:rPr>
              <w:t>机制</w:t>
            </w:r>
          </w:p>
        </w:tc>
        <w:tc>
          <w:tcPr>
            <w:tcW w:type="dxa" w:w="2340"/>
            <w:vAlign w:val="center"/>
            <w:shd w:fill="F2F2F2"/>
          </w:tcPr>
          <w:p>
            <w:pPr>
              <w:keepNext w:val="0"/>
              <w:spacing w:before="0" w:after="80" w:line="259" w:lineRule="auto"/>
            </w:pPr>
            <w:r>
              <w:rPr>
                <w:rFonts w:ascii="Calibri" w:hAnsi="Calibri" w:eastAsia="Hiragino Sans GB"/>
                <w:b/>
                <w:color w:val="000000"/>
                <w:sz w:val="22"/>
              </w:rPr>
              <w:t>具体 DTCC 流程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ECS-NSCC-01</w:t>
            </w:r>
          </w:p>
        </w:tc>
        <w:tc>
          <w:tcPr>
            <w:tcW w:type="dxa" w:w="2340"/>
            <w:vAlign w:val="center"/>
          </w:tcPr>
          <w:p>
            <w:pPr>
              <w:keepNext w:val="0"/>
              <w:spacing w:before="0" w:after="80" w:line="259" w:lineRule="auto"/>
            </w:pPr>
            <w:r>
              <w:rPr>
                <w:rFonts w:ascii="Calibri" w:hAnsi="Calibri" w:eastAsia="Hiragino Sans GB"/>
                <w:b w:val="0"/>
                <w:color w:val="000000"/>
                <w:sz w:val="22"/>
              </w:rPr>
              <w:t>股市急跌或价格剧烈波动。</w:t>
            </w:r>
          </w:p>
        </w:tc>
        <w:tc>
          <w:tcPr>
            <w:tcW w:type="dxa" w:w="2340"/>
            <w:vAlign w:val="center"/>
          </w:tcPr>
          <w:p>
            <w:pPr>
              <w:keepNext w:val="0"/>
              <w:spacing w:before="0" w:after="80" w:line="259" w:lineRule="auto"/>
            </w:pPr>
            <w:r>
              <w:rPr>
                <w:rFonts w:ascii="Calibri" w:hAnsi="Calibri" w:eastAsia="Hiragino Sans GB"/>
                <w:b w:val="0"/>
                <w:color w:val="000000"/>
                <w:sz w:val="22"/>
              </w:rPr>
              <w:t>每日盯市现金流大幅变化，会员需要当日调动更多现金。</w:t>
            </w:r>
          </w:p>
        </w:tc>
        <w:tc>
          <w:tcPr>
            <w:tcW w:type="dxa" w:w="2340"/>
            <w:vAlign w:val="center"/>
          </w:tcPr>
          <w:p>
            <w:pPr>
              <w:keepNext w:val="0"/>
              <w:spacing w:before="0" w:after="80" w:line="259" w:lineRule="auto"/>
            </w:pPr>
            <w:r>
              <w:rPr>
                <w:rFonts w:ascii="Calibri" w:hAnsi="Calibri" w:eastAsia="Hiragino Sans GB"/>
                <w:b w:val="0"/>
                <w:color w:val="000000"/>
                <w:sz w:val="22"/>
              </w:rPr>
              <w:t>NSCC 变动保证金。</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ECS-NSCC-02</w:t>
            </w:r>
          </w:p>
        </w:tc>
        <w:tc>
          <w:tcPr>
            <w:tcW w:type="dxa" w:w="2340"/>
            <w:vAlign w:val="center"/>
          </w:tcPr>
          <w:p>
            <w:pPr>
              <w:keepNext w:val="0"/>
              <w:spacing w:before="0" w:after="80" w:line="259" w:lineRule="auto"/>
            </w:pPr>
            <w:r>
              <w:rPr>
                <w:rFonts w:ascii="Calibri" w:hAnsi="Calibri" w:eastAsia="Hiragino Sans GB"/>
                <w:b w:val="0"/>
                <w:color w:val="000000"/>
                <w:sz w:val="22"/>
              </w:rPr>
              <w:t>短期融资紧张，券商筹资成本上升。</w:t>
            </w:r>
          </w:p>
        </w:tc>
        <w:tc>
          <w:tcPr>
            <w:tcW w:type="dxa" w:w="2340"/>
            <w:vAlign w:val="center"/>
          </w:tcPr>
          <w:p>
            <w:pPr>
              <w:keepNext w:val="0"/>
              <w:spacing w:before="0" w:after="80" w:line="259" w:lineRule="auto"/>
            </w:pPr>
            <w:r>
              <w:rPr>
                <w:rFonts w:ascii="Calibri" w:hAnsi="Calibri" w:eastAsia="Hiragino Sans GB"/>
                <w:b w:val="0"/>
                <w:color w:val="000000"/>
                <w:sz w:val="22"/>
              </w:rPr>
              <w:t>券商可用于每日付款的现金减少，变动保证金和结算付款更难筹集。</w:t>
            </w:r>
          </w:p>
        </w:tc>
        <w:tc>
          <w:tcPr>
            <w:tcW w:type="dxa" w:w="2340"/>
            <w:vAlign w:val="center"/>
          </w:tcPr>
          <w:p>
            <w:pPr>
              <w:keepNext w:val="0"/>
              <w:spacing w:before="0" w:after="80" w:line="259" w:lineRule="auto"/>
            </w:pPr>
            <w:r>
              <w:rPr>
                <w:rFonts w:ascii="Calibri" w:hAnsi="Calibri" w:eastAsia="Hiragino Sans GB"/>
                <w:b w:val="0"/>
                <w:color w:val="000000"/>
                <w:sz w:val="22"/>
              </w:rPr>
              <w:t>NSCC 变动保证金和流动性。</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ECS-NSCC-03</w:t>
            </w:r>
          </w:p>
        </w:tc>
        <w:tc>
          <w:tcPr>
            <w:tcW w:type="dxa" w:w="2340"/>
            <w:vAlign w:val="center"/>
          </w:tcPr>
          <w:p>
            <w:pPr>
              <w:keepNext w:val="0"/>
              <w:spacing w:before="0" w:after="80" w:line="259" w:lineRule="auto"/>
            </w:pPr>
            <w:r>
              <w:rPr>
                <w:rFonts w:ascii="Calibri" w:hAnsi="Calibri" w:eastAsia="Hiragino Sans GB"/>
                <w:b w:val="0"/>
                <w:color w:val="000000"/>
                <w:sz w:val="22"/>
              </w:rPr>
              <w:t>市场股票成交量异常激增。</w:t>
            </w:r>
          </w:p>
        </w:tc>
        <w:tc>
          <w:tcPr>
            <w:tcW w:type="dxa" w:w="2340"/>
            <w:vAlign w:val="center"/>
          </w:tcPr>
          <w:p>
            <w:pPr>
              <w:keepNext w:val="0"/>
              <w:spacing w:before="0" w:after="80" w:line="259" w:lineRule="auto"/>
            </w:pPr>
            <w:r>
              <w:rPr>
                <w:rFonts w:ascii="Calibri" w:hAnsi="Calibri" w:eastAsia="Hiragino Sans GB"/>
                <w:b w:val="0"/>
                <w:color w:val="000000"/>
                <w:sz w:val="22"/>
              </w:rPr>
              <w:t>交付需求和证券可得性压力加大，可能留下更多尚未完成交收的头寸。</w:t>
            </w:r>
          </w:p>
        </w:tc>
        <w:tc>
          <w:tcPr>
            <w:tcW w:type="dxa" w:w="2340"/>
            <w:vAlign w:val="center"/>
          </w:tcPr>
          <w:p>
            <w:pPr>
              <w:keepNext w:val="0"/>
              <w:spacing w:before="0" w:after="80" w:line="259" w:lineRule="auto"/>
            </w:pPr>
            <w:r>
              <w:rPr>
                <w:rFonts w:ascii="Calibri" w:hAnsi="Calibri" w:eastAsia="Hiragino Sans GB"/>
                <w:b w:val="0"/>
                <w:color w:val="000000"/>
                <w:sz w:val="22"/>
              </w:rPr>
              <w:t>NSCC CNS 证券交收及未交割余额。</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ECS-SET-01</w:t>
            </w:r>
          </w:p>
        </w:tc>
        <w:tc>
          <w:tcPr>
            <w:tcW w:type="dxa" w:w="2340"/>
            <w:vAlign w:val="center"/>
          </w:tcPr>
          <w:p>
            <w:pPr>
              <w:keepNext w:val="0"/>
              <w:spacing w:before="0" w:after="80" w:line="259" w:lineRule="auto"/>
            </w:pPr>
            <w:r>
              <w:rPr>
                <w:rFonts w:ascii="Calibri" w:hAnsi="Calibri" w:eastAsia="Hiragino Sans GB"/>
                <w:b w:val="0"/>
                <w:color w:val="000000"/>
                <w:sz w:val="22"/>
              </w:rPr>
              <w:t>结算周期缩短或交易时段延长，例如 T+1、T+0 或 24x5。</w:t>
            </w:r>
          </w:p>
        </w:tc>
        <w:tc>
          <w:tcPr>
            <w:tcW w:type="dxa" w:w="2340"/>
            <w:vAlign w:val="center"/>
          </w:tcPr>
          <w:p>
            <w:pPr>
              <w:keepNext w:val="0"/>
              <w:spacing w:before="0" w:after="80" w:line="259" w:lineRule="auto"/>
            </w:pPr>
            <w:r>
              <w:rPr>
                <w:rFonts w:ascii="Calibri" w:hAnsi="Calibri" w:eastAsia="Hiragino Sans GB"/>
                <w:b w:val="0"/>
                <w:color w:val="000000"/>
                <w:sz w:val="22"/>
              </w:rPr>
              <w:t>处理、确认和筹资窗口变化，迟到或手工步骤可能成为瓶颈；是否增加失败须看实际结果。</w:t>
            </w:r>
          </w:p>
        </w:tc>
        <w:tc>
          <w:tcPr>
            <w:tcW w:type="dxa" w:w="2340"/>
            <w:vAlign w:val="center"/>
          </w:tcPr>
          <w:p>
            <w:pPr>
              <w:keepNext w:val="0"/>
              <w:spacing w:before="0" w:after="80" w:line="259" w:lineRule="auto"/>
            </w:pPr>
            <w:r>
              <w:rPr>
                <w:rFonts w:ascii="Calibri" w:hAnsi="Calibri" w:eastAsia="Hiragino Sans GB"/>
                <w:b w:val="0"/>
                <w:color w:val="000000"/>
                <w:sz w:val="22"/>
              </w:rPr>
              <w:t>NSCC 与 DTC 结算；分别记录 CNS 和非 CNS 结果。</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ECS-NSCC-06</w:t>
            </w:r>
          </w:p>
        </w:tc>
        <w:tc>
          <w:tcPr>
            <w:tcW w:type="dxa" w:w="2340"/>
            <w:vAlign w:val="center"/>
          </w:tcPr>
          <w:p>
            <w:pPr>
              <w:keepNext w:val="0"/>
              <w:spacing w:before="0" w:after="80" w:line="259" w:lineRule="auto"/>
            </w:pPr>
            <w:r>
              <w:rPr>
                <w:rFonts w:ascii="Calibri" w:hAnsi="Calibri" w:eastAsia="Hiragino Sans GB"/>
                <w:b w:val="0"/>
                <w:color w:val="000000"/>
                <w:sz w:val="22"/>
              </w:rPr>
              <w:t>NSCC 清算会员实际违约或 NSCC 停止为其提供服务。</w:t>
            </w:r>
          </w:p>
        </w:tc>
        <w:tc>
          <w:tcPr>
            <w:tcW w:type="dxa" w:w="2340"/>
            <w:vAlign w:val="center"/>
          </w:tcPr>
          <w:p>
            <w:pPr>
              <w:keepNext w:val="0"/>
              <w:spacing w:before="0" w:after="80" w:line="259" w:lineRule="auto"/>
            </w:pPr>
            <w:r>
              <w:rPr>
                <w:rFonts w:ascii="Calibri" w:hAnsi="Calibri" w:eastAsia="Hiragino Sans GB"/>
                <w:b w:val="0"/>
                <w:color w:val="000000"/>
                <w:sz w:val="22"/>
              </w:rPr>
              <w:t>NSCC 处理该会员未平仓 CNS 多空头寸，面临买入及平仓期间的市场价格风险。</w:t>
            </w:r>
          </w:p>
        </w:tc>
        <w:tc>
          <w:tcPr>
            <w:tcW w:type="dxa" w:w="2340"/>
            <w:vAlign w:val="center"/>
          </w:tcPr>
          <w:p>
            <w:pPr>
              <w:keepNext w:val="0"/>
              <w:spacing w:before="0" w:after="80" w:line="259" w:lineRule="auto"/>
            </w:pPr>
            <w:r>
              <w:rPr>
                <w:rFonts w:ascii="Calibri" w:hAnsi="Calibri" w:eastAsia="Hiragino Sans GB"/>
                <w:b w:val="0"/>
                <w:color w:val="000000"/>
                <w:sz w:val="22"/>
              </w:rPr>
              <w:t>NSCC 停止服务后的 CNS 平仓。</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ECS-DTC-02</w:t>
            </w:r>
          </w:p>
        </w:tc>
        <w:tc>
          <w:tcPr>
            <w:tcW w:type="dxa" w:w="2340"/>
            <w:vAlign w:val="center"/>
          </w:tcPr>
          <w:p>
            <w:pPr>
              <w:keepNext w:val="0"/>
              <w:spacing w:before="0" w:after="80" w:line="259" w:lineRule="auto"/>
            </w:pPr>
            <w:r>
              <w:rPr>
                <w:rFonts w:ascii="Calibri" w:hAnsi="Calibri" w:eastAsia="Hiragino Sans GB"/>
                <w:b w:val="0"/>
                <w:color w:val="000000"/>
                <w:sz w:val="22"/>
              </w:rPr>
              <w:t>DTC 结算银行出现融资、信用或运营问题。</w:t>
            </w:r>
          </w:p>
        </w:tc>
        <w:tc>
          <w:tcPr>
            <w:tcW w:type="dxa" w:w="2340"/>
            <w:vAlign w:val="center"/>
          </w:tcPr>
          <w:p>
            <w:pPr>
              <w:keepNext w:val="0"/>
              <w:spacing w:before="0" w:after="80" w:line="259" w:lineRule="auto"/>
            </w:pPr>
            <w:r>
              <w:rPr>
                <w:rFonts w:ascii="Calibri" w:hAnsi="Calibri" w:eastAsia="Hiragino Sans GB"/>
                <w:b w:val="0"/>
                <w:color w:val="000000"/>
                <w:sz w:val="22"/>
              </w:rPr>
              <w:t>若该银行拒绝或无法通过 Fedwire 完成汇总净额支付，其所代表参与者的日终资金结算不能按时完成。</w:t>
            </w:r>
          </w:p>
        </w:tc>
        <w:tc>
          <w:tcPr>
            <w:tcW w:type="dxa" w:w="2340"/>
            <w:vAlign w:val="center"/>
          </w:tcPr>
          <w:p>
            <w:pPr>
              <w:keepNext w:val="0"/>
              <w:spacing w:before="0" w:after="80" w:line="259" w:lineRule="auto"/>
            </w:pPr>
            <w:r>
              <w:rPr>
                <w:rFonts w:ascii="Calibri" w:hAnsi="Calibri" w:eastAsia="Hiragino Sans GB"/>
                <w:b w:val="0"/>
                <w:color w:val="000000"/>
                <w:sz w:val="22"/>
              </w:rPr>
              <w:t>DTC 结算银行日终资金结算。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ECS-DTC-05</w:t>
            </w:r>
          </w:p>
        </w:tc>
        <w:tc>
          <w:tcPr>
            <w:tcW w:type="dxa" w:w="2340"/>
            <w:vAlign w:val="center"/>
          </w:tcPr>
          <w:p>
            <w:pPr>
              <w:keepNext w:val="0"/>
              <w:spacing w:before="0" w:after="80" w:line="259" w:lineRule="auto"/>
            </w:pPr>
            <w:r>
              <w:rPr>
                <w:rFonts w:ascii="Calibri" w:hAnsi="Calibri" w:eastAsia="Hiragino Sans GB"/>
                <w:b w:val="0"/>
                <w:color w:val="000000"/>
                <w:sz w:val="22"/>
              </w:rPr>
              <w:t>大型 DTC 参与者遭遇网络攻击或重大系统故障。</w:t>
            </w:r>
          </w:p>
        </w:tc>
        <w:tc>
          <w:tcPr>
            <w:tcW w:type="dxa" w:w="2340"/>
            <w:vAlign w:val="center"/>
          </w:tcPr>
          <w:p>
            <w:pPr>
              <w:keepNext w:val="0"/>
              <w:spacing w:before="0" w:after="80" w:line="259" w:lineRule="auto"/>
            </w:pPr>
            <w:r>
              <w:rPr>
                <w:rFonts w:ascii="Calibri" w:hAnsi="Calibri" w:eastAsia="Hiragino Sans GB"/>
                <w:b w:val="0"/>
                <w:color w:val="000000"/>
                <w:sz w:val="22"/>
              </w:rPr>
              <w:t>参与者与 DTC 的连接或指令传输受损，使其账簿划转和结算受阻，可涉及参与者系统中断处理。</w:t>
            </w:r>
          </w:p>
        </w:tc>
        <w:tc>
          <w:tcPr>
            <w:tcW w:type="dxa" w:w="2340"/>
            <w:vAlign w:val="center"/>
          </w:tcPr>
          <w:p>
            <w:pPr>
              <w:keepNext w:val="0"/>
              <w:spacing w:before="0" w:after="80" w:line="259" w:lineRule="auto"/>
            </w:pPr>
            <w:r>
              <w:rPr>
                <w:rFonts w:ascii="Calibri" w:hAnsi="Calibri" w:eastAsia="Hiragino Sans GB"/>
                <w:b w:val="0"/>
                <w:color w:val="000000"/>
                <w:sz w:val="22"/>
              </w:rPr>
              <w:t>DTC 参与者系统中断及相关指令处理。</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TEAM-ECS-01</w:t>
            </w:r>
          </w:p>
        </w:tc>
        <w:tc>
          <w:tcPr>
            <w:tcW w:type="dxa" w:w="2340"/>
            <w:vAlign w:val="center"/>
          </w:tcPr>
          <w:p>
            <w:pPr>
              <w:keepNext w:val="0"/>
              <w:spacing w:before="0" w:after="80" w:line="259" w:lineRule="auto"/>
            </w:pPr>
            <w:r>
              <w:rPr>
                <w:rFonts w:ascii="Calibri" w:hAnsi="Calibri" w:eastAsia="Hiragino Sans GB"/>
                <w:b w:val="0"/>
                <w:color w:val="000000"/>
                <w:sz w:val="22"/>
              </w:rPr>
              <w:t>股市急跌或价格剧烈波动。</w:t>
            </w:r>
          </w:p>
        </w:tc>
        <w:tc>
          <w:tcPr>
            <w:tcW w:type="dxa" w:w="2340"/>
            <w:vAlign w:val="center"/>
          </w:tcPr>
          <w:p>
            <w:pPr>
              <w:keepNext w:val="0"/>
              <w:spacing w:before="0" w:after="80" w:line="259" w:lineRule="auto"/>
            </w:pPr>
            <w:r>
              <w:rPr>
                <w:rFonts w:ascii="Calibri" w:hAnsi="Calibri" w:eastAsia="Hiragino Sans GB"/>
                <w:b w:val="0"/>
                <w:color w:val="000000"/>
                <w:sz w:val="22"/>
              </w:rPr>
              <w:t>头寸风险重估可能改变 Clearing Fund 要求，引发追加保证金需求。</w:t>
            </w:r>
          </w:p>
        </w:tc>
        <w:tc>
          <w:tcPr>
            <w:tcW w:type="dxa" w:w="2340"/>
            <w:vAlign w:val="center"/>
          </w:tcPr>
          <w:p>
            <w:pPr>
              <w:keepNext w:val="0"/>
              <w:spacing w:before="0" w:after="80" w:line="259" w:lineRule="auto"/>
            </w:pPr>
            <w:r>
              <w:rPr>
                <w:rFonts w:ascii="Calibri" w:hAnsi="Calibri" w:eastAsia="Hiragino Sans GB"/>
                <w:b w:val="0"/>
                <w:color w:val="000000"/>
                <w:sz w:val="22"/>
              </w:rPr>
              <w:t>NSCC Clearing Fund 追缴；区别于每日 VM 付款。</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TEAM-ECS-02</w:t>
            </w:r>
          </w:p>
        </w:tc>
        <w:tc>
          <w:tcPr>
            <w:tcW w:type="dxa" w:w="2340"/>
            <w:vAlign w:val="center"/>
          </w:tcPr>
          <w:p>
            <w:pPr>
              <w:keepNext w:val="0"/>
              <w:spacing w:before="0" w:after="80" w:line="259" w:lineRule="auto"/>
            </w:pPr>
            <w:r>
              <w:rPr>
                <w:rFonts w:ascii="Calibri" w:hAnsi="Calibri" w:eastAsia="Hiragino Sans GB"/>
                <w:b w:val="0"/>
                <w:color w:val="000000"/>
                <w:sz w:val="22"/>
              </w:rPr>
              <w:t>股市波动超过保证金模型覆盖预期。</w:t>
            </w:r>
          </w:p>
        </w:tc>
        <w:tc>
          <w:tcPr>
            <w:tcW w:type="dxa" w:w="2340"/>
            <w:vAlign w:val="center"/>
          </w:tcPr>
          <w:p>
            <w:pPr>
              <w:keepNext w:val="0"/>
              <w:spacing w:before="0" w:after="80" w:line="259" w:lineRule="auto"/>
            </w:pPr>
            <w:r>
              <w:rPr>
                <w:rFonts w:ascii="Calibri" w:hAnsi="Calibri" w:eastAsia="Hiragino Sans GB"/>
                <w:b w:val="0"/>
                <w:color w:val="000000"/>
                <w:sz w:val="22"/>
              </w:rPr>
              <w:t>部分历史头寸损失超过模型所需保证金，产生回测突破并提示覆盖偏差。</w:t>
            </w:r>
          </w:p>
        </w:tc>
        <w:tc>
          <w:tcPr>
            <w:tcW w:type="dxa" w:w="2340"/>
            <w:vAlign w:val="center"/>
          </w:tcPr>
          <w:p>
            <w:pPr>
              <w:keepNext w:val="0"/>
              <w:spacing w:before="0" w:after="80" w:line="259" w:lineRule="auto"/>
            </w:pPr>
            <w:r>
              <w:rPr>
                <w:rFonts w:ascii="Calibri" w:hAnsi="Calibri" w:eastAsia="Hiragino Sans GB"/>
                <w:b w:val="0"/>
                <w:color w:val="000000"/>
                <w:sz w:val="22"/>
              </w:rPr>
              <w:t>NSCC 保证金模型覆盖及回测。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TEAM-ECS-03</w:t>
            </w:r>
          </w:p>
        </w:tc>
        <w:tc>
          <w:tcPr>
            <w:tcW w:type="dxa" w:w="2340"/>
            <w:vAlign w:val="center"/>
          </w:tcPr>
          <w:p>
            <w:pPr>
              <w:keepNext w:val="0"/>
              <w:spacing w:before="0" w:after="80" w:line="259" w:lineRule="auto"/>
            </w:pPr>
            <w:r>
              <w:rPr>
                <w:rFonts w:ascii="Calibri" w:hAnsi="Calibri" w:eastAsia="Hiragino Sans GB"/>
                <w:b w:val="0"/>
                <w:color w:val="000000"/>
                <w:sz w:val="22"/>
              </w:rPr>
              <w:t>股票成交量异常激增。</w:t>
            </w:r>
          </w:p>
        </w:tc>
        <w:tc>
          <w:tcPr>
            <w:tcW w:type="dxa" w:w="2340"/>
            <w:vAlign w:val="center"/>
          </w:tcPr>
          <w:p>
            <w:pPr>
              <w:keepNext w:val="0"/>
              <w:spacing w:before="0" w:after="80" w:line="259" w:lineRule="auto"/>
            </w:pPr>
            <w:r>
              <w:rPr>
                <w:rFonts w:ascii="Calibri" w:hAnsi="Calibri" w:eastAsia="Hiragino Sans GB"/>
                <w:b w:val="0"/>
                <w:color w:val="000000"/>
                <w:sz w:val="22"/>
              </w:rPr>
              <w:t>若交易捕获和净额处理负荷接近实际容量，可能出现延迟或故障；须有独立运营证据。</w:t>
            </w:r>
          </w:p>
        </w:tc>
        <w:tc>
          <w:tcPr>
            <w:tcW w:type="dxa" w:w="2340"/>
            <w:vAlign w:val="center"/>
          </w:tcPr>
          <w:p>
            <w:pPr>
              <w:keepNext w:val="0"/>
              <w:spacing w:before="0" w:after="80" w:line="259" w:lineRule="auto"/>
            </w:pPr>
            <w:r>
              <w:rPr>
                <w:rFonts w:ascii="Calibri" w:hAnsi="Calibri" w:eastAsia="Hiragino Sans GB"/>
                <w:b w:val="0"/>
                <w:color w:val="000000"/>
                <w:sz w:val="22"/>
              </w:rPr>
              <w:t>NSCC 交易捕获及净额处理系统。</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TEAM-ECS-04</w:t>
            </w:r>
          </w:p>
        </w:tc>
        <w:tc>
          <w:tcPr>
            <w:tcW w:type="dxa" w:w="2340"/>
            <w:vAlign w:val="center"/>
          </w:tcPr>
          <w:p>
            <w:pPr>
              <w:keepNext w:val="0"/>
              <w:spacing w:before="0" w:after="80" w:line="259" w:lineRule="auto"/>
            </w:pPr>
            <w:r>
              <w:rPr>
                <w:rFonts w:ascii="Calibri" w:hAnsi="Calibri" w:eastAsia="Hiragino Sans GB"/>
                <w:b w:val="0"/>
                <w:color w:val="000000"/>
                <w:sz w:val="22"/>
              </w:rPr>
              <w:t>具名券商或银行会员信用恶化，尚未确认违约。</w:t>
            </w:r>
          </w:p>
        </w:tc>
        <w:tc>
          <w:tcPr>
            <w:tcW w:type="dxa" w:w="2340"/>
            <w:vAlign w:val="center"/>
          </w:tcPr>
          <w:p>
            <w:pPr>
              <w:keepNext w:val="0"/>
              <w:spacing w:before="0" w:after="80" w:line="259" w:lineRule="auto"/>
            </w:pPr>
            <w:r>
              <w:rPr>
                <w:rFonts w:ascii="Calibri" w:hAnsi="Calibri" w:eastAsia="Hiragino Sans GB"/>
                <w:b w:val="0"/>
                <w:color w:val="000000"/>
                <w:sz w:val="22"/>
              </w:rPr>
              <w:t>信用风险增加可能触发会员监测或风险措施；实际违约后的 CNS 平仓另归 NSCC-06。</w:t>
            </w:r>
          </w:p>
        </w:tc>
        <w:tc>
          <w:tcPr>
            <w:tcW w:type="dxa" w:w="2340"/>
            <w:vAlign w:val="center"/>
          </w:tcPr>
          <w:p>
            <w:pPr>
              <w:keepNext w:val="0"/>
              <w:spacing w:before="0" w:after="80" w:line="259" w:lineRule="auto"/>
            </w:pPr>
            <w:r>
              <w:rPr>
                <w:rFonts w:ascii="Calibri" w:hAnsi="Calibri" w:eastAsia="Hiragino Sans GB"/>
                <w:b w:val="0"/>
                <w:color w:val="000000"/>
                <w:sz w:val="22"/>
              </w:rPr>
              <w:t>NSCC 会员信用监测与风险措施。</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TEAM-ECS-05</w:t>
            </w:r>
          </w:p>
        </w:tc>
        <w:tc>
          <w:tcPr>
            <w:tcW w:type="dxa" w:w="2340"/>
            <w:vAlign w:val="center"/>
          </w:tcPr>
          <w:p>
            <w:pPr>
              <w:keepNext w:val="0"/>
              <w:spacing w:before="0" w:after="80" w:line="259" w:lineRule="auto"/>
            </w:pPr>
            <w:r>
              <w:rPr>
                <w:rFonts w:ascii="Calibri" w:hAnsi="Calibri" w:eastAsia="Hiragino Sans GB"/>
                <w:b w:val="0"/>
                <w:color w:val="000000"/>
                <w:sz w:val="22"/>
              </w:rPr>
              <w:t>三巫日、Russell 调整或 S&amp;P 指数再平衡等已知高峰日期。</w:t>
            </w:r>
          </w:p>
        </w:tc>
        <w:tc>
          <w:tcPr>
            <w:tcW w:type="dxa" w:w="2340"/>
            <w:vAlign w:val="center"/>
          </w:tcPr>
          <w:p>
            <w:pPr>
              <w:keepNext w:val="0"/>
              <w:spacing w:before="0" w:after="80" w:line="259" w:lineRule="auto"/>
            </w:pPr>
            <w:r>
              <w:rPr>
                <w:rFonts w:ascii="Calibri" w:hAnsi="Calibri" w:eastAsia="Hiragino Sans GB"/>
                <w:b w:val="0"/>
                <w:color w:val="000000"/>
                <w:sz w:val="22"/>
              </w:rPr>
              <w:t>活动集中到可预知日期，增加当日处理负荷；额外失败或故障需单独验证。</w:t>
            </w:r>
          </w:p>
        </w:tc>
        <w:tc>
          <w:tcPr>
            <w:tcW w:type="dxa" w:w="2340"/>
            <w:vAlign w:val="center"/>
          </w:tcPr>
          <w:p>
            <w:pPr>
              <w:keepNext w:val="0"/>
              <w:spacing w:before="0" w:after="80" w:line="259" w:lineRule="auto"/>
            </w:pPr>
            <w:r>
              <w:rPr>
                <w:rFonts w:ascii="Calibri" w:hAnsi="Calibri" w:eastAsia="Hiragino Sans GB"/>
                <w:b w:val="0"/>
                <w:color w:val="000000"/>
                <w:sz w:val="22"/>
              </w:rPr>
              <w:t>NSCC 高峰日交易处理和后续交收。</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TEAM-ECS-06</w:t>
            </w:r>
          </w:p>
        </w:tc>
        <w:tc>
          <w:tcPr>
            <w:tcW w:type="dxa" w:w="2340"/>
            <w:vAlign w:val="center"/>
          </w:tcPr>
          <w:p>
            <w:pPr>
              <w:keepNext w:val="0"/>
              <w:spacing w:before="0" w:after="80" w:line="259" w:lineRule="auto"/>
            </w:pPr>
            <w:r>
              <w:rPr>
                <w:rFonts w:ascii="Calibri" w:hAnsi="Calibri" w:eastAsia="Hiragino Sans GB"/>
                <w:b w:val="0"/>
                <w:color w:val="000000"/>
                <w:sz w:val="22"/>
              </w:rPr>
              <w:t>云、网络或共享供应商发生广泛故障。</w:t>
            </w:r>
          </w:p>
        </w:tc>
        <w:tc>
          <w:tcPr>
            <w:tcW w:type="dxa" w:w="2340"/>
            <w:vAlign w:val="center"/>
          </w:tcPr>
          <w:p>
            <w:pPr>
              <w:keepNext w:val="0"/>
              <w:spacing w:before="0" w:after="80" w:line="259" w:lineRule="auto"/>
            </w:pPr>
            <w:r>
              <w:rPr>
                <w:rFonts w:ascii="Calibri" w:hAnsi="Calibri" w:eastAsia="Hiragino Sans GB"/>
                <w:b w:val="0"/>
                <w:color w:val="000000"/>
                <w:sz w:val="22"/>
              </w:rPr>
              <w:t>只有确认 DTC 或参与者依赖该服务、且相关连接或指令受阻，才能判断其向 DTC 传导。</w:t>
            </w:r>
          </w:p>
        </w:tc>
        <w:tc>
          <w:tcPr>
            <w:tcW w:type="dxa" w:w="2340"/>
            <w:vAlign w:val="center"/>
          </w:tcPr>
          <w:p>
            <w:pPr>
              <w:keepNext w:val="0"/>
              <w:spacing w:before="0" w:after="80" w:line="259" w:lineRule="auto"/>
            </w:pPr>
            <w:r>
              <w:rPr>
                <w:rFonts w:ascii="Calibri" w:hAnsi="Calibri" w:eastAsia="Hiragino Sans GB"/>
                <w:b w:val="0"/>
                <w:color w:val="000000"/>
                <w:sz w:val="22"/>
              </w:rPr>
              <w:t>DTC 依赖服务及指令处理；参与者中断与 DTC-05 关联去重。</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TEAM-ECS-07</w:t>
            </w:r>
          </w:p>
        </w:tc>
        <w:tc>
          <w:tcPr>
            <w:tcW w:type="dxa" w:w="2340"/>
            <w:vAlign w:val="center"/>
          </w:tcPr>
          <w:p>
            <w:pPr>
              <w:keepNext w:val="0"/>
              <w:spacing w:before="0" w:after="80" w:line="259" w:lineRule="auto"/>
            </w:pPr>
            <w:r>
              <w:rPr>
                <w:rFonts w:ascii="Calibri" w:hAnsi="Calibri" w:eastAsia="Hiragino Sans GB"/>
                <w:b w:val="0"/>
                <w:color w:val="000000"/>
                <w:sz w:val="22"/>
              </w:rPr>
              <w:t>IPO 或债券发行量显著增加。</w:t>
            </w:r>
          </w:p>
        </w:tc>
        <w:tc>
          <w:tcPr>
            <w:tcW w:type="dxa" w:w="2340"/>
            <w:vAlign w:val="center"/>
          </w:tcPr>
          <w:p>
            <w:pPr>
              <w:keepNext w:val="0"/>
              <w:spacing w:before="0" w:after="80" w:line="259" w:lineRule="auto"/>
            </w:pPr>
            <w:r>
              <w:rPr>
                <w:rFonts w:ascii="Calibri" w:hAnsi="Calibri" w:eastAsia="Hiragino Sans GB"/>
                <w:b w:val="0"/>
                <w:color w:val="000000"/>
                <w:sz w:val="22"/>
              </w:rPr>
              <w:t>新券资格审查和首次交收需求增加；是否形成积压取决于容量与实际处理情况。</w:t>
            </w:r>
          </w:p>
        </w:tc>
        <w:tc>
          <w:tcPr>
            <w:tcW w:type="dxa" w:w="2340"/>
            <w:vAlign w:val="center"/>
          </w:tcPr>
          <w:p>
            <w:pPr>
              <w:keepNext w:val="0"/>
              <w:spacing w:before="0" w:after="80" w:line="259" w:lineRule="auto"/>
            </w:pPr>
            <w:r>
              <w:rPr>
                <w:rFonts w:ascii="Calibri" w:hAnsi="Calibri" w:eastAsia="Hiragino Sans GB"/>
                <w:b w:val="0"/>
                <w:color w:val="000000"/>
                <w:sz w:val="22"/>
              </w:rPr>
              <w:t>DTC 新券资格及初始交收；业务归属暂沿用 ECS。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TEAM-ECS-08</w:t>
            </w:r>
          </w:p>
        </w:tc>
        <w:tc>
          <w:tcPr>
            <w:tcW w:type="dxa" w:w="2340"/>
            <w:vAlign w:val="center"/>
          </w:tcPr>
          <w:p>
            <w:pPr>
              <w:keepNext w:val="0"/>
              <w:spacing w:before="0" w:after="80" w:line="259" w:lineRule="auto"/>
            </w:pPr>
            <w:r>
              <w:rPr>
                <w:rFonts w:ascii="Calibri" w:hAnsi="Calibri" w:eastAsia="Hiragino Sans GB"/>
                <w:b w:val="0"/>
                <w:color w:val="000000"/>
                <w:sz w:val="22"/>
              </w:rPr>
              <w:t>网络攻击或重大故障直接影响 DTC 自身的相关系统。</w:t>
            </w:r>
          </w:p>
        </w:tc>
        <w:tc>
          <w:tcPr>
            <w:tcW w:type="dxa" w:w="2340"/>
            <w:vAlign w:val="center"/>
          </w:tcPr>
          <w:p>
            <w:pPr>
              <w:keepNext w:val="0"/>
              <w:spacing w:before="0" w:after="80" w:line="259" w:lineRule="auto"/>
            </w:pPr>
            <w:r>
              <w:rPr>
                <w:rFonts w:ascii="Calibri" w:hAnsi="Calibri" w:eastAsia="Hiragino Sans GB"/>
                <w:b w:val="0"/>
                <w:color w:val="000000"/>
                <w:sz w:val="22"/>
              </w:rPr>
              <w:t>若 DTC 的指令接收、处理或连接服务确实不可用，相关参与者的账簿划转与结算可能延迟。</w:t>
            </w:r>
          </w:p>
        </w:tc>
        <w:tc>
          <w:tcPr>
            <w:tcW w:type="dxa" w:w="2340"/>
            <w:vAlign w:val="center"/>
          </w:tcPr>
          <w:p>
            <w:pPr>
              <w:keepNext w:val="0"/>
              <w:spacing w:before="0" w:after="80" w:line="259" w:lineRule="auto"/>
            </w:pPr>
            <w:r>
              <w:rPr>
                <w:rFonts w:ascii="Calibri" w:hAnsi="Calibri" w:eastAsia="Hiragino Sans GB"/>
                <w:b w:val="0"/>
                <w:color w:val="000000"/>
                <w:sz w:val="22"/>
              </w:rPr>
              <w:t>DTC 自身服务连续性；区别于 DTC-05 的参与者系统中断。</w:t>
            </w:r>
          </w:p>
        </w:tc>
      </w:tr>
    </w:tbl>
    <w:p>
      <w:pPr>
        <w:pStyle w:val="Heading1"/>
      </w:pPr>
      <w:r>
        <w:rPr>
          <w:rFonts w:ascii="Calibri" w:hAnsi="Calibri" w:eastAsia="Hiragino Sans GB"/>
          <w:color w:val="000000"/>
        </w:rPr>
        <w:t>新增 DTCC 示例链</w:t>
      </w:r>
    </w:p>
    <w:p>
      <w:r>
        <w:rPr>
          <w:rFonts w:ascii="Calibri" w:hAnsi="Calibri" w:eastAsia="Hiragino Sans GB"/>
          <w:color w:val="000000"/>
        </w:rPr>
        <w:t>以下 31 条均为本轮新增，尚未按本链完成数据准备核对或检验。指标建议来自参考文件，不代表已经取得数据。相似事件、宏观信号或其他业务的既有检验，不自动转成这些链的通过结果。</w:t>
      </w:r>
    </w:p>
    <w:p>
      <w:pPr>
        <w:pStyle w:val="Heading2"/>
      </w:pPr>
      <w:r>
        <w:rPr>
          <w:rFonts w:ascii="Calibri" w:hAnsi="Calibri" w:eastAsia="Hiragino Sans GB"/>
          <w:color w:val="000000"/>
        </w:rPr>
        <w:t>FICC 新增 13 条</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编号</w:t>
            </w:r>
          </w:p>
        </w:tc>
        <w:tc>
          <w:tcPr>
            <w:tcW w:type="dxa" w:w="2340"/>
            <w:vAlign w:val="center"/>
            <w:shd w:fill="F2F2F2"/>
          </w:tcPr>
          <w:p>
            <w:pPr>
              <w:keepNext w:val="0"/>
              <w:spacing w:before="0" w:after="80" w:line="259" w:lineRule="auto"/>
            </w:pPr>
            <w:r>
              <w:rPr>
                <w:rFonts w:ascii="Calibri" w:hAnsi="Calibri" w:eastAsia="Hiragino Sans GB"/>
                <w:b/>
                <w:color w:val="000000"/>
                <w:sz w:val="22"/>
              </w:rPr>
              <w:t>外部事件</w:t>
            </w:r>
          </w:p>
        </w:tc>
        <w:tc>
          <w:tcPr>
            <w:tcW w:type="dxa" w:w="2340"/>
            <w:vAlign w:val="center"/>
            <w:shd w:fill="F2F2F2"/>
          </w:tcPr>
          <w:p>
            <w:pPr>
              <w:keepNext w:val="0"/>
              <w:spacing w:before="0" w:after="80" w:line="259" w:lineRule="auto"/>
            </w:pPr>
            <w:r>
              <w:rPr>
                <w:rFonts w:ascii="Calibri" w:hAnsi="Calibri" w:eastAsia="Hiragino Sans GB"/>
                <w:b/>
                <w:color w:val="000000"/>
                <w:sz w:val="22"/>
              </w:rPr>
              <w:t>机制</w:t>
            </w:r>
          </w:p>
        </w:tc>
        <w:tc>
          <w:tcPr>
            <w:tcW w:type="dxa" w:w="2340"/>
            <w:vAlign w:val="center"/>
            <w:shd w:fill="F2F2F2"/>
          </w:tcPr>
          <w:p>
            <w:pPr>
              <w:keepNext w:val="0"/>
              <w:spacing w:before="0" w:after="80" w:line="259" w:lineRule="auto"/>
            </w:pPr>
            <w:r>
              <w:rPr>
                <w:rFonts w:ascii="Calibri" w:hAnsi="Calibri" w:eastAsia="Hiragino Sans GB"/>
                <w:b/>
                <w:color w:val="000000"/>
                <w:sz w:val="22"/>
              </w:rPr>
              <w:t>具体 DTCC 流程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FICC-MBSD-02</w:t>
            </w:r>
          </w:p>
        </w:tc>
        <w:tc>
          <w:tcPr>
            <w:tcW w:type="dxa" w:w="2340"/>
            <w:vAlign w:val="center"/>
          </w:tcPr>
          <w:p>
            <w:pPr>
              <w:keepNext w:val="0"/>
              <w:spacing w:before="0" w:after="80" w:line="259" w:lineRule="auto"/>
            </w:pPr>
            <w:r>
              <w:rPr>
                <w:rFonts w:ascii="Calibri" w:hAnsi="Calibri" w:eastAsia="Hiragino Sans GB"/>
                <w:b w:val="0"/>
                <w:color w:val="000000"/>
                <w:sz w:val="22"/>
              </w:rPr>
              <w:t>抵押贷款资产池供应或参考数据出现问题，例如月末结算前后的池分配或数据错误。</w:t>
            </w:r>
          </w:p>
        </w:tc>
        <w:tc>
          <w:tcPr>
            <w:tcW w:type="dxa" w:w="2340"/>
            <w:vAlign w:val="center"/>
          </w:tcPr>
          <w:p>
            <w:pPr>
              <w:keepNext w:val="0"/>
              <w:spacing w:before="0" w:after="80" w:line="259" w:lineRule="auto"/>
            </w:pPr>
            <w:r>
              <w:rPr>
                <w:rFonts w:ascii="Calibri" w:hAnsi="Calibri" w:eastAsia="Hiragino Sans GB"/>
                <w:b w:val="0"/>
                <w:color w:val="000000"/>
                <w:sz w:val="22"/>
              </w:rPr>
              <w:t>会员无法按时履行资产池交付义务，导致交付失败；FICC 对每笔失败头寸的资金金额收取失败费用。</w:t>
            </w:r>
          </w:p>
        </w:tc>
        <w:tc>
          <w:tcPr>
            <w:tcW w:type="dxa" w:w="2340"/>
            <w:vAlign w:val="center"/>
          </w:tcPr>
          <w:p>
            <w:pPr>
              <w:keepNext w:val="0"/>
              <w:spacing w:before="0" w:after="80" w:line="259" w:lineRule="auto"/>
            </w:pPr>
            <w:r>
              <w:rPr>
                <w:rFonts w:ascii="Calibri" w:hAnsi="Calibri" w:eastAsia="Hiragino Sans GB"/>
                <w:b w:val="0"/>
                <w:color w:val="000000"/>
                <w:sz w:val="22"/>
              </w:rPr>
              <w:t>MBSD 资产池结算及交割失败费用。</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FICC-MBSD-03</w:t>
            </w:r>
          </w:p>
        </w:tc>
        <w:tc>
          <w:tcPr>
            <w:tcW w:type="dxa" w:w="2340"/>
            <w:vAlign w:val="center"/>
          </w:tcPr>
          <w:p>
            <w:pPr>
              <w:keepNext w:val="0"/>
              <w:spacing w:before="0" w:after="80" w:line="259" w:lineRule="auto"/>
            </w:pPr>
            <w:r>
              <w:rPr>
                <w:rFonts w:ascii="Calibri" w:hAnsi="Calibri" w:eastAsia="Hiragino Sans GB"/>
                <w:b w:val="0"/>
                <w:color w:val="000000"/>
                <w:sz w:val="22"/>
              </w:rPr>
              <w:t>清算会员遭遇财务压力，例如降级、负面新闻或业绩恶化。</w:t>
            </w:r>
          </w:p>
        </w:tc>
        <w:tc>
          <w:tcPr>
            <w:tcW w:type="dxa" w:w="2340"/>
            <w:vAlign w:val="center"/>
          </w:tcPr>
          <w:p>
            <w:pPr>
              <w:keepNext w:val="0"/>
              <w:spacing w:before="0" w:after="80" w:line="259" w:lineRule="auto"/>
            </w:pPr>
            <w:r>
              <w:rPr>
                <w:rFonts w:ascii="Calibri" w:hAnsi="Calibri" w:eastAsia="Hiragino Sans GB"/>
                <w:b w:val="0"/>
                <w:color w:val="000000"/>
                <w:sz w:val="22"/>
              </w:rPr>
              <w:t>会员被列入观察名单后，FICC 可要求高于规则 4 金额的清算基金存款；会员须满足每次保证金追缴，不论金额大小。</w:t>
            </w:r>
          </w:p>
        </w:tc>
        <w:tc>
          <w:tcPr>
            <w:tcW w:type="dxa" w:w="2340"/>
            <w:vAlign w:val="center"/>
          </w:tcPr>
          <w:p>
            <w:pPr>
              <w:keepNext w:val="0"/>
              <w:spacing w:before="0" w:after="80" w:line="259" w:lineRule="auto"/>
            </w:pPr>
            <w:r>
              <w:rPr>
                <w:rFonts w:ascii="Calibri" w:hAnsi="Calibri" w:eastAsia="Hiragino Sans GB"/>
                <w:b w:val="0"/>
                <w:color w:val="000000"/>
                <w:sz w:val="22"/>
              </w:rPr>
              <w:t>MBSD 观察名单监测与清算基金要求。</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FICC-GSD-05</w:t>
            </w:r>
          </w:p>
        </w:tc>
        <w:tc>
          <w:tcPr>
            <w:tcW w:type="dxa" w:w="2340"/>
            <w:vAlign w:val="center"/>
          </w:tcPr>
          <w:p>
            <w:pPr>
              <w:keepNext w:val="0"/>
              <w:spacing w:before="0" w:after="80" w:line="259" w:lineRule="auto"/>
            </w:pPr>
            <w:r>
              <w:rPr>
                <w:rFonts w:ascii="Calibri" w:hAnsi="Calibri" w:eastAsia="Hiragino Sans GB"/>
                <w:b w:val="0"/>
                <w:color w:val="000000"/>
                <w:sz w:val="22"/>
              </w:rPr>
              <w:t>日内抵押品或融资市场收紧，例如三方回购或一般抵押品融资压力。</w:t>
            </w:r>
          </w:p>
        </w:tc>
        <w:tc>
          <w:tcPr>
            <w:tcW w:type="dxa" w:w="2340"/>
            <w:vAlign w:val="center"/>
          </w:tcPr>
          <w:p>
            <w:pPr>
              <w:keepNext w:val="0"/>
              <w:spacing w:before="0" w:after="80" w:line="259" w:lineRule="auto"/>
            </w:pPr>
            <w:r>
              <w:rPr>
                <w:rFonts w:ascii="Calibri" w:hAnsi="Calibri" w:eastAsia="Hiragino Sans GB"/>
                <w:b w:val="0"/>
                <w:color w:val="000000"/>
                <w:sz w:val="22"/>
              </w:rPr>
              <w:t>净额结算会员未能在指定期限前履行 GCF 回购抵押品分配义务或现金义务，被视为其净头寸交收失败，并承担滞纳费用及利息。</w:t>
            </w:r>
          </w:p>
        </w:tc>
        <w:tc>
          <w:tcPr>
            <w:tcW w:type="dxa" w:w="2340"/>
            <w:vAlign w:val="center"/>
          </w:tcPr>
          <w:p>
            <w:pPr>
              <w:keepNext w:val="0"/>
              <w:spacing w:before="0" w:after="80" w:line="259" w:lineRule="auto"/>
            </w:pPr>
            <w:r>
              <w:rPr>
                <w:rFonts w:ascii="Calibri" w:hAnsi="Calibri" w:eastAsia="Hiragino Sans GB"/>
                <w:b w:val="0"/>
                <w:color w:val="000000"/>
                <w:sz w:val="22"/>
              </w:rPr>
              <w:t>GSD GCF 回购抵押品分配与资金结算。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FICC-GSD-07</w:t>
            </w:r>
          </w:p>
        </w:tc>
        <w:tc>
          <w:tcPr>
            <w:tcW w:type="dxa" w:w="2340"/>
            <w:vAlign w:val="center"/>
          </w:tcPr>
          <w:p>
            <w:pPr>
              <w:keepNext w:val="0"/>
              <w:spacing w:before="0" w:after="80" w:line="259" w:lineRule="auto"/>
            </w:pPr>
            <w:r>
              <w:rPr>
                <w:rFonts w:ascii="Calibri" w:hAnsi="Calibri" w:eastAsia="Hiragino Sans GB"/>
                <w:b w:val="0"/>
                <w:color w:val="000000"/>
                <w:sz w:val="22"/>
              </w:rPr>
              <w:t>货币市场基金、企业等现金投资者减少回购出资。</w:t>
            </w:r>
          </w:p>
        </w:tc>
        <w:tc>
          <w:tcPr>
            <w:tcW w:type="dxa" w:w="2340"/>
            <w:vAlign w:val="center"/>
          </w:tcPr>
          <w:p>
            <w:pPr>
              <w:keepNext w:val="0"/>
              <w:spacing w:before="0" w:after="80" w:line="259" w:lineRule="auto"/>
            </w:pPr>
            <w:r>
              <w:rPr>
                <w:rFonts w:ascii="Calibri" w:hAnsi="Calibri" w:eastAsia="Hiragino Sans GB"/>
                <w:b w:val="0"/>
                <w:color w:val="000000"/>
                <w:sz w:val="22"/>
              </w:rPr>
              <w:t>CCIT 三方回购业务量及与这些现金出资方面对交易的净额结算会员对手方收缩，推动资金流入或流出 GCF 回购服务。</w:t>
            </w:r>
          </w:p>
        </w:tc>
        <w:tc>
          <w:tcPr>
            <w:tcW w:type="dxa" w:w="2340"/>
            <w:vAlign w:val="center"/>
          </w:tcPr>
          <w:p>
            <w:pPr>
              <w:keepNext w:val="0"/>
              <w:spacing w:before="0" w:after="80" w:line="259" w:lineRule="auto"/>
            </w:pPr>
            <w:r>
              <w:rPr>
                <w:rFonts w:ascii="Calibri" w:hAnsi="Calibri" w:eastAsia="Hiragino Sans GB"/>
                <w:b w:val="0"/>
                <w:color w:val="000000"/>
                <w:sz w:val="22"/>
              </w:rPr>
              <w:t>GSD CCIT 三方回购服务与 GCF 回购。</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FICC-MBSD-04</w:t>
            </w:r>
          </w:p>
        </w:tc>
        <w:tc>
          <w:tcPr>
            <w:tcW w:type="dxa" w:w="2340"/>
            <w:vAlign w:val="center"/>
          </w:tcPr>
          <w:p>
            <w:pPr>
              <w:keepNext w:val="0"/>
              <w:spacing w:before="0" w:after="80" w:line="259" w:lineRule="auto"/>
            </w:pPr>
            <w:r>
              <w:rPr>
                <w:rFonts w:ascii="Calibri" w:hAnsi="Calibri" w:eastAsia="Hiragino Sans GB"/>
                <w:b w:val="0"/>
                <w:color w:val="000000"/>
                <w:sz w:val="22"/>
              </w:rPr>
              <w:t>全市场中断，例如交易所暂停交易、银行暂停营业或宣布紧急状态。</w:t>
            </w:r>
          </w:p>
        </w:tc>
        <w:tc>
          <w:tcPr>
            <w:tcW w:type="dxa" w:w="2340"/>
            <w:vAlign w:val="center"/>
          </w:tcPr>
          <w:p>
            <w:pPr>
              <w:keepNext w:val="0"/>
              <w:spacing w:before="0" w:after="80" w:line="259" w:lineRule="auto"/>
            </w:pPr>
            <w:r>
              <w:rPr>
                <w:rFonts w:ascii="Calibri" w:hAnsi="Calibri" w:eastAsia="Hiragino Sans GB"/>
                <w:b w:val="0"/>
                <w:color w:val="000000"/>
                <w:sz w:val="22"/>
              </w:rPr>
              <w:t>FICC 启用市场中断或不可抗力相关权限，暂停、延长或调整结算时限及义务。</w:t>
            </w:r>
          </w:p>
        </w:tc>
        <w:tc>
          <w:tcPr>
            <w:tcW w:type="dxa" w:w="2340"/>
            <w:vAlign w:val="center"/>
          </w:tcPr>
          <w:p>
            <w:pPr>
              <w:keepNext w:val="0"/>
              <w:spacing w:before="0" w:after="80" w:line="259" w:lineRule="auto"/>
            </w:pPr>
            <w:r>
              <w:rPr>
                <w:rFonts w:ascii="Calibri" w:hAnsi="Calibri" w:eastAsia="Hiragino Sans GB"/>
                <w:b w:val="0"/>
                <w:color w:val="000000"/>
                <w:sz w:val="22"/>
              </w:rPr>
              <w:t>市场中断下的 MBSD 结算时限。</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FICC-MBSD-05</w:t>
            </w:r>
          </w:p>
        </w:tc>
        <w:tc>
          <w:tcPr>
            <w:tcW w:type="dxa" w:w="2340"/>
            <w:vAlign w:val="center"/>
          </w:tcPr>
          <w:p>
            <w:pPr>
              <w:keepNext w:val="0"/>
              <w:spacing w:before="0" w:after="80" w:line="259" w:lineRule="auto"/>
            </w:pPr>
            <w:r>
              <w:rPr>
                <w:rFonts w:ascii="Calibri" w:hAnsi="Calibri" w:eastAsia="Hiragino Sans GB"/>
                <w:b w:val="0"/>
                <w:color w:val="000000"/>
                <w:sz w:val="22"/>
              </w:rPr>
              <w:t>大型会员系统遭遇网络事件或重大故障。</w:t>
            </w:r>
          </w:p>
        </w:tc>
        <w:tc>
          <w:tcPr>
            <w:tcW w:type="dxa" w:w="2340"/>
            <w:vAlign w:val="center"/>
          </w:tcPr>
          <w:p>
            <w:pPr>
              <w:keepNext w:val="0"/>
              <w:spacing w:before="0" w:after="80" w:line="259" w:lineRule="auto"/>
            </w:pPr>
            <w:r>
              <w:rPr>
                <w:rFonts w:ascii="Calibri" w:hAnsi="Calibri" w:eastAsia="Hiragino Sans GB"/>
                <w:b w:val="0"/>
                <w:color w:val="000000"/>
                <w:sz w:val="22"/>
              </w:rPr>
              <w:t>会员与 DTCC 系统的连接受损，提交及交付受到干扰，FICC 可依参与者系统中断规则采取行动。</w:t>
            </w:r>
          </w:p>
        </w:tc>
        <w:tc>
          <w:tcPr>
            <w:tcW w:type="dxa" w:w="2340"/>
            <w:vAlign w:val="center"/>
          </w:tcPr>
          <w:p>
            <w:pPr>
              <w:keepNext w:val="0"/>
              <w:spacing w:before="0" w:after="80" w:line="259" w:lineRule="auto"/>
            </w:pPr>
            <w:r>
              <w:rPr>
                <w:rFonts w:ascii="Calibri" w:hAnsi="Calibri" w:eastAsia="Hiragino Sans GB"/>
                <w:b w:val="0"/>
                <w:color w:val="000000"/>
                <w:sz w:val="22"/>
              </w:rPr>
              <w:t>MBSD 参与者系统中断。</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FICC-GSD-09</w:t>
            </w:r>
          </w:p>
        </w:tc>
        <w:tc>
          <w:tcPr>
            <w:tcW w:type="dxa" w:w="2340"/>
            <w:vAlign w:val="center"/>
          </w:tcPr>
          <w:p>
            <w:pPr>
              <w:keepNext w:val="0"/>
              <w:spacing w:before="0" w:after="80" w:line="259" w:lineRule="auto"/>
            </w:pPr>
            <w:r>
              <w:rPr>
                <w:rFonts w:ascii="Calibri" w:hAnsi="Calibri" w:eastAsia="Hiragino Sans GB"/>
                <w:b w:val="0"/>
                <w:color w:val="000000"/>
                <w:sz w:val="22"/>
              </w:rPr>
              <w:t>期货市场与国债市场同时出现剧烈变动。</w:t>
            </w:r>
          </w:p>
        </w:tc>
        <w:tc>
          <w:tcPr>
            <w:tcW w:type="dxa" w:w="2340"/>
            <w:vAlign w:val="center"/>
          </w:tcPr>
          <w:p>
            <w:pPr>
              <w:keepNext w:val="0"/>
              <w:spacing w:before="0" w:after="80" w:line="259" w:lineRule="auto"/>
            </w:pPr>
            <w:r>
              <w:rPr>
                <w:rFonts w:ascii="Calibri" w:hAnsi="Calibri" w:eastAsia="Hiragino Sans GB"/>
                <w:b w:val="0"/>
                <w:color w:val="000000"/>
                <w:sz w:val="22"/>
              </w:rPr>
              <w:t>在交叉保证金安排下，关联期货清算机构的对冲头寸改变会员净风险，使 GSD 所需基金存款随组合账簿变化。</w:t>
            </w:r>
          </w:p>
        </w:tc>
        <w:tc>
          <w:tcPr>
            <w:tcW w:type="dxa" w:w="2340"/>
            <w:vAlign w:val="center"/>
          </w:tcPr>
          <w:p>
            <w:pPr>
              <w:keepNext w:val="0"/>
              <w:spacing w:before="0" w:after="80" w:line="259" w:lineRule="auto"/>
            </w:pPr>
            <w:r>
              <w:rPr>
                <w:rFonts w:ascii="Calibri" w:hAnsi="Calibri" w:eastAsia="Hiragino Sans GB"/>
                <w:b w:val="0"/>
                <w:color w:val="000000"/>
                <w:sz w:val="22"/>
              </w:rPr>
              <w:t>GSD 交叉保证金与所需基金存款。</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FICC-GSD-10</w:t>
            </w:r>
          </w:p>
        </w:tc>
        <w:tc>
          <w:tcPr>
            <w:tcW w:type="dxa" w:w="2340"/>
            <w:vAlign w:val="center"/>
          </w:tcPr>
          <w:p>
            <w:pPr>
              <w:keepNext w:val="0"/>
              <w:spacing w:before="0" w:after="80" w:line="259" w:lineRule="auto"/>
            </w:pPr>
            <w:r>
              <w:rPr>
                <w:rFonts w:ascii="Calibri" w:hAnsi="Calibri" w:eastAsia="Hiragino Sans GB"/>
                <w:b w:val="0"/>
                <w:color w:val="000000"/>
                <w:sz w:val="22"/>
              </w:rPr>
              <w:t>国债拍卖周期发行量大，或拍卖交收不顺。</w:t>
            </w:r>
          </w:p>
        </w:tc>
        <w:tc>
          <w:tcPr>
            <w:tcW w:type="dxa" w:w="2340"/>
            <w:vAlign w:val="center"/>
          </w:tcPr>
          <w:p>
            <w:pPr>
              <w:keepNext w:val="0"/>
              <w:spacing w:before="0" w:after="80" w:line="259" w:lineRule="auto"/>
            </w:pPr>
            <w:r>
              <w:rPr>
                <w:rFonts w:ascii="Calibri" w:hAnsi="Calibri" w:eastAsia="Hiragino Sans GB"/>
                <w:b w:val="0"/>
                <w:color w:val="000000"/>
                <w:sz w:val="22"/>
              </w:rPr>
              <w:t>符合净额结算条件的拍卖购买进入净额处理，并须在发行日交收，使当天的交付及融资义务集中。</w:t>
            </w:r>
          </w:p>
        </w:tc>
        <w:tc>
          <w:tcPr>
            <w:tcW w:type="dxa" w:w="2340"/>
            <w:vAlign w:val="center"/>
          </w:tcPr>
          <w:p>
            <w:pPr>
              <w:keepNext w:val="0"/>
              <w:spacing w:before="0" w:after="80" w:line="259" w:lineRule="auto"/>
            </w:pPr>
            <w:r>
              <w:rPr>
                <w:rFonts w:ascii="Calibri" w:hAnsi="Calibri" w:eastAsia="Hiragino Sans GB"/>
                <w:b w:val="0"/>
                <w:color w:val="000000"/>
                <w:sz w:val="22"/>
              </w:rPr>
              <w:t>GSD 拍卖购买的净额处理与结算。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FICC-MBSD-06</w:t>
            </w:r>
          </w:p>
        </w:tc>
        <w:tc>
          <w:tcPr>
            <w:tcW w:type="dxa" w:w="2340"/>
            <w:vAlign w:val="center"/>
          </w:tcPr>
          <w:p>
            <w:pPr>
              <w:keepNext w:val="0"/>
              <w:spacing w:before="0" w:after="80" w:line="259" w:lineRule="auto"/>
            </w:pPr>
            <w:r>
              <w:rPr>
                <w:rFonts w:ascii="Calibri" w:hAnsi="Calibri" w:eastAsia="Hiragino Sans GB"/>
                <w:b w:val="0"/>
                <w:color w:val="000000"/>
                <w:sz w:val="22"/>
              </w:rPr>
              <w:t>远期业务管道大量积累，例如大量 TBA 发起交易约定于未来月份结算。</w:t>
            </w:r>
          </w:p>
        </w:tc>
        <w:tc>
          <w:tcPr>
            <w:tcW w:type="dxa" w:w="2340"/>
            <w:vAlign w:val="center"/>
          </w:tcPr>
          <w:p>
            <w:pPr>
              <w:keepNext w:val="0"/>
              <w:spacing w:before="0" w:after="80" w:line="259" w:lineRule="auto"/>
            </w:pPr>
            <w:r>
              <w:rPr>
                <w:rFonts w:ascii="Calibri" w:hAnsi="Calibri" w:eastAsia="Hiragino Sans GB"/>
                <w:b w:val="0"/>
                <w:color w:val="000000"/>
                <w:sz w:val="22"/>
              </w:rPr>
              <w:t>远期净结算头寸持续积累，并在交收前缴纳保证金，因此后续利率变化可使庞大远期账簿的保证金和结算需求波动。</w:t>
            </w:r>
          </w:p>
        </w:tc>
        <w:tc>
          <w:tcPr>
            <w:tcW w:type="dxa" w:w="2340"/>
            <w:vAlign w:val="center"/>
          </w:tcPr>
          <w:p>
            <w:pPr>
              <w:keepNext w:val="0"/>
              <w:spacing w:before="0" w:after="80" w:line="259" w:lineRule="auto"/>
            </w:pPr>
            <w:r>
              <w:rPr>
                <w:rFonts w:ascii="Calibri" w:hAnsi="Calibri" w:eastAsia="Hiragino Sans GB"/>
                <w:b w:val="0"/>
                <w:color w:val="000000"/>
                <w:sz w:val="22"/>
              </w:rPr>
              <w:t>MBSD TBA 净额处理与远期结算头寸。</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FICC-MBSD-07</w:t>
            </w:r>
          </w:p>
        </w:tc>
        <w:tc>
          <w:tcPr>
            <w:tcW w:type="dxa" w:w="2340"/>
            <w:vAlign w:val="center"/>
          </w:tcPr>
          <w:p>
            <w:pPr>
              <w:keepNext w:val="0"/>
              <w:spacing w:before="0" w:after="80" w:line="259" w:lineRule="auto"/>
            </w:pPr>
            <w:r>
              <w:rPr>
                <w:rFonts w:ascii="Calibri" w:hAnsi="Calibri" w:eastAsia="Hiragino Sans GB"/>
                <w:b w:val="0"/>
                <w:color w:val="000000"/>
                <w:sz w:val="22"/>
              </w:rPr>
              <w:t>期权到期附近的利率变动使大量 MBS 期权转为价内或价外。</w:t>
            </w:r>
          </w:p>
        </w:tc>
        <w:tc>
          <w:tcPr>
            <w:tcW w:type="dxa" w:w="2340"/>
            <w:vAlign w:val="center"/>
          </w:tcPr>
          <w:p>
            <w:pPr>
              <w:keepNext w:val="0"/>
              <w:spacing w:before="0" w:after="80" w:line="259" w:lineRule="auto"/>
            </w:pPr>
            <w:r>
              <w:rPr>
                <w:rFonts w:ascii="Calibri" w:hAnsi="Calibri" w:eastAsia="Hiragino Sans GB"/>
                <w:b w:val="0"/>
                <w:color w:val="000000"/>
                <w:sz w:val="22"/>
              </w:rPr>
              <w:t>到期或行权时，会员须提交注销和所产生的交易；未平仓期权合约在结算前继续产生所需基金存款要求。</w:t>
            </w:r>
          </w:p>
        </w:tc>
        <w:tc>
          <w:tcPr>
            <w:tcW w:type="dxa" w:w="2340"/>
            <w:vAlign w:val="center"/>
          </w:tcPr>
          <w:p>
            <w:pPr>
              <w:keepNext w:val="0"/>
              <w:spacing w:before="0" w:after="80" w:line="259" w:lineRule="auto"/>
            </w:pPr>
            <w:r>
              <w:rPr>
                <w:rFonts w:ascii="Calibri" w:hAnsi="Calibri" w:eastAsia="Hiragino Sans GB"/>
                <w:b w:val="0"/>
                <w:color w:val="000000"/>
                <w:sz w:val="22"/>
              </w:rPr>
              <w:t>MBSD 期权到期与行权。</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FICC-MBSD-08</w:t>
            </w:r>
          </w:p>
        </w:tc>
        <w:tc>
          <w:tcPr>
            <w:tcW w:type="dxa" w:w="2340"/>
            <w:vAlign w:val="center"/>
          </w:tcPr>
          <w:p>
            <w:pPr>
              <w:keepNext w:val="0"/>
              <w:spacing w:before="0" w:after="80" w:line="259" w:lineRule="auto"/>
            </w:pPr>
            <w:r>
              <w:rPr>
                <w:rFonts w:ascii="Calibri" w:hAnsi="Calibri" w:eastAsia="Hiragino Sans GB"/>
                <w:b w:val="0"/>
                <w:color w:val="000000"/>
                <w:sz w:val="22"/>
              </w:rPr>
              <w:t>通过资产池通知服务发送的池分配详情迟到或有误。</w:t>
            </w:r>
          </w:p>
        </w:tc>
        <w:tc>
          <w:tcPr>
            <w:tcW w:type="dxa" w:w="2340"/>
            <w:vAlign w:val="center"/>
          </w:tcPr>
          <w:p>
            <w:pPr>
              <w:keepNext w:val="0"/>
              <w:spacing w:before="0" w:after="80" w:line="259" w:lineRule="auto"/>
            </w:pPr>
            <w:r>
              <w:rPr>
                <w:rFonts w:ascii="Calibri" w:hAnsi="Calibri" w:eastAsia="Hiragino Sans GB"/>
                <w:b w:val="0"/>
                <w:color w:val="000000"/>
                <w:sz w:val="22"/>
              </w:rPr>
              <w:t>EPN 消息错过良好交付的 T2 时间戳要求，或包含不准确的池数据，使对手方无法及时确认分配，干扰后续资产池结算。</w:t>
            </w:r>
          </w:p>
        </w:tc>
        <w:tc>
          <w:tcPr>
            <w:tcW w:type="dxa" w:w="2340"/>
            <w:vAlign w:val="center"/>
          </w:tcPr>
          <w:p>
            <w:pPr>
              <w:keepNext w:val="0"/>
              <w:spacing w:before="0" w:after="80" w:line="259" w:lineRule="auto"/>
            </w:pPr>
            <w:r>
              <w:rPr>
                <w:rFonts w:ascii="Calibri" w:hAnsi="Calibri" w:eastAsia="Hiragino Sans GB"/>
                <w:b w:val="0"/>
                <w:color w:val="000000"/>
                <w:sz w:val="22"/>
              </w:rPr>
              <w:t>MBSD 电子资产池通知 EPN 消息与良好交付。</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FICC-MBSD-09</w:t>
            </w:r>
          </w:p>
        </w:tc>
        <w:tc>
          <w:tcPr>
            <w:tcW w:type="dxa" w:w="2340"/>
            <w:vAlign w:val="center"/>
          </w:tcPr>
          <w:p>
            <w:pPr>
              <w:keepNext w:val="0"/>
              <w:spacing w:before="0" w:after="80" w:line="259" w:lineRule="auto"/>
            </w:pPr>
            <w:r>
              <w:rPr>
                <w:rFonts w:ascii="Calibri" w:hAnsi="Calibri" w:eastAsia="Hiragino Sans GB"/>
                <w:b w:val="0"/>
                <w:color w:val="000000"/>
                <w:sz w:val="22"/>
              </w:rPr>
              <w:t>网络威胁针对资产池通知通信通道或其用户。</w:t>
            </w:r>
          </w:p>
        </w:tc>
        <w:tc>
          <w:tcPr>
            <w:tcW w:type="dxa" w:w="2340"/>
            <w:vAlign w:val="center"/>
          </w:tcPr>
          <w:p>
            <w:pPr>
              <w:keepNext w:val="0"/>
              <w:spacing w:before="0" w:after="80" w:line="259" w:lineRule="auto"/>
            </w:pPr>
            <w:r>
              <w:rPr>
                <w:rFonts w:ascii="Calibri" w:hAnsi="Calibri" w:eastAsia="Hiragino Sans GB"/>
                <w:b w:val="0"/>
                <w:color w:val="000000"/>
                <w:sz w:val="22"/>
              </w:rPr>
              <w:t>EPN 用户须维持网络安全计划及确认；网络事件可妨碍消息提交或接收，FICC 可拒绝处理不合规消息。</w:t>
            </w:r>
          </w:p>
        </w:tc>
        <w:tc>
          <w:tcPr>
            <w:tcW w:type="dxa" w:w="2340"/>
            <w:vAlign w:val="center"/>
          </w:tcPr>
          <w:p>
            <w:pPr>
              <w:keepNext w:val="0"/>
              <w:spacing w:before="0" w:after="80" w:line="259" w:lineRule="auto"/>
            </w:pPr>
            <w:r>
              <w:rPr>
                <w:rFonts w:ascii="Calibri" w:hAnsi="Calibri" w:eastAsia="Hiragino Sans GB"/>
                <w:b w:val="0"/>
                <w:color w:val="000000"/>
                <w:sz w:val="22"/>
              </w:rPr>
              <w:t>MBSD EPN 网络安全与消息资格。</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FICC-GSD-11</w:t>
            </w:r>
          </w:p>
        </w:tc>
        <w:tc>
          <w:tcPr>
            <w:tcW w:type="dxa" w:w="2340"/>
            <w:vAlign w:val="center"/>
          </w:tcPr>
          <w:p>
            <w:pPr>
              <w:keepNext w:val="0"/>
              <w:spacing w:before="0" w:after="80" w:line="259" w:lineRule="auto"/>
            </w:pPr>
            <w:r>
              <w:rPr>
                <w:rFonts w:ascii="Calibri" w:hAnsi="Calibri" w:eastAsia="Hiragino Sans GB"/>
                <w:b w:val="0"/>
                <w:color w:val="000000"/>
                <w:sz w:val="22"/>
              </w:rPr>
              <w:t>买方执行机构客户，例如对冲基金，承压或倒闭。</w:t>
            </w:r>
          </w:p>
        </w:tc>
        <w:tc>
          <w:tcPr>
            <w:tcW w:type="dxa" w:w="2340"/>
            <w:vAlign w:val="center"/>
          </w:tcPr>
          <w:p>
            <w:pPr>
              <w:keepNext w:val="0"/>
              <w:spacing w:before="0" w:after="80" w:line="259" w:lineRule="auto"/>
            </w:pPr>
            <w:r>
              <w:rPr>
                <w:rFonts w:ascii="Calibri" w:hAnsi="Calibri" w:eastAsia="Hiragino Sans GB"/>
                <w:b w:val="0"/>
                <w:color w:val="000000"/>
                <w:sz w:val="22"/>
              </w:rPr>
              <w:t>提交客户交易的代理清算会员仍须向 FICC 对这些交易负责，使压力集中到该代理会员。</w:t>
            </w:r>
          </w:p>
        </w:tc>
        <w:tc>
          <w:tcPr>
            <w:tcW w:type="dxa" w:w="2340"/>
            <w:vAlign w:val="center"/>
          </w:tcPr>
          <w:p>
            <w:pPr>
              <w:keepNext w:val="0"/>
              <w:spacing w:before="0" w:after="80" w:line="259" w:lineRule="auto"/>
            </w:pPr>
            <w:r>
              <w:rPr>
                <w:rFonts w:ascii="Calibri" w:hAnsi="Calibri" w:eastAsia="Hiragino Sans GB"/>
                <w:b w:val="0"/>
                <w:color w:val="000000"/>
                <w:sz w:val="22"/>
              </w:rPr>
              <w:t>GSD 代理清算服务。</w:t>
            </w:r>
          </w:p>
        </w:tc>
      </w:tr>
    </w:tbl>
    <w:p>
      <w:pPr>
        <w:pStyle w:val="Heading2"/>
      </w:pPr>
      <w:r>
        <w:rPr>
          <w:rFonts w:ascii="Calibri" w:hAnsi="Calibri" w:eastAsia="Hiragino Sans GB"/>
          <w:color w:val="000000"/>
        </w:rPr>
        <w:t>ECS 新增 11 条</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编号</w:t>
            </w:r>
          </w:p>
        </w:tc>
        <w:tc>
          <w:tcPr>
            <w:tcW w:type="dxa" w:w="2340"/>
            <w:vAlign w:val="center"/>
            <w:shd w:fill="F2F2F2"/>
          </w:tcPr>
          <w:p>
            <w:pPr>
              <w:keepNext w:val="0"/>
              <w:spacing w:before="0" w:after="80" w:line="259" w:lineRule="auto"/>
            </w:pPr>
            <w:r>
              <w:rPr>
                <w:rFonts w:ascii="Calibri" w:hAnsi="Calibri" w:eastAsia="Hiragino Sans GB"/>
                <w:b/>
                <w:color w:val="000000"/>
                <w:sz w:val="22"/>
              </w:rPr>
              <w:t>外部事件</w:t>
            </w:r>
          </w:p>
        </w:tc>
        <w:tc>
          <w:tcPr>
            <w:tcW w:type="dxa" w:w="2340"/>
            <w:vAlign w:val="center"/>
            <w:shd w:fill="F2F2F2"/>
          </w:tcPr>
          <w:p>
            <w:pPr>
              <w:keepNext w:val="0"/>
              <w:spacing w:before="0" w:after="80" w:line="259" w:lineRule="auto"/>
            </w:pPr>
            <w:r>
              <w:rPr>
                <w:rFonts w:ascii="Calibri" w:hAnsi="Calibri" w:eastAsia="Hiragino Sans GB"/>
                <w:b/>
                <w:color w:val="000000"/>
                <w:sz w:val="22"/>
              </w:rPr>
              <w:t>机制</w:t>
            </w:r>
          </w:p>
        </w:tc>
        <w:tc>
          <w:tcPr>
            <w:tcW w:type="dxa" w:w="2340"/>
            <w:vAlign w:val="center"/>
            <w:shd w:fill="F2F2F2"/>
          </w:tcPr>
          <w:p>
            <w:pPr>
              <w:keepNext w:val="0"/>
              <w:spacing w:before="0" w:after="80" w:line="259" w:lineRule="auto"/>
            </w:pPr>
            <w:r>
              <w:rPr>
                <w:rFonts w:ascii="Calibri" w:hAnsi="Calibri" w:eastAsia="Hiragino Sans GB"/>
                <w:b/>
                <w:color w:val="000000"/>
                <w:sz w:val="22"/>
              </w:rPr>
              <w:t>具体 DTCC 流程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ECS-NSCC-04</w:t>
            </w:r>
          </w:p>
        </w:tc>
        <w:tc>
          <w:tcPr>
            <w:tcW w:type="dxa" w:w="2340"/>
            <w:vAlign w:val="center"/>
          </w:tcPr>
          <w:p>
            <w:pPr>
              <w:keepNext w:val="0"/>
              <w:spacing w:before="0" w:after="80" w:line="259" w:lineRule="auto"/>
            </w:pPr>
            <w:r>
              <w:rPr>
                <w:rFonts w:ascii="Calibri" w:hAnsi="Calibri" w:eastAsia="Hiragino Sans GB"/>
                <w:b w:val="0"/>
                <w:color w:val="000000"/>
                <w:sz w:val="22"/>
              </w:rPr>
              <w:t>某一会员持有大量集中头寸。</w:t>
            </w:r>
          </w:p>
        </w:tc>
        <w:tc>
          <w:tcPr>
            <w:tcW w:type="dxa" w:w="2340"/>
            <w:vAlign w:val="center"/>
          </w:tcPr>
          <w:p>
            <w:pPr>
              <w:keepNext w:val="0"/>
              <w:spacing w:before="0" w:after="80" w:line="259" w:lineRule="auto"/>
            </w:pPr>
            <w:r>
              <w:rPr>
                <w:rFonts w:ascii="Calibri" w:hAnsi="Calibri" w:eastAsia="Hiragino Sans GB"/>
                <w:b w:val="0"/>
                <w:color w:val="000000"/>
                <w:sz w:val="22"/>
              </w:rPr>
              <w:t>会员的资本或流动性承压。</w:t>
            </w:r>
          </w:p>
        </w:tc>
        <w:tc>
          <w:tcPr>
            <w:tcW w:type="dxa" w:w="2340"/>
            <w:vAlign w:val="center"/>
          </w:tcPr>
          <w:p>
            <w:pPr>
              <w:keepNext w:val="0"/>
              <w:spacing w:before="0" w:after="80" w:line="259" w:lineRule="auto"/>
            </w:pPr>
            <w:r>
              <w:rPr>
                <w:rFonts w:ascii="Calibri" w:hAnsi="Calibri" w:eastAsia="Hiragino Sans GB"/>
                <w:b w:val="0"/>
                <w:color w:val="000000"/>
                <w:sz w:val="22"/>
              </w:rPr>
              <w:t>NSCC 提高该会员的要求。</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ECS-NSCC-05</w:t>
            </w:r>
          </w:p>
        </w:tc>
        <w:tc>
          <w:tcPr>
            <w:tcW w:type="dxa" w:w="2340"/>
            <w:vAlign w:val="center"/>
          </w:tcPr>
          <w:p>
            <w:pPr>
              <w:keepNext w:val="0"/>
              <w:spacing w:before="0" w:after="80" w:line="259" w:lineRule="auto"/>
            </w:pPr>
            <w:r>
              <w:rPr>
                <w:rFonts w:ascii="Calibri" w:hAnsi="Calibri" w:eastAsia="Hiragino Sans GB"/>
                <w:b w:val="0"/>
                <w:color w:val="000000"/>
                <w:sz w:val="22"/>
              </w:rPr>
              <w:t>股票市场出现大额日内支付或流动性压力。</w:t>
            </w:r>
          </w:p>
        </w:tc>
        <w:tc>
          <w:tcPr>
            <w:tcW w:type="dxa" w:w="2340"/>
            <w:vAlign w:val="center"/>
          </w:tcPr>
          <w:p>
            <w:pPr>
              <w:keepNext w:val="0"/>
              <w:spacing w:before="0" w:after="80" w:line="259" w:lineRule="auto"/>
            </w:pPr>
            <w:r>
              <w:rPr>
                <w:rFonts w:ascii="Calibri" w:hAnsi="Calibri" w:eastAsia="Hiragino Sans GB"/>
                <w:b w:val="0"/>
                <w:color w:val="000000"/>
                <w:sz w:val="22"/>
              </w:rPr>
              <w:t>NSCC 当日流动性需求上升，可向流动性敞口最大的会员及其关联家族追缴补充流动性存款。</w:t>
            </w:r>
          </w:p>
        </w:tc>
        <w:tc>
          <w:tcPr>
            <w:tcW w:type="dxa" w:w="2340"/>
            <w:vAlign w:val="center"/>
          </w:tcPr>
          <w:p>
            <w:pPr>
              <w:keepNext w:val="0"/>
              <w:spacing w:before="0" w:after="80" w:line="259" w:lineRule="auto"/>
            </w:pPr>
            <w:r>
              <w:rPr>
                <w:rFonts w:ascii="Calibri" w:hAnsi="Calibri" w:eastAsia="Hiragino Sans GB"/>
                <w:b w:val="0"/>
                <w:color w:val="000000"/>
                <w:sz w:val="22"/>
              </w:rPr>
              <w:t>NSCC 补充流动性存款。</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ECS-NSCC-07</w:t>
            </w:r>
          </w:p>
        </w:tc>
        <w:tc>
          <w:tcPr>
            <w:tcW w:type="dxa" w:w="2340"/>
            <w:vAlign w:val="center"/>
          </w:tcPr>
          <w:p>
            <w:pPr>
              <w:keepNext w:val="0"/>
              <w:spacing w:before="0" w:after="80" w:line="259" w:lineRule="auto"/>
            </w:pPr>
            <w:r>
              <w:rPr>
                <w:rFonts w:ascii="Calibri" w:hAnsi="Calibri" w:eastAsia="Hiragino Sans GB"/>
                <w:b w:val="0"/>
                <w:color w:val="000000"/>
                <w:sz w:val="22"/>
              </w:rPr>
              <w:t>结算银行出现运营或信用问题。</w:t>
            </w:r>
          </w:p>
        </w:tc>
        <w:tc>
          <w:tcPr>
            <w:tcW w:type="dxa" w:w="2340"/>
            <w:vAlign w:val="center"/>
          </w:tcPr>
          <w:p>
            <w:pPr>
              <w:keepNext w:val="0"/>
              <w:spacing w:before="0" w:after="80" w:line="259" w:lineRule="auto"/>
            </w:pPr>
            <w:r>
              <w:rPr>
                <w:rFonts w:ascii="Calibri" w:hAnsi="Calibri" w:eastAsia="Hiragino Sans GB"/>
                <w:b w:val="0"/>
                <w:color w:val="000000"/>
                <w:sz w:val="22"/>
              </w:rPr>
              <w:t>结算银行拒绝或未能通过 Fedwire 支付会员的最终净额，使该会员的 NSCC 资金结算无法按时完成。</w:t>
            </w:r>
          </w:p>
        </w:tc>
        <w:tc>
          <w:tcPr>
            <w:tcW w:type="dxa" w:w="2340"/>
            <w:vAlign w:val="center"/>
          </w:tcPr>
          <w:p>
            <w:pPr>
              <w:keepNext w:val="0"/>
              <w:spacing w:before="0" w:after="80" w:line="259" w:lineRule="auto"/>
            </w:pPr>
            <w:r>
              <w:rPr>
                <w:rFonts w:ascii="Calibri" w:hAnsi="Calibri" w:eastAsia="Hiragino Sans GB"/>
                <w:b w:val="0"/>
                <w:color w:val="000000"/>
                <w:sz w:val="22"/>
              </w:rPr>
              <w:t>NSCC 结算银行资金结算。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ECS-NSCC-08</w:t>
            </w:r>
          </w:p>
        </w:tc>
        <w:tc>
          <w:tcPr>
            <w:tcW w:type="dxa" w:w="2340"/>
            <w:vAlign w:val="center"/>
          </w:tcPr>
          <w:p>
            <w:pPr>
              <w:keepNext w:val="0"/>
              <w:spacing w:before="0" w:after="80" w:line="259" w:lineRule="auto"/>
            </w:pPr>
            <w:r>
              <w:rPr>
                <w:rFonts w:ascii="Calibri" w:hAnsi="Calibri" w:eastAsia="Hiragino Sans GB"/>
                <w:b w:val="0"/>
                <w:color w:val="000000"/>
                <w:sz w:val="22"/>
              </w:rPr>
              <w:t>零售券商倒闭或突然退出。</w:t>
            </w:r>
          </w:p>
        </w:tc>
        <w:tc>
          <w:tcPr>
            <w:tcW w:type="dxa" w:w="2340"/>
            <w:vAlign w:val="center"/>
          </w:tcPr>
          <w:p>
            <w:pPr>
              <w:keepNext w:val="0"/>
              <w:spacing w:before="0" w:after="80" w:line="259" w:lineRule="auto"/>
            </w:pPr>
            <w:r>
              <w:rPr>
                <w:rFonts w:ascii="Calibri" w:hAnsi="Calibri" w:eastAsia="Hiragino Sans GB"/>
                <w:b w:val="0"/>
                <w:color w:val="000000"/>
                <w:sz w:val="22"/>
              </w:rPr>
              <w:t>大量客户账户须在规定时限内通过 ACATS 自动客户账户转移服务迁移，使账户转移及结算活动集中。</w:t>
            </w:r>
          </w:p>
        </w:tc>
        <w:tc>
          <w:tcPr>
            <w:tcW w:type="dxa" w:w="2340"/>
            <w:vAlign w:val="center"/>
          </w:tcPr>
          <w:p>
            <w:pPr>
              <w:keepNext w:val="0"/>
              <w:spacing w:before="0" w:after="80" w:line="259" w:lineRule="auto"/>
            </w:pPr>
            <w:r>
              <w:rPr>
                <w:rFonts w:ascii="Calibri" w:hAnsi="Calibri" w:eastAsia="Hiragino Sans GB"/>
                <w:b w:val="0"/>
                <w:color w:val="000000"/>
                <w:sz w:val="22"/>
              </w:rPr>
              <w:t>NSCC ACATS 客户账户转移。</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ECS-NSCC-09</w:t>
            </w:r>
          </w:p>
        </w:tc>
        <w:tc>
          <w:tcPr>
            <w:tcW w:type="dxa" w:w="2340"/>
            <w:vAlign w:val="center"/>
          </w:tcPr>
          <w:p>
            <w:pPr>
              <w:keepNext w:val="0"/>
              <w:spacing w:before="0" w:after="80" w:line="259" w:lineRule="auto"/>
            </w:pPr>
            <w:r>
              <w:rPr>
                <w:rFonts w:ascii="Calibri" w:hAnsi="Calibri" w:eastAsia="Hiragino Sans GB"/>
                <w:b w:val="0"/>
                <w:color w:val="000000"/>
                <w:sz w:val="22"/>
              </w:rPr>
              <w:t>回购或证券借贷等证券融资市场承压。</w:t>
            </w:r>
          </w:p>
        </w:tc>
        <w:tc>
          <w:tcPr>
            <w:tcW w:type="dxa" w:w="2340"/>
            <w:vAlign w:val="center"/>
          </w:tcPr>
          <w:p>
            <w:pPr>
              <w:keepNext w:val="0"/>
              <w:spacing w:before="0" w:after="80" w:line="259" w:lineRule="auto"/>
            </w:pPr>
            <w:r>
              <w:rPr>
                <w:rFonts w:ascii="Calibri" w:hAnsi="Calibri" w:eastAsia="Hiragino Sans GB"/>
                <w:b w:val="0"/>
                <w:color w:val="000000"/>
                <w:sz w:val="22"/>
              </w:rPr>
              <w:t>SFT 清算服务中经合约更替的证券融资交易重新定价并重新计提保证金，使会员在 SFT 账簿上的抵押品与结算义务剧烈变化。</w:t>
            </w:r>
          </w:p>
        </w:tc>
        <w:tc>
          <w:tcPr>
            <w:tcW w:type="dxa" w:w="2340"/>
            <w:vAlign w:val="center"/>
          </w:tcPr>
          <w:p>
            <w:pPr>
              <w:keepNext w:val="0"/>
              <w:spacing w:before="0" w:after="80" w:line="259" w:lineRule="auto"/>
            </w:pPr>
            <w:r>
              <w:rPr>
                <w:rFonts w:ascii="Calibri" w:hAnsi="Calibri" w:eastAsia="Hiragino Sans GB"/>
                <w:b w:val="0"/>
                <w:color w:val="000000"/>
                <w:sz w:val="22"/>
              </w:rPr>
              <w:t>NSCC 证券融资交易 SFT 清算服务。</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ECS-DTC-01</w:t>
            </w:r>
          </w:p>
        </w:tc>
        <w:tc>
          <w:tcPr>
            <w:tcW w:type="dxa" w:w="2340"/>
            <w:vAlign w:val="center"/>
          </w:tcPr>
          <w:p>
            <w:pPr>
              <w:keepNext w:val="0"/>
              <w:spacing w:before="0" w:after="80" w:line="259" w:lineRule="auto"/>
            </w:pPr>
            <w:r>
              <w:rPr>
                <w:rFonts w:ascii="Calibri" w:hAnsi="Calibri" w:eastAsia="Hiragino Sans GB"/>
                <w:b w:val="0"/>
                <w:color w:val="000000"/>
                <w:sz w:val="22"/>
              </w:rPr>
              <w:t>货币市场工具发行人或其发行及付款代理出现融资问题。</w:t>
            </w:r>
          </w:p>
        </w:tc>
        <w:tc>
          <w:tcPr>
            <w:tcW w:type="dxa" w:w="2340"/>
            <w:vAlign w:val="center"/>
          </w:tcPr>
          <w:p>
            <w:pPr>
              <w:keepNext w:val="0"/>
              <w:spacing w:before="0" w:after="80" w:line="259" w:lineRule="auto"/>
            </w:pPr>
            <w:r>
              <w:rPr>
                <w:rFonts w:ascii="Calibri" w:hAnsi="Calibri" w:eastAsia="Hiragino Sans GB"/>
                <w:b w:val="0"/>
                <w:color w:val="000000"/>
                <w:sz w:val="22"/>
              </w:rPr>
              <w:t>发行及付款代理无法为当日提示的 MMI 付款作出融资确认，使对应发行人简称下的 MMI 到期和发行结算受阻。</w:t>
            </w:r>
          </w:p>
        </w:tc>
        <w:tc>
          <w:tcPr>
            <w:tcW w:type="dxa" w:w="2340"/>
            <w:vAlign w:val="center"/>
          </w:tcPr>
          <w:p>
            <w:pPr>
              <w:keepNext w:val="0"/>
              <w:spacing w:before="0" w:after="80" w:line="259" w:lineRule="auto"/>
            </w:pPr>
            <w:r>
              <w:rPr>
                <w:rFonts w:ascii="Calibri" w:hAnsi="Calibri" w:eastAsia="Hiragino Sans GB"/>
                <w:b w:val="0"/>
                <w:color w:val="000000"/>
                <w:sz w:val="22"/>
              </w:rPr>
              <w:t>DTC MMI 结算及融资确认。</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ECS-DTC-03</w:t>
            </w:r>
          </w:p>
        </w:tc>
        <w:tc>
          <w:tcPr>
            <w:tcW w:type="dxa" w:w="2340"/>
            <w:vAlign w:val="center"/>
          </w:tcPr>
          <w:p>
            <w:pPr>
              <w:keepNext w:val="0"/>
              <w:spacing w:before="0" w:after="80" w:line="259" w:lineRule="auto"/>
            </w:pPr>
            <w:r>
              <w:rPr>
                <w:rFonts w:ascii="Calibri" w:hAnsi="Calibri" w:eastAsia="Hiragino Sans GB"/>
                <w:b w:val="0"/>
                <w:color w:val="000000"/>
                <w:sz w:val="22"/>
              </w:rPr>
              <w:t>全市场中断，例如交易所停市、银行暂停营业或宣布紧急状态。</w:t>
            </w:r>
          </w:p>
        </w:tc>
        <w:tc>
          <w:tcPr>
            <w:tcW w:type="dxa" w:w="2340"/>
            <w:vAlign w:val="center"/>
          </w:tcPr>
          <w:p>
            <w:pPr>
              <w:keepNext w:val="0"/>
              <w:spacing w:before="0" w:after="80" w:line="259" w:lineRule="auto"/>
            </w:pPr>
            <w:r>
              <w:rPr>
                <w:rFonts w:ascii="Calibri" w:hAnsi="Calibri" w:eastAsia="Hiragino Sans GB"/>
                <w:b w:val="0"/>
                <w:color w:val="000000"/>
                <w:sz w:val="22"/>
              </w:rPr>
              <w:t>DTC 启用市场中断或不可抗力相关权限，暂停、延长或修改 DTC 结算义务与时限。</w:t>
            </w:r>
          </w:p>
        </w:tc>
        <w:tc>
          <w:tcPr>
            <w:tcW w:type="dxa" w:w="2340"/>
            <w:vAlign w:val="center"/>
          </w:tcPr>
          <w:p>
            <w:pPr>
              <w:keepNext w:val="0"/>
              <w:spacing w:before="0" w:after="80" w:line="259" w:lineRule="auto"/>
            </w:pPr>
            <w:r>
              <w:rPr>
                <w:rFonts w:ascii="Calibri" w:hAnsi="Calibri" w:eastAsia="Hiragino Sans GB"/>
                <w:b w:val="0"/>
                <w:color w:val="000000"/>
                <w:sz w:val="22"/>
              </w:rPr>
              <w:t>市场中断下的 DTC 结算时限。</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ECS-NSCC-10</w:t>
            </w:r>
          </w:p>
        </w:tc>
        <w:tc>
          <w:tcPr>
            <w:tcW w:type="dxa" w:w="2340"/>
            <w:vAlign w:val="center"/>
          </w:tcPr>
          <w:p>
            <w:pPr>
              <w:keepNext w:val="0"/>
              <w:spacing w:before="0" w:after="80" w:line="259" w:lineRule="auto"/>
            </w:pPr>
            <w:r>
              <w:rPr>
                <w:rFonts w:ascii="Calibri" w:hAnsi="Calibri" w:eastAsia="Hiragino Sans GB"/>
                <w:b w:val="0"/>
                <w:color w:val="000000"/>
                <w:sz w:val="22"/>
              </w:rPr>
              <w:t>实物处理或后台运营中断，例如运营场所事件。</w:t>
            </w:r>
          </w:p>
        </w:tc>
        <w:tc>
          <w:tcPr>
            <w:tcW w:type="dxa" w:w="2340"/>
            <w:vAlign w:val="center"/>
          </w:tcPr>
          <w:p>
            <w:pPr>
              <w:keepNext w:val="0"/>
              <w:spacing w:before="0" w:after="80" w:line="259" w:lineRule="auto"/>
            </w:pPr>
            <w:r>
              <w:rPr>
                <w:rFonts w:ascii="Calibri" w:hAnsi="Calibri" w:eastAsia="Hiragino Sans GB"/>
                <w:b w:val="0"/>
                <w:color w:val="000000"/>
                <w:sz w:val="22"/>
              </w:rPr>
              <w:t>ESS 信封结算服务的交付、纯资金费用及股息和利息索偿积压，使相关资金结算延迟。</w:t>
            </w:r>
          </w:p>
        </w:tc>
        <w:tc>
          <w:tcPr>
            <w:tcW w:type="dxa" w:w="2340"/>
            <w:vAlign w:val="center"/>
          </w:tcPr>
          <w:p>
            <w:pPr>
              <w:keepNext w:val="0"/>
              <w:spacing w:before="0" w:after="80" w:line="259" w:lineRule="auto"/>
            </w:pPr>
            <w:r>
              <w:rPr>
                <w:rFonts w:ascii="Calibri" w:hAnsi="Calibri" w:eastAsia="Hiragino Sans GB"/>
                <w:b w:val="0"/>
                <w:color w:val="000000"/>
                <w:sz w:val="22"/>
              </w:rPr>
              <w:t>NSCC 信封结算服务 ESS。</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ECS-DTC-04</w:t>
            </w:r>
          </w:p>
        </w:tc>
        <w:tc>
          <w:tcPr>
            <w:tcW w:type="dxa" w:w="2340"/>
            <w:vAlign w:val="center"/>
          </w:tcPr>
          <w:p>
            <w:pPr>
              <w:keepNext w:val="0"/>
              <w:spacing w:before="0" w:after="80" w:line="259" w:lineRule="auto"/>
            </w:pPr>
            <w:r>
              <w:rPr>
                <w:rFonts w:ascii="Calibri" w:hAnsi="Calibri" w:eastAsia="Hiragino Sans GB"/>
                <w:b w:val="0"/>
                <w:color w:val="000000"/>
                <w:sz w:val="22"/>
              </w:rPr>
              <w:t>加拿大市场或 CDS 链接发生中断。</w:t>
            </w:r>
          </w:p>
        </w:tc>
        <w:tc>
          <w:tcPr>
            <w:tcW w:type="dxa" w:w="2340"/>
            <w:vAlign w:val="center"/>
          </w:tcPr>
          <w:p>
            <w:pPr>
              <w:keepNext w:val="0"/>
              <w:spacing w:before="0" w:after="80" w:line="259" w:lineRule="auto"/>
            </w:pPr>
            <w:r>
              <w:rPr>
                <w:rFonts w:ascii="Calibri" w:hAnsi="Calibri" w:eastAsia="Hiragino Sans GB"/>
                <w:b w:val="0"/>
                <w:color w:val="000000"/>
                <w:sz w:val="22"/>
              </w:rPr>
              <w:t>DTC 与 CDS 接口中的加拿大链接跨境交易无法正常结算，使跨境交付及结算受阻。</w:t>
            </w:r>
          </w:p>
        </w:tc>
        <w:tc>
          <w:tcPr>
            <w:tcW w:type="dxa" w:w="2340"/>
            <w:vAlign w:val="center"/>
          </w:tcPr>
          <w:p>
            <w:pPr>
              <w:keepNext w:val="0"/>
              <w:spacing w:before="0" w:after="80" w:line="259" w:lineRule="auto"/>
            </w:pPr>
            <w:r>
              <w:rPr>
                <w:rFonts w:ascii="Calibri" w:hAnsi="Calibri" w:eastAsia="Hiragino Sans GB"/>
                <w:b w:val="0"/>
                <w:color w:val="000000"/>
                <w:sz w:val="22"/>
              </w:rPr>
              <w:t>DTC 加拿大链接跨境结算。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ECS-DTC-06</w:t>
            </w:r>
          </w:p>
        </w:tc>
        <w:tc>
          <w:tcPr>
            <w:tcW w:type="dxa" w:w="2340"/>
            <w:vAlign w:val="center"/>
          </w:tcPr>
          <w:p>
            <w:pPr>
              <w:keepNext w:val="0"/>
              <w:spacing w:before="0" w:after="80" w:line="259" w:lineRule="auto"/>
            </w:pPr>
            <w:r>
              <w:rPr>
                <w:rFonts w:ascii="Calibri" w:hAnsi="Calibri" w:eastAsia="Hiragino Sans GB"/>
                <w:b w:val="0"/>
                <w:color w:val="000000"/>
                <w:sz w:val="22"/>
              </w:rPr>
              <w:t>价格出现日内剧烈变化，或参与者流动性紧张。</w:t>
            </w:r>
          </w:p>
        </w:tc>
        <w:tc>
          <w:tcPr>
            <w:tcW w:type="dxa" w:w="2340"/>
            <w:vAlign w:val="center"/>
          </w:tcPr>
          <w:p>
            <w:pPr>
              <w:keepNext w:val="0"/>
              <w:spacing w:before="0" w:after="80" w:line="259" w:lineRule="auto"/>
            </w:pPr>
            <w:r>
              <w:rPr>
                <w:rFonts w:ascii="Calibri" w:hAnsi="Calibri" w:eastAsia="Hiragino Sans GB"/>
                <w:b w:val="0"/>
                <w:color w:val="000000"/>
                <w:sz w:val="22"/>
              </w:rPr>
              <w:t>接收方参与者日内净借记接近净借记上限，或抵押品监控器显示不足，DTC 因而阻止券款对付的账簿划转，直到抵押品或资金恢复。</w:t>
            </w:r>
          </w:p>
        </w:tc>
        <w:tc>
          <w:tcPr>
            <w:tcW w:type="dxa" w:w="2340"/>
            <w:vAlign w:val="center"/>
          </w:tcPr>
          <w:p>
            <w:pPr>
              <w:keepNext w:val="0"/>
              <w:spacing w:before="0" w:after="80" w:line="259" w:lineRule="auto"/>
            </w:pPr>
            <w:r>
              <w:rPr>
                <w:rFonts w:ascii="Calibri" w:hAnsi="Calibri" w:eastAsia="Hiragino Sans GB"/>
                <w:b w:val="0"/>
                <w:color w:val="000000"/>
                <w:sz w:val="22"/>
              </w:rPr>
              <w:t>DTC 风险管理控制，包括净借记上限与抵押品监控器。</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ECS-NSCC-12</w:t>
            </w:r>
          </w:p>
        </w:tc>
        <w:tc>
          <w:tcPr>
            <w:tcW w:type="dxa" w:w="2340"/>
            <w:vAlign w:val="center"/>
          </w:tcPr>
          <w:p>
            <w:pPr>
              <w:keepNext w:val="0"/>
              <w:spacing w:before="0" w:after="80" w:line="259" w:lineRule="auto"/>
            </w:pPr>
            <w:r>
              <w:rPr>
                <w:rFonts w:ascii="Calibri" w:hAnsi="Calibri" w:eastAsia="Hiragino Sans GB"/>
                <w:b w:val="0"/>
                <w:color w:val="000000"/>
                <w:sz w:val="22"/>
              </w:rPr>
              <w:t>与 NSCC 建有链接的境外金融机构承压，或其市场发生中断。</w:t>
            </w:r>
          </w:p>
        </w:tc>
        <w:tc>
          <w:tcPr>
            <w:tcW w:type="dxa" w:w="2340"/>
            <w:vAlign w:val="center"/>
          </w:tcPr>
          <w:p>
            <w:pPr>
              <w:keepNext w:val="0"/>
              <w:spacing w:before="0" w:after="80" w:line="259" w:lineRule="auto"/>
            </w:pPr>
            <w:r>
              <w:rPr>
                <w:rFonts w:ascii="Calibri" w:hAnsi="Calibri" w:eastAsia="Hiragino Sans GB"/>
                <w:b w:val="0"/>
                <w:color w:val="000000"/>
                <w:sz w:val="22"/>
              </w:rPr>
              <w:t>在国际链接安排下，该境外机构参与者与 NSCC 会员之间的跨境链接交易无法正常清算或结算。</w:t>
            </w:r>
          </w:p>
        </w:tc>
        <w:tc>
          <w:tcPr>
            <w:tcW w:type="dxa" w:w="2340"/>
            <w:vAlign w:val="center"/>
          </w:tcPr>
          <w:p>
            <w:pPr>
              <w:keepNext w:val="0"/>
              <w:spacing w:before="0" w:after="80" w:line="259" w:lineRule="auto"/>
            </w:pPr>
            <w:r>
              <w:rPr>
                <w:rFonts w:ascii="Calibri" w:hAnsi="Calibri" w:eastAsia="Hiragino Sans GB"/>
                <w:b w:val="0"/>
                <w:color w:val="000000"/>
                <w:sz w:val="22"/>
              </w:rPr>
              <w:t>NSCC 国际链接。</w:t>
            </w:r>
          </w:p>
        </w:tc>
      </w:tr>
    </w:tbl>
    <w:p>
      <w:pPr>
        <w:pStyle w:val="Heading2"/>
      </w:pPr>
      <w:r>
        <w:rPr>
          <w:rFonts w:ascii="Calibri" w:hAnsi="Calibri" w:eastAsia="Hiragino Sans GB"/>
          <w:color w:val="000000"/>
        </w:rPr>
        <w:t>资产服务 新增 4 条</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编号</w:t>
            </w:r>
          </w:p>
        </w:tc>
        <w:tc>
          <w:tcPr>
            <w:tcW w:type="dxa" w:w="2340"/>
            <w:vAlign w:val="center"/>
            <w:shd w:fill="F2F2F2"/>
          </w:tcPr>
          <w:p>
            <w:pPr>
              <w:keepNext w:val="0"/>
              <w:spacing w:before="0" w:after="80" w:line="259" w:lineRule="auto"/>
            </w:pPr>
            <w:r>
              <w:rPr>
                <w:rFonts w:ascii="Calibri" w:hAnsi="Calibri" w:eastAsia="Hiragino Sans GB"/>
                <w:b/>
                <w:color w:val="000000"/>
                <w:sz w:val="22"/>
              </w:rPr>
              <w:t>外部事件</w:t>
            </w:r>
          </w:p>
        </w:tc>
        <w:tc>
          <w:tcPr>
            <w:tcW w:type="dxa" w:w="2340"/>
            <w:vAlign w:val="center"/>
            <w:shd w:fill="F2F2F2"/>
          </w:tcPr>
          <w:p>
            <w:pPr>
              <w:keepNext w:val="0"/>
              <w:spacing w:before="0" w:after="80" w:line="259" w:lineRule="auto"/>
            </w:pPr>
            <w:r>
              <w:rPr>
                <w:rFonts w:ascii="Calibri" w:hAnsi="Calibri" w:eastAsia="Hiragino Sans GB"/>
                <w:b/>
                <w:color w:val="000000"/>
                <w:sz w:val="22"/>
              </w:rPr>
              <w:t>机制</w:t>
            </w:r>
          </w:p>
        </w:tc>
        <w:tc>
          <w:tcPr>
            <w:tcW w:type="dxa" w:w="2340"/>
            <w:vAlign w:val="center"/>
            <w:shd w:fill="F2F2F2"/>
          </w:tcPr>
          <w:p>
            <w:pPr>
              <w:keepNext w:val="0"/>
              <w:spacing w:before="0" w:after="80" w:line="259" w:lineRule="auto"/>
            </w:pPr>
            <w:r>
              <w:rPr>
                <w:rFonts w:ascii="Calibri" w:hAnsi="Calibri" w:eastAsia="Hiragino Sans GB"/>
                <w:b/>
                <w:color w:val="000000"/>
                <w:sz w:val="22"/>
              </w:rPr>
              <w:t>具体 DTCC 流程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AssetSvc-DTC-01</w:t>
            </w:r>
          </w:p>
        </w:tc>
        <w:tc>
          <w:tcPr>
            <w:tcW w:type="dxa" w:w="2340"/>
            <w:vAlign w:val="center"/>
          </w:tcPr>
          <w:p>
            <w:pPr>
              <w:keepNext w:val="0"/>
              <w:spacing w:before="0" w:after="80" w:line="259" w:lineRule="auto"/>
            </w:pPr>
            <w:r>
              <w:rPr>
                <w:rFonts w:ascii="Calibri" w:hAnsi="Calibri" w:eastAsia="Hiragino Sans GB"/>
                <w:b w:val="0"/>
                <w:color w:val="000000"/>
                <w:sz w:val="22"/>
              </w:rPr>
              <w:t>监管机构暂停某证券交易，或该证券被发现存在欺诈。</w:t>
            </w:r>
          </w:p>
        </w:tc>
        <w:tc>
          <w:tcPr>
            <w:tcW w:type="dxa" w:w="2340"/>
            <w:vAlign w:val="center"/>
          </w:tcPr>
          <w:p>
            <w:pPr>
              <w:keepNext w:val="0"/>
              <w:spacing w:before="0" w:after="80" w:line="259" w:lineRule="auto"/>
            </w:pPr>
            <w:r>
              <w:rPr>
                <w:rFonts w:ascii="Calibri" w:hAnsi="Calibri" w:eastAsia="Hiragino Sans GB"/>
                <w:b w:val="0"/>
                <w:color w:val="000000"/>
                <w:sz w:val="22"/>
              </w:rPr>
              <w:t>DTC 对该证券实施存入冻结或全面锁定，限制所有参与者对其进行存入或账簿划转服务。</w:t>
            </w:r>
          </w:p>
        </w:tc>
        <w:tc>
          <w:tcPr>
            <w:tcW w:type="dxa" w:w="2340"/>
            <w:vAlign w:val="center"/>
          </w:tcPr>
          <w:p>
            <w:pPr>
              <w:keepNext w:val="0"/>
              <w:spacing w:before="0" w:after="80" w:line="259" w:lineRule="auto"/>
            </w:pPr>
            <w:r>
              <w:rPr>
                <w:rFonts w:ascii="Calibri" w:hAnsi="Calibri" w:eastAsia="Hiragino Sans GB"/>
                <w:b w:val="0"/>
                <w:color w:val="000000"/>
                <w:sz w:val="22"/>
              </w:rPr>
              <w:t>DTC 存入冻结与全面锁定。</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AssetSvc-DTC-02</w:t>
            </w:r>
          </w:p>
        </w:tc>
        <w:tc>
          <w:tcPr>
            <w:tcW w:type="dxa" w:w="2340"/>
            <w:vAlign w:val="center"/>
          </w:tcPr>
          <w:p>
            <w:pPr>
              <w:keepNext w:val="0"/>
              <w:spacing w:before="0" w:after="80" w:line="259" w:lineRule="auto"/>
            </w:pPr>
            <w:r>
              <w:rPr>
                <w:rFonts w:ascii="Calibri" w:hAnsi="Calibri" w:eastAsia="Hiragino Sans GB"/>
                <w:b w:val="0"/>
                <w:color w:val="000000"/>
                <w:sz w:val="22"/>
              </w:rPr>
              <w:t>发行人或过户代理出现转让或登记问题。</w:t>
            </w:r>
          </w:p>
        </w:tc>
        <w:tc>
          <w:tcPr>
            <w:tcW w:type="dxa" w:w="2340"/>
            <w:vAlign w:val="center"/>
          </w:tcPr>
          <w:p>
            <w:pPr>
              <w:keepNext w:val="0"/>
              <w:spacing w:before="0" w:after="80" w:line="259" w:lineRule="auto"/>
            </w:pPr>
            <w:r>
              <w:rPr>
                <w:rFonts w:ascii="Calibri" w:hAnsi="Calibri" w:eastAsia="Hiragino Sans GB"/>
                <w:b w:val="0"/>
                <w:color w:val="000000"/>
                <w:sz w:val="22"/>
              </w:rPr>
              <w:t>在确认证券登记至 DTC 名义持有人之前，DTC 可拒绝记入该证券的存入，从而影响其托管与资产服务。</w:t>
            </w:r>
          </w:p>
        </w:tc>
        <w:tc>
          <w:tcPr>
            <w:tcW w:type="dxa" w:w="2340"/>
            <w:vAlign w:val="center"/>
          </w:tcPr>
          <w:p>
            <w:pPr>
              <w:keepNext w:val="0"/>
              <w:spacing w:before="0" w:after="80" w:line="259" w:lineRule="auto"/>
            </w:pPr>
            <w:r>
              <w:rPr>
                <w:rFonts w:ascii="Calibri" w:hAnsi="Calibri" w:eastAsia="Hiragino Sans GB"/>
                <w:b w:val="0"/>
                <w:color w:val="000000"/>
                <w:sz w:val="22"/>
              </w:rPr>
              <w:t>DTC 托管及存入和转让服务。</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AssetSvc-DTC-03</w:t>
            </w:r>
          </w:p>
        </w:tc>
        <w:tc>
          <w:tcPr>
            <w:tcW w:type="dxa" w:w="2340"/>
            <w:vAlign w:val="center"/>
          </w:tcPr>
          <w:p>
            <w:pPr>
              <w:keepNext w:val="0"/>
              <w:spacing w:before="0" w:after="80" w:line="259" w:lineRule="auto"/>
            </w:pPr>
            <w:r>
              <w:rPr>
                <w:rFonts w:ascii="Calibri" w:hAnsi="Calibri" w:eastAsia="Hiragino Sans GB"/>
                <w:b w:val="0"/>
                <w:color w:val="000000"/>
                <w:sz w:val="22"/>
              </w:rPr>
              <w:t>衍生品清算机构或期货经纪商承压。</w:t>
            </w:r>
          </w:p>
        </w:tc>
        <w:tc>
          <w:tcPr>
            <w:tcW w:type="dxa" w:w="2340"/>
            <w:vAlign w:val="center"/>
          </w:tcPr>
          <w:p>
            <w:pPr>
              <w:keepNext w:val="0"/>
              <w:spacing w:before="0" w:after="80" w:line="259" w:lineRule="auto"/>
            </w:pPr>
            <w:r>
              <w:rPr>
                <w:rFonts w:ascii="Calibri" w:hAnsi="Calibri" w:eastAsia="Hiragino Sans GB"/>
                <w:b w:val="0"/>
                <w:color w:val="000000"/>
                <w:sz w:val="22"/>
              </w:rPr>
              <w:t>掉期保证金隔离账户中的质权人或出质人操作指令受干扰，影响账户内持有的抵押品。</w:t>
            </w:r>
          </w:p>
        </w:tc>
        <w:tc>
          <w:tcPr>
            <w:tcW w:type="dxa" w:w="2340"/>
            <w:vAlign w:val="center"/>
          </w:tcPr>
          <w:p>
            <w:pPr>
              <w:keepNext w:val="0"/>
              <w:spacing w:before="0" w:after="80" w:line="259" w:lineRule="auto"/>
            </w:pPr>
            <w:r>
              <w:rPr>
                <w:rFonts w:ascii="Calibri" w:hAnsi="Calibri" w:eastAsia="Hiragino Sans GB"/>
                <w:b w:val="0"/>
                <w:color w:val="000000"/>
                <w:sz w:val="22"/>
              </w:rPr>
              <w:t>DTC 掉期保证金隔离账户。</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AssetSvc-DTC-04</w:t>
            </w:r>
          </w:p>
        </w:tc>
        <w:tc>
          <w:tcPr>
            <w:tcW w:type="dxa" w:w="2340"/>
            <w:vAlign w:val="center"/>
          </w:tcPr>
          <w:p>
            <w:pPr>
              <w:keepNext w:val="0"/>
              <w:spacing w:before="0" w:after="80" w:line="259" w:lineRule="auto"/>
            </w:pPr>
            <w:r>
              <w:rPr>
                <w:rFonts w:ascii="Calibri" w:hAnsi="Calibri" w:eastAsia="Hiragino Sans GB"/>
                <w:b w:val="0"/>
                <w:color w:val="000000"/>
                <w:sz w:val="22"/>
              </w:rPr>
              <w:t>持有客户财产的期货佣金商 FCM 倒闭或承压。</w:t>
            </w:r>
          </w:p>
        </w:tc>
        <w:tc>
          <w:tcPr>
            <w:tcW w:type="dxa" w:w="2340"/>
            <w:vAlign w:val="center"/>
          </w:tcPr>
          <w:p>
            <w:pPr>
              <w:keepNext w:val="0"/>
              <w:spacing w:before="0" w:after="80" w:line="259" w:lineRule="auto"/>
            </w:pPr>
            <w:r>
              <w:rPr>
                <w:rFonts w:ascii="Calibri" w:hAnsi="Calibri" w:eastAsia="Hiragino Sans GB"/>
                <w:b w:val="0"/>
                <w:color w:val="000000"/>
                <w:sz w:val="22"/>
              </w:rPr>
              <w:t>按 CFTC 隔离规则持有的客户财产隔离账户须转移或受到保护，使相关托管操作集中。</w:t>
            </w:r>
          </w:p>
        </w:tc>
        <w:tc>
          <w:tcPr>
            <w:tcW w:type="dxa" w:w="2340"/>
            <w:vAlign w:val="center"/>
          </w:tcPr>
          <w:p>
            <w:pPr>
              <w:keepNext w:val="0"/>
              <w:spacing w:before="0" w:after="80" w:line="259" w:lineRule="auto"/>
            </w:pPr>
            <w:r>
              <w:rPr>
                <w:rFonts w:ascii="Calibri" w:hAnsi="Calibri" w:eastAsia="Hiragino Sans GB"/>
                <w:b w:val="0"/>
                <w:color w:val="000000"/>
                <w:sz w:val="22"/>
              </w:rPr>
              <w:t>DTC 客户财产隔离账户。</w:t>
            </w:r>
          </w:p>
        </w:tc>
      </w:tr>
    </w:tbl>
    <w:p>
      <w:pPr>
        <w:pStyle w:val="Heading2"/>
      </w:pPr>
      <w:r>
        <w:rPr>
          <w:rFonts w:ascii="Calibri" w:hAnsi="Calibri" w:eastAsia="Hiragino Sans GB"/>
          <w:color w:val="000000"/>
        </w:rPr>
        <w:t>WIS 新增 3 条</w:t>
      </w:r>
    </w:p>
    <w:tbl>
      <w:tblPr>
        <w:tblStyle w:val="TableGrid"/>
        <w:tblW w:w="0" w:type="auto"/>
        <w:tblLayout w:type="fixed"/>
        <w:tblLook w:val="0420" w:firstRow="1" w:lastRow="0" w:firstColumn="0" w:lastColumn="0" w:noHBand="0" w:noVBand="1"/>
      </w:tblPr>
      <w:tblGrid>
        <w:gridCol w:w="2340"/>
        <w:gridCol w:w="2340"/>
        <w:gridCol w:w="2340"/>
        <w:gridCol w:w="2340"/>
      </w:tblGrid>
      <w:tr>
        <w:trPr>
          <w:cantSplit/>
          <w:tblHeader/>
        </w:trPr>
        <w:tc>
          <w:tcPr>
            <w:tcW w:type="dxa" w:w="2340"/>
            <w:vAlign w:val="center"/>
            <w:shd w:fill="F2F2F2"/>
          </w:tcPr>
          <w:p>
            <w:pPr>
              <w:keepNext w:val="0"/>
              <w:spacing w:before="0" w:after="80" w:line="259" w:lineRule="auto"/>
            </w:pPr>
            <w:r>
              <w:rPr>
                <w:rFonts w:ascii="Calibri" w:hAnsi="Calibri" w:eastAsia="Hiragino Sans GB"/>
                <w:b/>
                <w:color w:val="000000"/>
                <w:sz w:val="22"/>
              </w:rPr>
              <w:t>编号</w:t>
            </w:r>
          </w:p>
        </w:tc>
        <w:tc>
          <w:tcPr>
            <w:tcW w:type="dxa" w:w="2340"/>
            <w:vAlign w:val="center"/>
            <w:shd w:fill="F2F2F2"/>
          </w:tcPr>
          <w:p>
            <w:pPr>
              <w:keepNext w:val="0"/>
              <w:spacing w:before="0" w:after="80" w:line="259" w:lineRule="auto"/>
            </w:pPr>
            <w:r>
              <w:rPr>
                <w:rFonts w:ascii="Calibri" w:hAnsi="Calibri" w:eastAsia="Hiragino Sans GB"/>
                <w:b/>
                <w:color w:val="000000"/>
                <w:sz w:val="22"/>
              </w:rPr>
              <w:t>外部事件</w:t>
            </w:r>
          </w:p>
        </w:tc>
        <w:tc>
          <w:tcPr>
            <w:tcW w:type="dxa" w:w="2340"/>
            <w:vAlign w:val="center"/>
            <w:shd w:fill="F2F2F2"/>
          </w:tcPr>
          <w:p>
            <w:pPr>
              <w:keepNext w:val="0"/>
              <w:spacing w:before="0" w:after="80" w:line="259" w:lineRule="auto"/>
            </w:pPr>
            <w:r>
              <w:rPr>
                <w:rFonts w:ascii="Calibri" w:hAnsi="Calibri" w:eastAsia="Hiragino Sans GB"/>
                <w:b/>
                <w:color w:val="000000"/>
                <w:sz w:val="22"/>
              </w:rPr>
              <w:t>机制</w:t>
            </w:r>
          </w:p>
        </w:tc>
        <w:tc>
          <w:tcPr>
            <w:tcW w:type="dxa" w:w="2340"/>
            <w:vAlign w:val="center"/>
            <w:shd w:fill="F2F2F2"/>
          </w:tcPr>
          <w:p>
            <w:pPr>
              <w:keepNext w:val="0"/>
              <w:spacing w:before="0" w:after="80" w:line="259" w:lineRule="auto"/>
            </w:pPr>
            <w:r>
              <w:rPr>
                <w:rFonts w:ascii="Calibri" w:hAnsi="Calibri" w:eastAsia="Hiragino Sans GB"/>
                <w:b/>
                <w:color w:val="000000"/>
                <w:sz w:val="22"/>
              </w:rPr>
              <w:t>具体 DTCC 流程</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WIS-NSCC-01</w:t>
            </w:r>
          </w:p>
        </w:tc>
        <w:tc>
          <w:tcPr>
            <w:tcW w:type="dxa" w:w="2340"/>
            <w:vAlign w:val="center"/>
          </w:tcPr>
          <w:p>
            <w:pPr>
              <w:keepNext w:val="0"/>
              <w:spacing w:before="0" w:after="80" w:line="259" w:lineRule="auto"/>
            </w:pPr>
            <w:r>
              <w:rPr>
                <w:rFonts w:ascii="Calibri" w:hAnsi="Calibri" w:eastAsia="Hiragino Sans GB"/>
                <w:b w:val="0"/>
                <w:color w:val="000000"/>
                <w:sz w:val="22"/>
              </w:rPr>
              <w:t>保险公司或退休服务会员承压。</w:t>
            </w:r>
          </w:p>
        </w:tc>
        <w:tc>
          <w:tcPr>
            <w:tcW w:type="dxa" w:w="2340"/>
            <w:vAlign w:val="center"/>
          </w:tcPr>
          <w:p>
            <w:pPr>
              <w:keepNext w:val="0"/>
              <w:spacing w:before="0" w:after="80" w:line="259" w:lineRule="auto"/>
            </w:pPr>
            <w:r>
              <w:rPr>
                <w:rFonts w:ascii="Calibri" w:hAnsi="Calibri" w:eastAsia="Hiragino Sans GB"/>
                <w:b w:val="0"/>
                <w:color w:val="000000"/>
                <w:sz w:val="22"/>
              </w:rPr>
              <w:t>保险与退休解决方案 I&amp;RS 数据及会员间相关付款受干扰，影响年金、寿险和退休产品的结算资金流。</w:t>
            </w:r>
          </w:p>
        </w:tc>
        <w:tc>
          <w:tcPr>
            <w:tcW w:type="dxa" w:w="2340"/>
            <w:vAlign w:val="center"/>
          </w:tcPr>
          <w:p>
            <w:pPr>
              <w:keepNext w:val="0"/>
              <w:spacing w:before="0" w:after="80" w:line="259" w:lineRule="auto"/>
            </w:pPr>
            <w:r>
              <w:rPr>
                <w:rFonts w:ascii="Calibri" w:hAnsi="Calibri" w:eastAsia="Hiragino Sans GB"/>
                <w:b w:val="0"/>
                <w:color w:val="000000"/>
                <w:sz w:val="22"/>
              </w:rPr>
              <w:t>NSCC 保险与退休解决方案结算。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WIS-NSCC-02</w:t>
            </w:r>
          </w:p>
        </w:tc>
        <w:tc>
          <w:tcPr>
            <w:tcW w:type="dxa" w:w="2340"/>
            <w:vAlign w:val="center"/>
          </w:tcPr>
          <w:p>
            <w:pPr>
              <w:keepNext w:val="0"/>
              <w:spacing w:before="0" w:after="80" w:line="259" w:lineRule="auto"/>
            </w:pPr>
            <w:r>
              <w:rPr>
                <w:rFonts w:ascii="Calibri" w:hAnsi="Calibri" w:eastAsia="Hiragino Sans GB"/>
                <w:b w:val="0"/>
                <w:color w:val="000000"/>
                <w:sz w:val="22"/>
              </w:rPr>
              <w:t>共同基金承压或遭遇挤兑，例如大额赎回、定价或净值问题。</w:t>
            </w:r>
          </w:p>
        </w:tc>
        <w:tc>
          <w:tcPr>
            <w:tcW w:type="dxa" w:w="2340"/>
            <w:vAlign w:val="center"/>
          </w:tcPr>
          <w:p>
            <w:pPr>
              <w:keepNext w:val="0"/>
              <w:spacing w:before="0" w:after="80" w:line="259" w:lineRule="auto"/>
            </w:pPr>
            <w:r>
              <w:rPr>
                <w:rFonts w:ascii="Calibri" w:hAnsi="Calibri" w:eastAsia="Hiragino Sans GB"/>
                <w:b w:val="0"/>
                <w:color w:val="000000"/>
                <w:sz w:val="22"/>
              </w:rPr>
              <w:t>Fund/SERV 申购赎回订单及基金与分销商间的相关资金结算激增或中断，使自动化结算流程承压。</w:t>
            </w:r>
          </w:p>
        </w:tc>
        <w:tc>
          <w:tcPr>
            <w:tcW w:type="dxa" w:w="2340"/>
            <w:vAlign w:val="center"/>
          </w:tcPr>
          <w:p>
            <w:pPr>
              <w:keepNext w:val="0"/>
              <w:spacing w:before="0" w:after="80" w:line="259" w:lineRule="auto"/>
            </w:pPr>
            <w:r>
              <w:rPr>
                <w:rFonts w:ascii="Calibri" w:hAnsi="Calibri" w:eastAsia="Hiragino Sans GB"/>
                <w:b w:val="0"/>
                <w:color w:val="000000"/>
                <w:sz w:val="22"/>
              </w:rPr>
              <w:t>NSCC Fund/SERV 共同基金订单与结算。</w:t>
            </w:r>
          </w:p>
        </w:tc>
      </w:tr>
      <w:tr>
        <w:trPr>
          <w:cantSplit/>
        </w:trPr>
        <w:tc>
          <w:tcPr>
            <w:tcW w:type="dxa" w:w="2340"/>
            <w:vAlign w:val="center"/>
          </w:tcPr>
          <w:p>
            <w:pPr>
              <w:keepNext w:val="0"/>
              <w:spacing w:before="0" w:after="80" w:line="259" w:lineRule="auto"/>
            </w:pPr>
            <w:r>
              <w:rPr>
                <w:rFonts w:ascii="Calibri" w:hAnsi="Calibri" w:eastAsia="Hiragino Sans GB"/>
                <w:b w:val="0"/>
                <w:color w:val="000000"/>
                <w:sz w:val="22"/>
              </w:rPr>
              <w:t>WIS-NSCC-03</w:t>
            </w:r>
          </w:p>
        </w:tc>
        <w:tc>
          <w:tcPr>
            <w:tcW w:type="dxa" w:w="2340"/>
            <w:vAlign w:val="center"/>
          </w:tcPr>
          <w:p>
            <w:pPr>
              <w:keepNext w:val="0"/>
              <w:spacing w:before="0" w:after="80" w:line="259" w:lineRule="auto"/>
            </w:pPr>
            <w:r>
              <w:rPr>
                <w:rFonts w:ascii="Calibri" w:hAnsi="Calibri" w:eastAsia="Hiragino Sans GB"/>
                <w:b w:val="0"/>
                <w:color w:val="000000"/>
                <w:sz w:val="22"/>
              </w:rPr>
              <w:t>私募市场或另类投资承压，例如估值、流动性或基金行政管理人出现问题。</w:t>
            </w:r>
          </w:p>
        </w:tc>
        <w:tc>
          <w:tcPr>
            <w:tcW w:type="dxa" w:w="2340"/>
            <w:vAlign w:val="center"/>
          </w:tcPr>
          <w:p>
            <w:pPr>
              <w:keepNext w:val="0"/>
              <w:spacing w:before="0" w:after="80" w:line="259" w:lineRule="auto"/>
            </w:pPr>
            <w:r>
              <w:rPr>
                <w:rFonts w:ascii="Calibri" w:hAnsi="Calibri" w:eastAsia="Hiragino Sans GB"/>
                <w:b w:val="0"/>
                <w:color w:val="000000"/>
                <w:sz w:val="22"/>
              </w:rPr>
              <w:t>另类投资产品 AIP 数据及会员间的 AIP 付款受干扰，影响私募市场结算与报告流程。</w:t>
            </w:r>
          </w:p>
        </w:tc>
        <w:tc>
          <w:tcPr>
            <w:tcW w:type="dxa" w:w="2340"/>
            <w:vAlign w:val="center"/>
          </w:tcPr>
          <w:p>
            <w:pPr>
              <w:keepNext w:val="0"/>
              <w:spacing w:before="0" w:after="80" w:line="259" w:lineRule="auto"/>
            </w:pPr>
            <w:r>
              <w:rPr>
                <w:rFonts w:ascii="Calibri" w:hAnsi="Calibri" w:eastAsia="Hiragino Sans GB"/>
                <w:b w:val="0"/>
                <w:color w:val="000000"/>
                <w:sz w:val="22"/>
              </w:rPr>
              <w:t>NSCC 另类投资产品 AIP 服务。</w:t>
            </w:r>
          </w:p>
        </w:tc>
      </w:tr>
    </w:tbl>
    <w:p>
      <w:pPr>
        <w:pStyle w:val="Heading1"/>
      </w:pPr>
      <w:r>
        <w:rPr>
          <w:rFonts w:ascii="Calibri" w:hAnsi="Calibri" w:eastAsia="Hiragino Sans GB"/>
          <w:color w:val="000000"/>
        </w:rPr>
        <w:t>旧链到新链的完整对照</w:t>
      </w:r>
    </w:p>
    <w:p>
      <w:r>
        <w:rPr>
          <w:rFonts w:ascii="Calibri" w:hAnsi="Calibri" w:eastAsia="Hiragino Sans GB"/>
          <w:color w:val="000000"/>
        </w:rPr>
        <w:t>旧编号仅指 2026 年 10 月 16 日结果所用的 v1 编号。v2 的新编号在 v3 中继续适用；本轮新增链没有旧检验映射，不得按相同编号继承历史结果。</w:t>
      </w:r>
    </w:p>
    <w:tbl>
      <w:tblPr>
        <w:tblStyle w:val="TableGrid"/>
        <w:tblW w:w="0" w:type="auto"/>
        <w:tblLayout w:type="fixed"/>
        <w:tblLook w:val="0420" w:firstRow="1" w:lastRow="0" w:firstColumn="0" w:lastColumn="0" w:noHBand="0" w:noVBand="1"/>
      </w:tblPr>
      <w:tblGrid>
        <w:gridCol w:w="1800"/>
        <w:gridCol w:w="2304"/>
        <w:gridCol w:w="5256"/>
      </w:tblGrid>
      <w:tr>
        <w:trPr>
          <w:cantSplit/>
          <w:tblHeader/>
        </w:trPr>
        <w:tc>
          <w:tcPr>
            <w:tcW w:type="dxa" w:w="1800"/>
            <w:vAlign w:val="center"/>
            <w:shd w:fill="F2F2F2"/>
          </w:tcPr>
          <w:p>
            <w:pPr>
              <w:keepNext w:val="0"/>
              <w:spacing w:before="0" w:after="80" w:line="259" w:lineRule="auto"/>
            </w:pPr>
            <w:r>
              <w:rPr>
                <w:rFonts w:ascii="Calibri" w:hAnsi="Calibri" w:eastAsia="Hiragino Sans GB"/>
                <w:b/>
                <w:color w:val="000000"/>
                <w:sz w:val="22"/>
              </w:rPr>
              <w:t>旧 v1 编号</w:t>
            </w:r>
          </w:p>
        </w:tc>
        <w:tc>
          <w:tcPr>
            <w:tcW w:type="dxa" w:w="2304"/>
            <w:vAlign w:val="center"/>
            <w:shd w:fill="F2F2F2"/>
          </w:tcPr>
          <w:p>
            <w:pPr>
              <w:keepNext w:val="0"/>
              <w:spacing w:before="0" w:after="80" w:line="259" w:lineRule="auto"/>
            </w:pPr>
            <w:r>
              <w:rPr>
                <w:rFonts w:ascii="Calibri" w:hAnsi="Calibri" w:eastAsia="Hiragino Sans GB"/>
                <w:b/>
                <w:color w:val="000000"/>
              </w:rPr>
              <w:t>v3 编号</w:t>
            </w:r>
          </w:p>
        </w:tc>
        <w:tc>
          <w:tcPr>
            <w:tcW w:type="dxa" w:w="5256"/>
            <w:vAlign w:val="center"/>
            <w:shd w:fill="F2F2F2"/>
          </w:tcPr>
          <w:p>
            <w:pPr>
              <w:keepNext w:val="0"/>
              <w:spacing w:before="0" w:after="80" w:line="259" w:lineRule="auto"/>
            </w:pPr>
            <w:r>
              <w:rPr>
                <w:rFonts w:ascii="Calibri" w:hAnsi="Calibri" w:eastAsia="Hiragino Sans GB"/>
                <w:b/>
                <w:color w:val="000000"/>
                <w:sz w:val="22"/>
              </w:rPr>
              <w:t>处理及原因</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FICC-GSD-01</w:t>
            </w:r>
          </w:p>
        </w:tc>
        <w:tc>
          <w:tcPr>
            <w:tcW w:type="dxa" w:w="2304"/>
            <w:vAlign w:val="center"/>
          </w:tcPr>
          <w:p>
            <w:pPr>
              <w:keepNext w:val="0"/>
              <w:spacing w:before="0" w:after="80" w:line="259" w:lineRule="auto"/>
            </w:pPr>
            <w:r>
              <w:rPr>
                <w:rFonts w:ascii="Calibri" w:hAnsi="Calibri" w:eastAsia="Hiragino Sans GB"/>
                <w:b w:val="0"/>
                <w:color w:val="000000"/>
                <w:sz w:val="22"/>
              </w:rPr>
              <w:t>FICC-GSD-01</w:t>
            </w:r>
          </w:p>
        </w:tc>
        <w:tc>
          <w:tcPr>
            <w:tcW w:type="dxa" w:w="5256"/>
            <w:vAlign w:val="center"/>
          </w:tcPr>
          <w:p>
            <w:pPr>
              <w:keepNext w:val="0"/>
              <w:spacing w:before="0" w:after="80" w:line="259" w:lineRule="auto"/>
            </w:pPr>
            <w:r>
              <w:rPr>
                <w:rFonts w:ascii="Calibri" w:hAnsi="Calibri" w:eastAsia="Hiragino Sans GB"/>
                <w:b w:val="0"/>
                <w:color w:val="000000"/>
                <w:sz w:val="22"/>
              </w:rPr>
              <w:t>相似，按示例收敛到保证金；保留原检验。</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FICC-GSD-02</w:t>
            </w:r>
          </w:p>
        </w:tc>
        <w:tc>
          <w:tcPr>
            <w:tcW w:type="dxa" w:w="2304"/>
            <w:vAlign w:val="center"/>
          </w:tcPr>
          <w:p>
            <w:pPr>
              <w:keepNext w:val="0"/>
              <w:spacing w:before="0" w:after="80" w:line="259" w:lineRule="auto"/>
            </w:pPr>
            <w:r>
              <w:rPr>
                <w:rFonts w:ascii="Calibri" w:hAnsi="Calibri" w:eastAsia="Hiragino Sans GB"/>
                <w:b w:val="0"/>
                <w:color w:val="000000"/>
                <w:sz w:val="22"/>
              </w:rPr>
              <w:t>FICC-GSD-02</w:t>
            </w:r>
          </w:p>
        </w:tc>
        <w:tc>
          <w:tcPr>
            <w:tcW w:type="dxa" w:w="5256"/>
            <w:vAlign w:val="center"/>
          </w:tcPr>
          <w:p>
            <w:pPr>
              <w:keepNext w:val="0"/>
              <w:spacing w:before="0" w:after="80" w:line="259" w:lineRule="auto"/>
            </w:pPr>
            <w:r>
              <w:rPr>
                <w:rFonts w:ascii="Calibri" w:hAnsi="Calibri" w:eastAsia="Hiragino Sans GB"/>
                <w:b w:val="0"/>
                <w:color w:val="000000"/>
                <w:sz w:val="22"/>
              </w:rPr>
              <w:t>相似，按示例写结算流动性；利差结果仅为间接代理。</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FICC-GSD-03</w:t>
            </w:r>
          </w:p>
        </w:tc>
        <w:tc>
          <w:tcPr>
            <w:tcW w:type="dxa" w:w="2304"/>
            <w:vAlign w:val="center"/>
          </w:tcPr>
          <w:p>
            <w:pPr>
              <w:keepNext w:val="0"/>
              <w:spacing w:before="0" w:after="80" w:line="259" w:lineRule="auto"/>
            </w:pPr>
            <w:r>
              <w:rPr>
                <w:rFonts w:ascii="Calibri" w:hAnsi="Calibri" w:eastAsia="Hiragino Sans GB"/>
                <w:b w:val="0"/>
                <w:color w:val="000000"/>
                <w:sz w:val="22"/>
              </w:rPr>
              <w:t>FICC-GSD-03</w:t>
            </w:r>
          </w:p>
        </w:tc>
        <w:tc>
          <w:tcPr>
            <w:tcW w:type="dxa" w:w="5256"/>
            <w:vAlign w:val="center"/>
          </w:tcPr>
          <w:p>
            <w:pPr>
              <w:keepNext w:val="0"/>
              <w:spacing w:before="0" w:after="80" w:line="259" w:lineRule="auto"/>
            </w:pPr>
            <w:r>
              <w:rPr>
                <w:rFonts w:ascii="Calibri" w:hAnsi="Calibri" w:eastAsia="Hiragino Sans GB"/>
                <w:b w:val="0"/>
                <w:color w:val="000000"/>
                <w:sz w:val="22"/>
              </w:rPr>
              <w:t>相似，保留接入和 Sponsored；移除必然集中于少数担保会员的结论。</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FICC-GSD-04</w:t>
            </w:r>
          </w:p>
        </w:tc>
        <w:tc>
          <w:tcPr>
            <w:tcW w:type="dxa" w:w="2304"/>
            <w:vAlign w:val="center"/>
          </w:tcPr>
          <w:p>
            <w:pPr>
              <w:keepNext w:val="0"/>
              <w:spacing w:before="0" w:after="80" w:line="259" w:lineRule="auto"/>
            </w:pPr>
            <w:r>
              <w:rPr>
                <w:rFonts w:ascii="Calibri" w:hAnsi="Calibri" w:eastAsia="Hiragino Sans GB"/>
                <w:b w:val="0"/>
                <w:color w:val="000000"/>
                <w:sz w:val="22"/>
              </w:rPr>
              <w:t>FICC-GSD-04</w:t>
              <w:br/>
              <w:t>FICC-GSD-06</w:t>
            </w:r>
          </w:p>
        </w:tc>
        <w:tc>
          <w:tcPr>
            <w:tcW w:type="dxa" w:w="5256"/>
            <w:vAlign w:val="center"/>
          </w:tcPr>
          <w:p>
            <w:pPr>
              <w:keepNext w:val="0"/>
              <w:spacing w:before="0" w:after="80" w:line="259" w:lineRule="auto"/>
            </w:pPr>
            <w:r>
              <w:rPr>
                <w:rFonts w:ascii="Calibri" w:hAnsi="Calibri" w:eastAsia="Hiragino Sans GB"/>
                <w:b w:val="0"/>
                <w:color w:val="000000"/>
                <w:sz w:val="22"/>
              </w:rPr>
              <w:t>按示例拆分信用恶化与实际违约；不再把降级直接写成共同分摊损失。</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FICC-MBSD-01</w:t>
            </w:r>
          </w:p>
        </w:tc>
        <w:tc>
          <w:tcPr>
            <w:tcW w:type="dxa" w:w="2304"/>
            <w:vAlign w:val="center"/>
          </w:tcPr>
          <w:p>
            <w:pPr>
              <w:keepNext w:val="0"/>
              <w:spacing w:before="0" w:after="80" w:line="259" w:lineRule="auto"/>
            </w:pPr>
            <w:r>
              <w:rPr>
                <w:rFonts w:ascii="Calibri" w:hAnsi="Calibri" w:eastAsia="Hiragino Sans GB"/>
                <w:b w:val="0"/>
                <w:color w:val="000000"/>
                <w:sz w:val="22"/>
              </w:rPr>
              <w:t>FICC-MBSD-01</w:t>
            </w:r>
          </w:p>
        </w:tc>
        <w:tc>
          <w:tcPr>
            <w:tcW w:type="dxa" w:w="5256"/>
            <w:vAlign w:val="center"/>
          </w:tcPr>
          <w:p>
            <w:pPr>
              <w:keepNext w:val="0"/>
              <w:spacing w:before="0" w:after="80" w:line="259" w:lineRule="auto"/>
            </w:pPr>
            <w:r>
              <w:rPr>
                <w:rFonts w:ascii="Calibri" w:hAnsi="Calibri" w:eastAsia="Hiragino Sans GB"/>
                <w:b w:val="0"/>
                <w:color w:val="000000"/>
                <w:sz w:val="22"/>
              </w:rPr>
              <w:t>相似，按示例保留 TBA 价格到保证金；保留代理及检验限制。</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FICC-GSD-05</w:t>
            </w:r>
          </w:p>
        </w:tc>
        <w:tc>
          <w:tcPr>
            <w:tcW w:type="dxa" w:w="2304"/>
            <w:vAlign w:val="center"/>
          </w:tcPr>
          <w:p>
            <w:pPr>
              <w:keepNext w:val="0"/>
              <w:spacing w:before="0" w:after="80" w:line="259" w:lineRule="auto"/>
            </w:pPr>
            <w:r>
              <w:rPr>
                <w:rFonts w:ascii="Calibri" w:hAnsi="Calibri" w:eastAsia="Hiragino Sans GB"/>
                <w:b w:val="0"/>
                <w:color w:val="000000"/>
                <w:sz w:val="22"/>
              </w:rPr>
              <w:t>TEAM-FICC-01</w:t>
            </w:r>
          </w:p>
        </w:tc>
        <w:tc>
          <w:tcPr>
            <w:tcW w:type="dxa" w:w="5256"/>
            <w:vAlign w:val="center"/>
          </w:tcPr>
          <w:p>
            <w:pPr>
              <w:keepNext w:val="0"/>
              <w:spacing w:before="0" w:after="80" w:line="259" w:lineRule="auto"/>
            </w:pPr>
            <w:r>
              <w:rPr>
                <w:rFonts w:ascii="Calibri" w:hAnsi="Calibri" w:eastAsia="Hiragino Sans GB"/>
                <w:b w:val="0"/>
                <w:color w:val="000000"/>
                <w:sz w:val="22"/>
              </w:rPr>
              <w:t>不同机制且不冲突，保留竞争链；新 GSD-05 专指 GCF 履约。</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FICC-GSD-06</w:t>
            </w:r>
          </w:p>
        </w:tc>
        <w:tc>
          <w:tcPr>
            <w:tcW w:type="dxa" w:w="2304"/>
            <w:vAlign w:val="center"/>
          </w:tcPr>
          <w:p>
            <w:pPr>
              <w:keepNext w:val="0"/>
              <w:spacing w:before="0" w:after="80" w:line="259" w:lineRule="auto"/>
            </w:pPr>
            <w:r>
              <w:rPr>
                <w:rFonts w:ascii="Calibri" w:hAnsi="Calibri" w:eastAsia="Hiragino Sans GB"/>
                <w:b w:val="0"/>
                <w:color w:val="000000"/>
                <w:sz w:val="22"/>
              </w:rPr>
              <w:t>FICC-GSD-08</w:t>
              <w:br/>
              <w:t>TEAM-FICC-02</w:t>
            </w:r>
          </w:p>
        </w:tc>
        <w:tc>
          <w:tcPr>
            <w:tcW w:type="dxa" w:w="5256"/>
            <w:vAlign w:val="center"/>
          </w:tcPr>
          <w:p>
            <w:pPr>
              <w:keepNext w:val="0"/>
              <w:spacing w:before="0" w:after="80" w:line="259" w:lineRule="auto"/>
            </w:pPr>
            <w:r>
              <w:rPr>
                <w:rFonts w:ascii="Calibri" w:hAnsi="Calibri" w:eastAsia="Hiragino Sans GB"/>
                <w:b w:val="0"/>
                <w:color w:val="000000"/>
                <w:sz w:val="22"/>
              </w:rPr>
              <w:t>清算银行分支按示例 GSD-08；会员或供应商分支另保留。旧编号让给实际违约。</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FICC-MBSD-02</w:t>
            </w:r>
          </w:p>
        </w:tc>
        <w:tc>
          <w:tcPr>
            <w:tcW w:type="dxa" w:w="2304"/>
            <w:vAlign w:val="center"/>
          </w:tcPr>
          <w:p>
            <w:pPr>
              <w:keepNext w:val="0"/>
              <w:spacing w:before="0" w:after="80" w:line="259" w:lineRule="auto"/>
            </w:pPr>
            <w:r>
              <w:rPr>
                <w:rFonts w:ascii="Calibri" w:hAnsi="Calibri" w:eastAsia="Hiragino Sans GB"/>
                <w:b w:val="0"/>
                <w:color w:val="000000"/>
                <w:sz w:val="22"/>
              </w:rPr>
              <w:t>TEAM-FICC-03</w:t>
            </w:r>
          </w:p>
        </w:tc>
        <w:tc>
          <w:tcPr>
            <w:tcW w:type="dxa" w:w="5256"/>
            <w:vAlign w:val="center"/>
          </w:tcPr>
          <w:p>
            <w:pPr>
              <w:keepNext w:val="0"/>
              <w:spacing w:before="0" w:after="80" w:line="259" w:lineRule="auto"/>
            </w:pPr>
            <w:r>
              <w:rPr>
                <w:rFonts w:ascii="Calibri" w:hAnsi="Calibri" w:eastAsia="Hiragino Sans GB"/>
                <w:b w:val="0"/>
                <w:color w:val="000000"/>
                <w:sz w:val="22"/>
              </w:rPr>
              <w:t>保留 GSE 改革；示例 MBSD-02 是池交付失败，不能按同号替换。</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ECS-NSCC-01A</w:t>
            </w:r>
          </w:p>
        </w:tc>
        <w:tc>
          <w:tcPr>
            <w:tcW w:type="dxa" w:w="2304"/>
            <w:vAlign w:val="center"/>
          </w:tcPr>
          <w:p>
            <w:pPr>
              <w:keepNext w:val="0"/>
              <w:spacing w:before="0" w:after="80" w:line="259" w:lineRule="auto"/>
            </w:pPr>
            <w:r>
              <w:rPr>
                <w:rFonts w:ascii="Calibri" w:hAnsi="Calibri" w:eastAsia="Hiragino Sans GB"/>
                <w:b w:val="0"/>
                <w:color w:val="000000"/>
                <w:sz w:val="22"/>
              </w:rPr>
              <w:t>TEAM-ECS-01</w:t>
            </w:r>
          </w:p>
        </w:tc>
        <w:tc>
          <w:tcPr>
            <w:tcW w:type="dxa" w:w="5256"/>
            <w:vAlign w:val="center"/>
          </w:tcPr>
          <w:p>
            <w:pPr>
              <w:keepNext w:val="0"/>
              <w:spacing w:before="0" w:after="80" w:line="259" w:lineRule="auto"/>
            </w:pPr>
            <w:r>
              <w:rPr>
                <w:rFonts w:ascii="Calibri" w:hAnsi="Calibri" w:eastAsia="Hiragino Sans GB"/>
                <w:b w:val="0"/>
                <w:color w:val="000000"/>
                <w:sz w:val="22"/>
              </w:rPr>
              <w:t>IM 追缴与 VM 是不同流程，不冲突，单独保留。</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ECS-NSCC-01B</w:t>
            </w:r>
          </w:p>
        </w:tc>
        <w:tc>
          <w:tcPr>
            <w:tcW w:type="dxa" w:w="2304"/>
            <w:vAlign w:val="center"/>
          </w:tcPr>
          <w:p>
            <w:pPr>
              <w:keepNext w:val="0"/>
              <w:spacing w:before="0" w:after="80" w:line="259" w:lineRule="auto"/>
            </w:pPr>
            <w:r>
              <w:rPr>
                <w:rFonts w:ascii="Calibri" w:hAnsi="Calibri" w:eastAsia="Hiragino Sans GB"/>
                <w:b w:val="0"/>
                <w:color w:val="000000"/>
                <w:sz w:val="22"/>
              </w:rPr>
              <w:t>ECS-NSCC-01</w:t>
            </w:r>
          </w:p>
        </w:tc>
        <w:tc>
          <w:tcPr>
            <w:tcW w:type="dxa" w:w="5256"/>
            <w:vAlign w:val="center"/>
          </w:tcPr>
          <w:p>
            <w:pPr>
              <w:keepNext w:val="0"/>
              <w:spacing w:before="0" w:after="80" w:line="259" w:lineRule="auto"/>
            </w:pPr>
            <w:r>
              <w:rPr>
                <w:rFonts w:ascii="Calibri" w:hAnsi="Calibri" w:eastAsia="Hiragino Sans GB"/>
                <w:b w:val="0"/>
                <w:color w:val="000000"/>
                <w:sz w:val="22"/>
              </w:rPr>
              <w:t>与示例股市波动到 VM 相同，采用其编号与流程。</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ECS-NSCC-01C</w:t>
            </w:r>
          </w:p>
        </w:tc>
        <w:tc>
          <w:tcPr>
            <w:tcW w:type="dxa" w:w="2304"/>
            <w:vAlign w:val="center"/>
          </w:tcPr>
          <w:p>
            <w:pPr>
              <w:keepNext w:val="0"/>
              <w:spacing w:before="0" w:after="80" w:line="259" w:lineRule="auto"/>
            </w:pPr>
            <w:r>
              <w:rPr>
                <w:rFonts w:ascii="Calibri" w:hAnsi="Calibri" w:eastAsia="Hiragino Sans GB"/>
                <w:b w:val="0"/>
                <w:color w:val="000000"/>
                <w:sz w:val="22"/>
              </w:rPr>
              <w:t>TEAM-ECS-02</w:t>
            </w:r>
          </w:p>
        </w:tc>
        <w:tc>
          <w:tcPr>
            <w:tcW w:type="dxa" w:w="5256"/>
            <w:vAlign w:val="center"/>
          </w:tcPr>
          <w:p>
            <w:pPr>
              <w:keepNext w:val="0"/>
              <w:spacing w:before="0" w:after="80" w:line="259" w:lineRule="auto"/>
            </w:pPr>
            <w:r>
              <w:rPr>
                <w:rFonts w:ascii="Calibri" w:hAnsi="Calibri" w:eastAsia="Hiragino Sans GB"/>
                <w:b w:val="0"/>
                <w:color w:val="000000"/>
                <w:sz w:val="22"/>
              </w:rPr>
              <w:t>回测覆盖是不同流程，保留；不把突破等同实际损失。</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ECS-NSCC-02A</w:t>
            </w:r>
          </w:p>
        </w:tc>
        <w:tc>
          <w:tcPr>
            <w:tcW w:type="dxa" w:w="2304"/>
            <w:vAlign w:val="center"/>
          </w:tcPr>
          <w:p>
            <w:pPr>
              <w:keepNext w:val="0"/>
              <w:spacing w:before="0" w:after="80" w:line="259" w:lineRule="auto"/>
            </w:pPr>
            <w:r>
              <w:rPr>
                <w:rFonts w:ascii="Calibri" w:hAnsi="Calibri" w:eastAsia="Hiragino Sans GB"/>
                <w:b w:val="0"/>
                <w:color w:val="000000"/>
                <w:sz w:val="22"/>
              </w:rPr>
              <w:t>ECS-NSCC-03</w:t>
            </w:r>
          </w:p>
        </w:tc>
        <w:tc>
          <w:tcPr>
            <w:tcW w:type="dxa" w:w="5256"/>
            <w:vAlign w:val="center"/>
          </w:tcPr>
          <w:p>
            <w:pPr>
              <w:keepNext w:val="0"/>
              <w:spacing w:before="0" w:after="80" w:line="259" w:lineRule="auto"/>
            </w:pPr>
            <w:r>
              <w:rPr>
                <w:rFonts w:ascii="Calibri" w:hAnsi="Calibri" w:eastAsia="Hiragino Sans GB"/>
                <w:b w:val="0"/>
                <w:color w:val="000000"/>
                <w:sz w:val="22"/>
              </w:rPr>
              <w:t>与示例成交量到 CNS 失败相似，改号；FTD 仍是未交割余额。</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ECS-NSCC-02B</w:t>
            </w:r>
          </w:p>
        </w:tc>
        <w:tc>
          <w:tcPr>
            <w:tcW w:type="dxa" w:w="2304"/>
            <w:vAlign w:val="center"/>
          </w:tcPr>
          <w:p>
            <w:pPr>
              <w:keepNext w:val="0"/>
              <w:spacing w:before="0" w:after="80" w:line="259" w:lineRule="auto"/>
            </w:pPr>
            <w:r>
              <w:rPr>
                <w:rFonts w:ascii="Calibri" w:hAnsi="Calibri" w:eastAsia="Hiragino Sans GB"/>
                <w:b w:val="0"/>
                <w:color w:val="000000"/>
                <w:sz w:val="22"/>
              </w:rPr>
              <w:t>TEAM-ECS-03</w:t>
            </w:r>
          </w:p>
        </w:tc>
        <w:tc>
          <w:tcPr>
            <w:tcW w:type="dxa" w:w="5256"/>
            <w:vAlign w:val="center"/>
          </w:tcPr>
          <w:p>
            <w:pPr>
              <w:keepNext w:val="0"/>
              <w:spacing w:before="0" w:after="80" w:line="259" w:lineRule="auto"/>
            </w:pPr>
            <w:r>
              <w:rPr>
                <w:rFonts w:ascii="Calibri" w:hAnsi="Calibri" w:eastAsia="Hiragino Sans GB"/>
                <w:b w:val="0"/>
                <w:color w:val="000000"/>
                <w:sz w:val="22"/>
              </w:rPr>
              <w:t>系统容量与交割失败不同，不冲突，保留容量链。</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ECS-NSCC-03A</w:t>
            </w:r>
          </w:p>
        </w:tc>
        <w:tc>
          <w:tcPr>
            <w:tcW w:type="dxa" w:w="2304"/>
            <w:vAlign w:val="center"/>
          </w:tcPr>
          <w:p>
            <w:pPr>
              <w:keepNext w:val="0"/>
              <w:spacing w:before="0" w:after="80" w:line="259" w:lineRule="auto"/>
            </w:pPr>
            <w:r>
              <w:rPr>
                <w:rFonts w:ascii="Calibri" w:hAnsi="Calibri" w:eastAsia="Hiragino Sans GB"/>
                <w:b w:val="0"/>
                <w:color w:val="000000"/>
                <w:sz w:val="22"/>
              </w:rPr>
              <w:t>TEAM-ECS-04</w:t>
              <w:br/>
              <w:t>ECS-NSCC-06</w:t>
            </w:r>
          </w:p>
        </w:tc>
        <w:tc>
          <w:tcPr>
            <w:tcW w:type="dxa" w:w="5256"/>
            <w:vAlign w:val="center"/>
          </w:tcPr>
          <w:p>
            <w:pPr>
              <w:keepNext w:val="0"/>
              <w:spacing w:before="0" w:after="80" w:line="259" w:lineRule="auto"/>
            </w:pPr>
            <w:r>
              <w:rPr>
                <w:rFonts w:ascii="Calibri" w:hAnsi="Calibri" w:eastAsia="Hiragino Sans GB"/>
                <w:b w:val="0"/>
                <w:color w:val="000000"/>
                <w:sz w:val="22"/>
              </w:rPr>
              <w:t>保留违约前信用链；实际违约按示例 CNS 平仓链。</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ECS-NSCC-03B</w:t>
            </w:r>
          </w:p>
        </w:tc>
        <w:tc>
          <w:tcPr>
            <w:tcW w:type="dxa" w:w="2304"/>
            <w:vAlign w:val="center"/>
          </w:tcPr>
          <w:p>
            <w:pPr>
              <w:keepNext w:val="0"/>
              <w:spacing w:before="0" w:after="80" w:line="259" w:lineRule="auto"/>
            </w:pPr>
            <w:r>
              <w:rPr>
                <w:rFonts w:ascii="Calibri" w:hAnsi="Calibri" w:eastAsia="Hiragino Sans GB"/>
                <w:b w:val="0"/>
                <w:color w:val="000000"/>
                <w:sz w:val="22"/>
              </w:rPr>
              <w:t>ECS-NSCC-02</w:t>
            </w:r>
          </w:p>
        </w:tc>
        <w:tc>
          <w:tcPr>
            <w:tcW w:type="dxa" w:w="5256"/>
            <w:vAlign w:val="center"/>
          </w:tcPr>
          <w:p>
            <w:pPr>
              <w:keepNext w:val="0"/>
              <w:spacing w:before="0" w:after="80" w:line="259" w:lineRule="auto"/>
            </w:pPr>
            <w:r>
              <w:rPr>
                <w:rFonts w:ascii="Calibri" w:hAnsi="Calibri" w:eastAsia="Hiragino Sans GB"/>
                <w:b w:val="0"/>
                <w:color w:val="000000"/>
                <w:sz w:val="22"/>
              </w:rPr>
              <w:t>按示例定位 VM 和流动性；旧 IM 比例通过不等于新目标已通过。</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ECS-NSCC-04</w:t>
            </w:r>
          </w:p>
        </w:tc>
        <w:tc>
          <w:tcPr>
            <w:tcW w:type="dxa" w:w="2304"/>
            <w:vAlign w:val="center"/>
          </w:tcPr>
          <w:p>
            <w:pPr>
              <w:keepNext w:val="0"/>
              <w:spacing w:before="0" w:after="80" w:line="259" w:lineRule="auto"/>
            </w:pPr>
            <w:r>
              <w:rPr>
                <w:rFonts w:ascii="Calibri" w:hAnsi="Calibri" w:eastAsia="Hiragino Sans GB"/>
                <w:b w:val="0"/>
                <w:color w:val="000000"/>
                <w:sz w:val="22"/>
              </w:rPr>
              <w:t>ECS-SET-01</w:t>
            </w:r>
          </w:p>
        </w:tc>
        <w:tc>
          <w:tcPr>
            <w:tcW w:type="dxa" w:w="5256"/>
            <w:vAlign w:val="center"/>
          </w:tcPr>
          <w:p>
            <w:pPr>
              <w:keepNext w:val="0"/>
              <w:spacing w:before="0" w:after="80" w:line="259" w:lineRule="auto"/>
            </w:pPr>
            <w:r>
              <w:rPr>
                <w:rFonts w:ascii="Calibri" w:hAnsi="Calibri" w:eastAsia="Hiragino Sans GB"/>
                <w:b w:val="0"/>
                <w:color w:val="000000"/>
                <w:sz w:val="22"/>
              </w:rPr>
              <w:t>与旧 DTC-01 合并事件链，NSCC 结果单独保留；不预设失败增加。</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ECS-NSCC-05</w:t>
            </w:r>
          </w:p>
        </w:tc>
        <w:tc>
          <w:tcPr>
            <w:tcW w:type="dxa" w:w="2304"/>
            <w:vAlign w:val="center"/>
          </w:tcPr>
          <w:p>
            <w:pPr>
              <w:keepNext w:val="0"/>
              <w:spacing w:before="0" w:after="80" w:line="259" w:lineRule="auto"/>
            </w:pPr>
            <w:r>
              <w:rPr>
                <w:rFonts w:ascii="Calibri" w:hAnsi="Calibri" w:eastAsia="Hiragino Sans GB"/>
                <w:b w:val="0"/>
                <w:color w:val="000000"/>
                <w:sz w:val="22"/>
              </w:rPr>
              <w:t>TEAM-ECS-05</w:t>
            </w:r>
          </w:p>
        </w:tc>
        <w:tc>
          <w:tcPr>
            <w:tcW w:type="dxa" w:w="5256"/>
            <w:vAlign w:val="center"/>
          </w:tcPr>
          <w:p>
            <w:pPr>
              <w:keepNext w:val="0"/>
              <w:spacing w:before="0" w:after="80" w:line="259" w:lineRule="auto"/>
            </w:pPr>
            <w:r>
              <w:rPr>
                <w:rFonts w:ascii="Calibri" w:hAnsi="Calibri" w:eastAsia="Hiragino Sans GB"/>
                <w:b w:val="0"/>
                <w:color w:val="000000"/>
                <w:sz w:val="22"/>
              </w:rPr>
              <w:t>已知高峰日不等于示例的补充流动性存款，不冲突，保留并改号。</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ECS-DTC-01</w:t>
            </w:r>
          </w:p>
        </w:tc>
        <w:tc>
          <w:tcPr>
            <w:tcW w:type="dxa" w:w="2304"/>
            <w:vAlign w:val="center"/>
          </w:tcPr>
          <w:p>
            <w:pPr>
              <w:keepNext w:val="0"/>
              <w:spacing w:before="0" w:after="80" w:line="259" w:lineRule="auto"/>
            </w:pPr>
            <w:r>
              <w:rPr>
                <w:rFonts w:ascii="Calibri" w:hAnsi="Calibri" w:eastAsia="Hiragino Sans GB"/>
                <w:b w:val="0"/>
                <w:color w:val="000000"/>
                <w:sz w:val="22"/>
              </w:rPr>
              <w:t>ECS-SET-01</w:t>
            </w:r>
          </w:p>
        </w:tc>
        <w:tc>
          <w:tcPr>
            <w:tcW w:type="dxa" w:w="5256"/>
            <w:vAlign w:val="center"/>
          </w:tcPr>
          <w:p>
            <w:pPr>
              <w:keepNext w:val="0"/>
              <w:spacing w:before="0" w:after="80" w:line="259" w:lineRule="auto"/>
            </w:pPr>
            <w:r>
              <w:rPr>
                <w:rFonts w:ascii="Calibri" w:hAnsi="Calibri" w:eastAsia="Hiragino Sans GB"/>
                <w:b w:val="0"/>
                <w:color w:val="000000"/>
                <w:sz w:val="22"/>
              </w:rPr>
              <w:t>并入共同制度事件链，但 DTC 非 CNS 结果不与 NSCC 混合。</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ECS-DTC-02A</w:t>
            </w:r>
          </w:p>
        </w:tc>
        <w:tc>
          <w:tcPr>
            <w:tcW w:type="dxa" w:w="2304"/>
            <w:vAlign w:val="center"/>
          </w:tcPr>
          <w:p>
            <w:pPr>
              <w:keepNext w:val="0"/>
              <w:spacing w:before="0" w:after="80" w:line="259" w:lineRule="auto"/>
            </w:pPr>
            <w:r>
              <w:rPr>
                <w:rFonts w:ascii="Calibri" w:hAnsi="Calibri" w:eastAsia="Hiragino Sans GB"/>
                <w:b w:val="0"/>
                <w:color w:val="000000"/>
                <w:sz w:val="22"/>
              </w:rPr>
              <w:t>ECS-DTC-05</w:t>
              <w:br/>
              <w:t>TEAM-ECS-08</w:t>
            </w:r>
          </w:p>
        </w:tc>
        <w:tc>
          <w:tcPr>
            <w:tcW w:type="dxa" w:w="5256"/>
            <w:vAlign w:val="center"/>
          </w:tcPr>
          <w:p>
            <w:pPr>
              <w:keepNext w:val="0"/>
              <w:spacing w:before="0" w:after="80" w:line="259" w:lineRule="auto"/>
            </w:pPr>
            <w:r>
              <w:rPr>
                <w:rFonts w:ascii="Calibri" w:hAnsi="Calibri" w:eastAsia="Hiragino Sans GB"/>
                <w:b w:val="0"/>
                <w:color w:val="000000"/>
                <w:sz w:val="22"/>
              </w:rPr>
              <w:t>参与者分支按示例 DTC-05；DTC 自身系统分支另保留。KEV 入库不证明暴露。</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ECS-DTC-02B</w:t>
            </w:r>
          </w:p>
        </w:tc>
        <w:tc>
          <w:tcPr>
            <w:tcW w:type="dxa" w:w="2304"/>
            <w:vAlign w:val="center"/>
          </w:tcPr>
          <w:p>
            <w:pPr>
              <w:keepNext w:val="0"/>
              <w:spacing w:before="0" w:after="80" w:line="259" w:lineRule="auto"/>
            </w:pPr>
            <w:r>
              <w:rPr>
                <w:rFonts w:ascii="Calibri" w:hAnsi="Calibri" w:eastAsia="Hiragino Sans GB"/>
                <w:b w:val="0"/>
                <w:color w:val="000000"/>
                <w:sz w:val="22"/>
              </w:rPr>
              <w:t>TEAM-ECS-06</w:t>
            </w:r>
          </w:p>
        </w:tc>
        <w:tc>
          <w:tcPr>
            <w:tcW w:type="dxa" w:w="5256"/>
            <w:vAlign w:val="center"/>
          </w:tcPr>
          <w:p>
            <w:pPr>
              <w:keepNext w:val="0"/>
              <w:spacing w:before="0" w:after="80" w:line="259" w:lineRule="auto"/>
            </w:pPr>
            <w:r>
              <w:rPr>
                <w:rFonts w:ascii="Calibri" w:hAnsi="Calibri" w:eastAsia="Hiragino Sans GB"/>
                <w:b w:val="0"/>
                <w:color w:val="000000"/>
                <w:sz w:val="22"/>
              </w:rPr>
              <w:t>供应商根因不冲突，保留；若归入同一参与者中断，仅链接一次事件。</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ECS-DTC-03</w:t>
            </w:r>
          </w:p>
        </w:tc>
        <w:tc>
          <w:tcPr>
            <w:tcW w:type="dxa" w:w="2304"/>
            <w:vAlign w:val="center"/>
          </w:tcPr>
          <w:p>
            <w:pPr>
              <w:keepNext w:val="0"/>
              <w:spacing w:before="0" w:after="80" w:line="259" w:lineRule="auto"/>
            </w:pPr>
            <w:r>
              <w:rPr>
                <w:rFonts w:ascii="Calibri" w:hAnsi="Calibri" w:eastAsia="Hiragino Sans GB"/>
                <w:b w:val="0"/>
                <w:color w:val="000000"/>
                <w:sz w:val="22"/>
              </w:rPr>
              <w:t>TEAM-ECS-07</w:t>
            </w:r>
          </w:p>
        </w:tc>
        <w:tc>
          <w:tcPr>
            <w:tcW w:type="dxa" w:w="5256"/>
            <w:vAlign w:val="center"/>
          </w:tcPr>
          <w:p>
            <w:pPr>
              <w:keepNext w:val="0"/>
              <w:spacing w:before="0" w:after="80" w:line="259" w:lineRule="auto"/>
            </w:pPr>
            <w:r>
              <w:rPr>
                <w:rFonts w:ascii="Calibri" w:hAnsi="Calibri" w:eastAsia="Hiragino Sans GB"/>
                <w:b w:val="0"/>
                <w:color w:val="000000"/>
                <w:sz w:val="22"/>
              </w:rPr>
              <w:t>新券处理与示例的市场中断不同，不冲突，保留并改号。</w:t>
            </w:r>
          </w:p>
        </w:tc>
      </w:tr>
      <w:tr>
        <w:trPr>
          <w:cantSplit/>
        </w:trPr>
        <w:tc>
          <w:tcPr>
            <w:tcW w:type="dxa" w:w="1800"/>
            <w:vAlign w:val="center"/>
          </w:tcPr>
          <w:p>
            <w:pPr>
              <w:keepNext w:val="0"/>
              <w:spacing w:before="0" w:after="80" w:line="259" w:lineRule="auto"/>
            </w:pPr>
            <w:r>
              <w:rPr>
                <w:rFonts w:ascii="Calibri" w:hAnsi="Calibri" w:eastAsia="Hiragino Sans GB"/>
                <w:b w:val="0"/>
                <w:color w:val="000000"/>
                <w:sz w:val="22"/>
              </w:rPr>
              <w:t>ECS-DTC-04</w:t>
            </w:r>
          </w:p>
        </w:tc>
        <w:tc>
          <w:tcPr>
            <w:tcW w:type="dxa" w:w="2304"/>
            <w:vAlign w:val="center"/>
          </w:tcPr>
          <w:p>
            <w:pPr>
              <w:keepNext w:val="0"/>
              <w:spacing w:before="0" w:after="80" w:line="259" w:lineRule="auto"/>
            </w:pPr>
            <w:r>
              <w:rPr>
                <w:rFonts w:ascii="Calibri" w:hAnsi="Calibri" w:eastAsia="Hiragino Sans GB"/>
                <w:b w:val="0"/>
                <w:color w:val="000000"/>
                <w:sz w:val="22"/>
              </w:rPr>
              <w:t>ECS-DTC-02</w:t>
            </w:r>
          </w:p>
        </w:tc>
        <w:tc>
          <w:tcPr>
            <w:tcW w:type="dxa" w:w="5256"/>
            <w:vAlign w:val="center"/>
          </w:tcPr>
          <w:p>
            <w:pPr>
              <w:keepNext w:val="0"/>
              <w:spacing w:before="0" w:after="80" w:line="259" w:lineRule="auto"/>
            </w:pPr>
            <w:r>
              <w:rPr>
                <w:rFonts w:ascii="Calibri" w:hAnsi="Calibri" w:eastAsia="Hiragino Sans GB"/>
                <w:b w:val="0"/>
                <w:color w:val="000000"/>
                <w:sz w:val="22"/>
              </w:rPr>
              <w:t>按结算银行付款链改写；删除 DTC 必须补缺口的断言，须先证实银行角色。</w:t>
            </w:r>
          </w:p>
        </w:tc>
      </w:tr>
    </w:tbl>
    <w:p>
      <w:pPr>
        <w:pStyle w:val="Heading1"/>
      </w:pPr>
      <w:r>
        <w:rPr>
          <w:rFonts w:ascii="Calibri" w:hAnsi="Calibri" w:eastAsia="Hiragino Sans GB"/>
          <w:color w:val="000000"/>
        </w:rPr>
        <w:t>已有检验如何沿用</w:t>
      </w:r>
    </w:p>
    <w:p>
      <w:pPr>
        <w:pStyle w:val="Heading2"/>
      </w:pPr>
      <w:r>
        <w:rPr>
          <w:rFonts w:ascii="Calibri" w:hAnsi="Calibri" w:eastAsia="Hiragino Sans GB"/>
          <w:color w:val="000000"/>
        </w:rPr>
        <w:t>FTD 结果可保留但不扩大解释</w:t>
      </w:r>
    </w:p>
    <w:p>
      <w:r>
        <w:rPr>
          <w:rFonts w:ascii="Calibri" w:hAnsi="Calibri" w:eastAsia="Hiragino Sans GB"/>
          <w:color w:val="000000"/>
        </w:rPr>
        <w:t>旧 NSCC-02A 对应新 NSCC-03：高量周与多 30.4 百万股未交割余额相关，HAC p=1.3e-05，n=413 周。旧卡门槛通过；这不是新增失败流量、失败率、系统容量不足或 DTCC 损失的证明。</w:t>
      </w:r>
    </w:p>
    <w:p>
      <w:pPr>
        <w:pStyle w:val="Heading2"/>
      </w:pPr>
      <w:r>
        <w:rPr>
          <w:rFonts w:ascii="Calibri" w:hAnsi="Calibri" w:eastAsia="Hiragino Sans GB"/>
          <w:color w:val="000000"/>
        </w:rPr>
        <w:t>融资链不移植旧通过标签</w:t>
      </w:r>
    </w:p>
    <w:p>
      <w:r>
        <w:rPr>
          <w:rFonts w:ascii="Calibri" w:hAnsi="Calibri" w:eastAsia="Hiragino Sans GB"/>
          <w:color w:val="000000"/>
        </w:rPr>
        <w:t>旧 NSCC-03B 的 IM 追缴比例同季度 ρ=0.454，95% 区间 [0.197, 0.680]，n=23，旧卡门槛通过；变化量 ρ=0.154，后期 ρ=0.086，BH q=0.119。新 NSCC-02 关注 VM 和流动性，因此旧结果仅作相关证据。下一季度 VM 比例约 0.711 是改结果和时滞后的探索，不能当作新链已通过。</w:t>
      </w:r>
    </w:p>
    <w:p>
      <w:pPr>
        <w:pStyle w:val="Heading2"/>
      </w:pPr>
      <w:r>
        <w:rPr>
          <w:rFonts w:ascii="Calibri" w:hAnsi="Calibri" w:eastAsia="Hiragino Sans GB"/>
          <w:color w:val="000000"/>
        </w:rPr>
        <w:t>其余完整统计保留</w:t>
      </w:r>
    </w:p>
    <w:p>
      <w:r>
        <w:rPr>
          <w:rFonts w:ascii="Calibri" w:hAnsi="Calibri" w:eastAsia="Hiragino Sans GB"/>
          <w:color w:val="000000"/>
        </w:rPr>
        <w:t>GSD-01：ρ=0.408、区间跨零；GSD-02：系数 0.021bp、p=0.976；MBSD-01：ρ=0.150、区间跨零。旧 NSCC-01A、01B、01C 的同季度 ρ 分别为 0.195、0.081、0.414，区间均跨零。原八项完整执行与两个旧卡门槛通过，仍只是旧规格结论。</w:t>
      </w:r>
    </w:p>
    <w:p>
      <w:pPr>
        <w:pStyle w:val="Heading2"/>
      </w:pPr>
      <w:r>
        <w:rPr>
          <w:rFonts w:ascii="Calibri" w:hAnsi="Calibri" w:eastAsia="Hiragino Sans GB"/>
          <w:color w:val="000000"/>
        </w:rPr>
        <w:t>案例按阶段和机构归属</w:t>
      </w:r>
    </w:p>
    <w:p>
      <w:r>
        <w:rPr>
          <w:rFonts w:ascii="Calibri" w:hAnsi="Calibri" w:eastAsia="Hiragino Sans GB"/>
          <w:color w:val="000000"/>
        </w:rPr>
        <w:t>雷曼材料保留为违约管理案例，不能证明任一被降级会员已经违约，也不证明存续会员遭受分摊损失。拆出的 GSD-06、NSCC-06 还需核对具体损失分摊或 CNS 平仓步骤。ICBC 的市场和 BNY 影响不能自动变成 GSD 或 DTC 服务中断。</w:t>
      </w:r>
    </w:p>
    <w:p>
      <w:pPr>
        <w:pStyle w:val="Heading2"/>
      </w:pPr>
      <w:r>
        <w:rPr>
          <w:rFonts w:ascii="Calibri" w:hAnsi="Calibri" w:eastAsia="Hiragino Sans GB"/>
          <w:color w:val="000000"/>
        </w:rPr>
        <w:t>制度事件分别取结果</w:t>
      </w:r>
    </w:p>
    <w:p>
      <w:r>
        <w:rPr>
          <w:rFonts w:ascii="Calibri" w:hAnsi="Calibri" w:eastAsia="Hiragino Sans GB"/>
          <w:color w:val="000000"/>
        </w:rPr>
        <w:t>新 SET-01 共用实施日，但 NSCC CNS 与 DTC 非 CNS 失败率分别分析。指定前后三个月仍缺连续历史，不能用两个快照替代；原首日资料也不支持必然上升。</w:t>
      </w:r>
    </w:p>
    <w:p>
      <w:pPr>
        <w:pStyle w:val="Heading1"/>
      </w:pPr>
      <w:r>
        <w:rPr>
          <w:rFonts w:ascii="Calibri" w:hAnsi="Calibri" w:eastAsia="Hiragino Sans GB"/>
          <w:color w:val="000000"/>
        </w:rPr>
        <w:t>监测指标与数据衔接</w:t>
      </w:r>
    </w:p>
    <w:p>
      <w:pPr>
        <w:pStyle w:val="Heading2"/>
      </w:pPr>
      <w:r>
        <w:rPr>
          <w:rFonts w:ascii="Calibri" w:hAnsi="Calibri" w:eastAsia="Hiragino Sans GB"/>
          <w:color w:val="000000"/>
        </w:rPr>
        <w:t>共享一次采集</w:t>
      </w:r>
    </w:p>
    <w:p>
      <w:r>
        <w:rPr>
          <w:rFonts w:ascii="Calibri" w:hAnsi="Calibri" w:eastAsia="Hiragino Sans GB"/>
          <w:color w:val="000000"/>
        </w:rPr>
        <w:t>同一新闻、事件、市场序列和 PQD 单元格只存一份，通过链编号关联。Cboe 成交量供 CNS、容量和高峰日复用；SEC FTD 供 CNS 和高峰日复用；融资与信用序列在相关业务间共用。</w:t>
      </w:r>
    </w:p>
    <w:p>
      <w:pPr>
        <w:pStyle w:val="Heading2"/>
      </w:pPr>
      <w:r>
        <w:rPr>
          <w:rFonts w:ascii="Calibri" w:hAnsi="Calibri" w:eastAsia="Hiragino Sans GB"/>
          <w:color w:val="000000"/>
        </w:rPr>
        <w:t>指标并非业务触达证明</w:t>
      </w:r>
    </w:p>
    <w:p>
      <w:r>
        <w:rPr>
          <w:rFonts w:ascii="Calibri" w:hAnsi="Calibri" w:eastAsia="Hiragino Sans GB"/>
          <w:color w:val="000000"/>
        </w:rPr>
        <w:t>每条链的可选监测指标见配套结构化清单。对会员信用、银行、网络和供应商事件，必须核对具名机构、角色、依赖与直接流程证据。KEV 入库、行业信用利差或全市场故障不能代替这些信息。</w:t>
      </w:r>
    </w:p>
    <w:p>
      <w:pPr>
        <w:pStyle w:val="Heading2"/>
      </w:pPr>
      <w:r>
        <w:rPr>
          <w:rFonts w:ascii="Calibri" w:hAnsi="Calibri" w:eastAsia="Hiragino Sans GB"/>
          <w:color w:val="000000"/>
        </w:rPr>
        <w:t>V 保留前一期公开可用口径</w:t>
      </w:r>
    </w:p>
    <w:p>
      <w:r>
        <w:rPr>
          <w:rFonts w:ascii="Calibri" w:hAnsi="Calibri" w:eastAsia="Hiragino Sans GB"/>
          <w:color w:val="000000"/>
        </w:rPr>
        <w:t>保证金路线可研究压力缺口相对 IM，支付路线可研究支付义务相对合格流动性资源，会员路线可研究集中度。PQD 4.4.3 是超出 IM 的压力损失，不是总损失；指标发布日期须早于评估时点。</w:t>
      </w:r>
    </w:p>
    <w:p>
      <w:pPr>
        <w:pStyle w:val="Heading2"/>
      </w:pPr>
      <w:r>
        <w:rPr>
          <w:rFonts w:ascii="Calibri" w:hAnsi="Calibri" w:eastAsia="Hiragino Sans GB"/>
          <w:color w:val="000000"/>
        </w:rPr>
        <w:t>V 与缺失值</w:t>
      </w:r>
    </w:p>
    <w:p>
      <w:r>
        <w:rPr>
          <w:rFonts w:ascii="Calibri" w:hAnsi="Calibri" w:eastAsia="Hiragino Sans GB"/>
          <w:color w:val="000000"/>
        </w:rPr>
        <w:t>共享系统 17.2/17.3 不能当 NSCC 或 GSD 独立容量；DTC 缺少相应脆弱度时保留缺失，不能填 0，也不能把外部冲击单独标成完整风险分数。</w:t>
      </w:r>
    </w:p>
    <w:p>
      <w:pPr>
        <w:pStyle w:val="Heading1"/>
      </w:pPr>
      <w:r>
        <w:rPr>
          <w:rFonts w:ascii="Calibri" w:hAnsi="Calibri" w:eastAsia="Hiragino Sans GB"/>
          <w:color w:val="000000"/>
        </w:rPr>
        <w:t>依据与版本记录</w:t>
      </w:r>
    </w:p>
    <w:p>
      <w:r>
        <w:rPr>
          <w:rFonts w:ascii="Calibri" w:hAnsi="Calibri" w:eastAsia="Hiragino Sans GB"/>
          <w:color w:val="000000"/>
        </w:rPr>
        <w:t>DTCC 提供的 Transmission Chain Format and example：三步格式、现有十条及新增候选表。</w:t>
      </w:r>
    </w:p>
    <w:p>
      <w:r>
        <w:rPr>
          <w:rFonts w:ascii="Calibri" w:hAnsi="Calibri" w:eastAsia="Hiragino Sans GB"/>
          <w:color w:val="000000"/>
        </w:rPr>
        <w:t>团队 FICC Transmission Chain Hypotheses v1 与 ECS Transmission Chain Hypotheses v1：原 22 条假设及数据定义。</w:t>
      </w:r>
    </w:p>
    <w:p>
      <w:r>
        <w:rPr>
          <w:rFonts w:ascii="Calibri" w:hAnsi="Calibri" w:eastAsia="Hiragino Sans GB"/>
          <w:color w:val="000000"/>
        </w:rPr>
        <w:t>chain_status_CN.csv 与 chain_status_EN.csv：2026 年 10 月 16 日已执行检验和未完成项。</w:t>
      </w:r>
    </w:p>
    <w:p>
      <w:r>
        <w:rPr>
          <w:rFonts w:ascii="Calibri" w:hAnsi="Calibri" w:eastAsia="Hiragino Sans GB"/>
          <w:color w:val="000000"/>
        </w:rPr>
        <w:t>配套 chain_registry_v3.json 保留完整目录与历史证据。新增链清单列出 31 条未检验链及参考监测建议。</w:t>
      </w:r>
    </w:p>
    <w:sectPr w:rsidR="003760D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3707"/>
    <w:multiLevelType w:val="hybridMultilevel"/>
    <w:tmpl w:val="77628328"/>
    <w:lvl w:ilvl="0" w:tplc="1898BFF2">
      <w:start w:val="1"/>
      <w:numFmt w:val="bullet"/>
      <w:lvlText w:val="•"/>
      <w:lvlJc w:val="left"/>
      <w:pPr>
        <w:ind w:left="720" w:hanging="360"/>
      </w:pPr>
    </w:lvl>
    <w:lvl w:ilvl="1" w:tplc="4DB4600C">
      <w:start w:val="1"/>
      <w:numFmt w:val="bullet"/>
      <w:lvlText w:val="o"/>
      <w:lvlJc w:val="left"/>
      <w:pPr>
        <w:ind w:left="1440" w:hanging="360"/>
      </w:pPr>
    </w:lvl>
    <w:lvl w:ilvl="2" w:tplc="40F2EE88">
      <w:start w:val="1"/>
      <w:numFmt w:val="bullet"/>
      <w:lvlText w:val="▪"/>
      <w:lvlJc w:val="left"/>
      <w:pPr>
        <w:ind w:left="2160" w:hanging="360"/>
      </w:pPr>
    </w:lvl>
    <w:lvl w:ilvl="3" w:tplc="89B69B9C">
      <w:start w:val="1"/>
      <w:numFmt w:val="bullet"/>
      <w:lvlText w:val="•"/>
      <w:lvlJc w:val="left"/>
      <w:pPr>
        <w:ind w:left="2880" w:hanging="360"/>
      </w:pPr>
    </w:lvl>
    <w:lvl w:ilvl="4" w:tplc="2584A1EC">
      <w:start w:val="1"/>
      <w:numFmt w:val="bullet"/>
      <w:lvlText w:val="o"/>
      <w:lvlJc w:val="left"/>
      <w:pPr>
        <w:ind w:left="3600" w:hanging="360"/>
      </w:pPr>
    </w:lvl>
    <w:lvl w:ilvl="5" w:tplc="598A879E">
      <w:start w:val="1"/>
      <w:numFmt w:val="bullet"/>
      <w:lvlText w:val="▪"/>
      <w:lvlJc w:val="left"/>
      <w:pPr>
        <w:ind w:left="4320" w:hanging="360"/>
      </w:pPr>
    </w:lvl>
    <w:lvl w:ilvl="6" w:tplc="56FED8DA">
      <w:start w:val="1"/>
      <w:numFmt w:val="bullet"/>
      <w:lvlText w:val="•"/>
      <w:lvlJc w:val="left"/>
      <w:pPr>
        <w:ind w:left="5040" w:hanging="360"/>
      </w:pPr>
    </w:lvl>
    <w:lvl w:ilvl="7" w:tplc="9E583556">
      <w:start w:val="1"/>
      <w:numFmt w:val="bullet"/>
      <w:lvlText w:val="o"/>
      <w:lvlJc w:val="left"/>
      <w:pPr>
        <w:ind w:left="5760" w:hanging="360"/>
      </w:pPr>
    </w:lvl>
    <w:lvl w:ilvl="8" w:tplc="A8D69F56">
      <w:start w:val="1"/>
      <w:numFmt w:val="bullet"/>
      <w:lvlText w:val="▪"/>
      <w:lvlJc w:val="left"/>
      <w:pPr>
        <w:ind w:left="6480" w:hanging="360"/>
      </w:pPr>
    </w:lvl>
  </w:abstractNum>
  <w:abstractNum w:abstractNumId="1" w15:restartNumberingAfterBreak="0">
    <w:nsid w:val="63810E2E"/>
    <w:multiLevelType w:val="hybridMultilevel"/>
    <w:tmpl w:val="3AE02AFE"/>
    <w:lvl w:ilvl="0" w:tplc="A12CAC80">
      <w:start w:val="1"/>
      <w:numFmt w:val="decimal"/>
      <w:lvlText w:val="%1."/>
      <w:lvlJc w:val="left"/>
      <w:pPr>
        <w:ind w:left="720" w:hanging="360"/>
      </w:pPr>
    </w:lvl>
    <w:lvl w:ilvl="1" w:tplc="2C588662">
      <w:start w:val="1"/>
      <w:numFmt w:val="lowerLetter"/>
      <w:lvlText w:val="%2."/>
      <w:lvlJc w:val="left"/>
      <w:pPr>
        <w:ind w:left="1440" w:hanging="360"/>
      </w:pPr>
    </w:lvl>
    <w:lvl w:ilvl="2" w:tplc="D876C796">
      <w:start w:val="1"/>
      <w:numFmt w:val="lowerRoman"/>
      <w:lvlText w:val="%3."/>
      <w:lvlJc w:val="left"/>
      <w:pPr>
        <w:ind w:left="2160" w:hanging="360"/>
      </w:pPr>
    </w:lvl>
    <w:lvl w:ilvl="3" w:tplc="50565370">
      <w:start w:val="1"/>
      <w:numFmt w:val="decimal"/>
      <w:lvlText w:val="%4."/>
      <w:lvlJc w:val="left"/>
      <w:pPr>
        <w:ind w:left="2880" w:hanging="360"/>
      </w:pPr>
    </w:lvl>
    <w:lvl w:ilvl="4" w:tplc="62C0F230">
      <w:start w:val="1"/>
      <w:numFmt w:val="lowerLetter"/>
      <w:lvlText w:val="%5."/>
      <w:lvlJc w:val="left"/>
      <w:pPr>
        <w:ind w:left="3600" w:hanging="360"/>
      </w:pPr>
    </w:lvl>
    <w:lvl w:ilvl="5" w:tplc="B8A891C8">
      <w:start w:val="1"/>
      <w:numFmt w:val="lowerRoman"/>
      <w:lvlText w:val="%6."/>
      <w:lvlJc w:val="left"/>
      <w:pPr>
        <w:ind w:left="4320" w:hanging="360"/>
      </w:pPr>
    </w:lvl>
    <w:lvl w:ilvl="6" w:tplc="156E6A30">
      <w:start w:val="1"/>
      <w:numFmt w:val="decimal"/>
      <w:lvlText w:val="%7."/>
      <w:lvlJc w:val="left"/>
      <w:pPr>
        <w:ind w:left="5040" w:hanging="360"/>
      </w:pPr>
    </w:lvl>
    <w:lvl w:ilvl="7" w:tplc="09C65C14">
      <w:start w:val="1"/>
      <w:numFmt w:val="lowerLetter"/>
      <w:lvlText w:val="%8."/>
      <w:lvlJc w:val="left"/>
      <w:pPr>
        <w:ind w:left="5760" w:hanging="360"/>
      </w:pPr>
    </w:lvl>
    <w:lvl w:ilvl="8" w:tplc="080034CC">
      <w:start w:val="1"/>
      <w:numFmt w:val="lowerRoman"/>
      <w:lvlText w:val="%9."/>
      <w:lvlJc w:val="left"/>
      <w:pPr>
        <w:ind w:left="6480" w:hanging="360"/>
      </w:pPr>
    </w:lvl>
  </w:abstractNum>
  <w:num w:numId="1" w16cid:durableId="162765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60D9"/>
    <w:rsid w:val="003760D9"/>
    <w:rsid w:val="009E5C92"/>
    <w:rsid w:val="00F6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E51A46"/>
  <w15:docId w15:val="{5E28CDDC-693B-0B46-AFEC-2B7B3095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项目传导链完整目录</dc:title>
  <dc:description>Claude Docs node/1e7741e0-7e9d@10 docx-w6</dc:description>
  <cp:lastModifiedBy>Olivia Cai</cp:lastModifiedBy>
  <cp:revision>11</cp:revision>
  <dcterms:created xsi:type="dcterms:W3CDTF">2026-10-16T15:12:00Z</dcterms:created>
  <dcterms:modified xsi:type="dcterms:W3CDTF">2026-10-16T15:13:00Z</dcterms:modified>
  <dc:subject>Complete supplied reference coverage with retained team extensions</dc:subject>
  <dc:creator>Capstone project team</dc:creator>
</cp:coreProperties>
</file>