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Calibri" w:hAnsi="Calibri" w:eastAsia="Hiragino Sans GB"/>
          <w:color w:val="000000"/>
        </w:rPr>
        <w:t>Capstone Transmission Chain Catalog</w:t>
      </w:r>
    </w:p>
    <w:p>
      <w:r>
        <w:rPr>
          <w:rFonts w:ascii="Calibri" w:hAnsi="Calibri" w:eastAsia="Hiragino Sans GB"/>
          <w:color w:val="000000"/>
        </w:rPr>
        <w:t>October 21, 2026  Version v3</w:t>
      </w:r>
    </w:p>
    <w:p>
      <w:r>
        <w:rPr>
          <w:rFonts w:ascii="Calibri" w:hAnsi="Calibri" w:eastAsia="Hiragino Sans GB"/>
          <w:color w:val="000000"/>
        </w:rPr>
        <w:t>This catalog covers all 45 examples in the supplied DTCC document and retains the 11 independent team extensions. All 25 v2 routes are preserved, with 31 previously uncovered reference chains added. Every chain retains the world-event, mechanism, and specific-process format.</w:t>
      </w:r>
    </w:p>
    <w:p>
      <w:r>
        <w:rPr>
          <w:rFonts w:ascii="Calibri" w:hAnsi="Calibri" w:eastAsia="Hiragino Sans GB"/>
          <w:color w:val="000000"/>
        </w:rPr>
        <w:t>The 56 routes comprise 23 FICC, 26 ECS, 4 Asset Services, and 3 WIS entries. Asset Services and WIS retain their reference business classifications rather than being assigned to ECS because they use DTC or NSCC. The mappings for all 22 original hypotheses remain available.</w:t>
      </w:r>
    </w:p>
    <w:p>
      <w:r>
        <w:rPr>
          <w:rFonts w:ascii="Calibri" w:hAnsi="Calibri" w:eastAsia="Hiragino Sans GB"/>
          <w:color w:val="000000"/>
        </w:rPr>
        <w:t>Each row states the world event, mechanism, and specific process. Indicators and historical tests provide separate evidence; they do not establish event-specific business loss.</w:t>
      </w:r>
    </w:p>
    <w:p>
      <w:r>
        <w:rPr>
          <w:rFonts w:ascii="Calibri" w:hAnsi="Calibri" w:eastAsia="Hiragino Sans GB"/>
          <w:color w:val="000000"/>
        </w:rPr>
        <w:t>Risk priority remains external shock S multiplied by internal vulnerability V, without E. Check relevance at chain matching and preserve missing V. Definitions were revised on October 21, 2026; evidence remains the October 16 snapshot. No new collection or model run was performed.</w:t>
      </w:r>
    </w:p>
    <w:p>
      <w:pPr>
        <w:pStyle w:val="Heading2"/>
      </w:pPr>
      <w:r>
        <w:rPr>
          <w:rFonts w:ascii="Calibri" w:hAnsi="Calibri" w:eastAsia="Hiragino Sans GB"/>
          <w:color w:val="000000"/>
        </w:rPr>
        <w:t>Revision Rules</w:t>
      </w:r>
    </w:p>
    <w:p>
      <w:r>
        <w:rPr>
          <w:rFonts w:ascii="Calibri" w:hAnsi="Calibri" w:eastAsia="Hiragino Sans GB"/>
          <w:b/>
          <w:color w:val="000000"/>
        </w:rPr>
        <w:t xml:space="preserve">Display by process  </w:t>
      </w:r>
      <w:r>
        <w:rPr>
          <w:rFonts w:ascii="Calibri" w:hAnsi="Calibri" w:eastAsia="Hiragino Sans GB"/>
          <w:color w:val="000000"/>
        </w:rPr>
        <w:t>Following the reference, ECS-NSCC-01 and ECS-NSCC-02 share one NSCC variation-margin and liquidity card, with separate price and funding routes. IM calls and backtesting remain separate processes rather than interchangeable VM measures.</w:t>
      </w:r>
    </w:p>
    <w:p>
      <w:r>
        <w:rPr>
          <w:rFonts w:ascii="Calibri" w:hAnsi="Calibri" w:eastAsia="Hiragino Sans GB"/>
          <w:b/>
          <w:color w:val="000000"/>
        </w:rPr>
        <w:t xml:space="preserve">Matching IDs do not imply matching mechanisms  </w:t>
      </w:r>
      <w:r>
        <w:rPr>
          <w:rFonts w:ascii="Calibri" w:hAnsi="Calibri" w:eastAsia="Hiragino Sans GB"/>
          <w:color w:val="000000"/>
        </w:rPr>
        <w:t>Reference GSD-05 is GCF obligations, GSD-06 actual default, MBSD-02 pool delivery, NSCC-04 concentrated positions, NSCC-05 supplemental liquidity deposits, DTC-01 MMI acknowledgment, DTC-03 market disruption, and DTC-04 the Canadian link. Map legacy evidence explicitly rather than joining on ID alone.</w:t>
      </w:r>
    </w:p>
    <w:p>
      <w:r>
        <w:rPr>
          <w:rFonts w:ascii="Calibri" w:hAnsi="Calibri" w:eastAsia="Hiragino Sans GB"/>
          <w:b/>
          <w:color w:val="000000"/>
        </w:rPr>
        <w:t xml:space="preserve">Retain distinct extensions  </w:t>
      </w:r>
      <w:r>
        <w:rPr>
          <w:rFonts w:ascii="Calibri" w:hAnsi="Calibri" w:eastAsia="Hiragino Sans GB"/>
          <w:color w:val="000000"/>
        </w:rPr>
        <w:t>Competition, GSE reform, member operations, IM calls, backtesting, capacity, pre-default credit, peak dates, vendors, new issuance, and DTC-owned system disruption remain in scope. A more specific reference example does not invalidate a different mechanism.</w:t>
      </w:r>
    </w:p>
    <w:p>
      <w:pPr>
        <w:pStyle w:val="Heading1"/>
      </w:pPr>
      <w:r>
        <w:rPr>
          <w:rFonts w:ascii="Calibri" w:hAnsi="Calibri" w:eastAsia="Hiragino Sans GB"/>
          <w:color w:val="000000"/>
        </w:rPr>
        <w:t>FICC Revised Chains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FICC-GSD-01</w:t>
            </w:r>
          </w:p>
        </w:tc>
        <w:tc>
          <w:tcPr>
            <w:tcW w:type="dxa" w:w="2340"/>
            <w:vAlign w:val="center"/>
          </w:tcPr>
          <w:p>
            <w:pPr>
              <w:keepNext w:val="0"/>
              <w:spacing w:before="0" w:after="80" w:line="259" w:lineRule="auto"/>
            </w:pPr>
            <w:r>
              <w:rPr>
                <w:rFonts w:ascii="Calibri" w:hAnsi="Calibri" w:eastAsia="Hiragino Sans GB"/>
                <w:b w:val="0"/>
                <w:color w:val="000000"/>
                <w:sz w:val="22"/>
              </w:rPr>
              <w:t>Treasury selloff or sharp yield swings.</w:t>
            </w:r>
          </w:p>
        </w:tc>
        <w:tc>
          <w:tcPr>
            <w:tcW w:type="dxa" w:w="2340"/>
            <w:vAlign w:val="center"/>
          </w:tcPr>
          <w:p>
            <w:pPr>
              <w:keepNext w:val="0"/>
              <w:spacing w:before="0" w:after="80" w:line="259" w:lineRule="auto"/>
            </w:pPr>
            <w:r>
              <w:rPr>
                <w:rFonts w:ascii="Calibri" w:hAnsi="Calibri" w:eastAsia="Hiragino Sans GB"/>
                <w:b w:val="0"/>
                <w:color w:val="000000"/>
                <w:sz w:val="22"/>
              </w:rPr>
              <w:t>Larger price moves on members' cleared positions change required margin.</w:t>
            </w:r>
          </w:p>
        </w:tc>
        <w:tc>
          <w:tcPr>
            <w:tcW w:type="dxa" w:w="2340"/>
            <w:vAlign w:val="center"/>
          </w:tcPr>
          <w:p>
            <w:pPr>
              <w:keepNext w:val="0"/>
              <w:spacing w:before="0" w:after="80" w:line="259" w:lineRule="auto"/>
            </w:pPr>
            <w:r>
              <w:rPr>
                <w:rFonts w:ascii="Calibri" w:hAnsi="Calibri" w:eastAsia="Hiragino Sans GB"/>
                <w:b w:val="0"/>
                <w:color w:val="000000"/>
                <w:sz w:val="22"/>
              </w:rPr>
              <w:t>GSD margin requirements.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FICC-GSD-02</w:t>
            </w:r>
          </w:p>
        </w:tc>
        <w:tc>
          <w:tcPr>
            <w:tcW w:type="dxa" w:w="2340"/>
            <w:vAlign w:val="center"/>
          </w:tcPr>
          <w:p>
            <w:pPr>
              <w:keepNext w:val="0"/>
              <w:spacing w:before="0" w:after="80" w:line="259" w:lineRule="auto"/>
            </w:pPr>
            <w:r>
              <w:rPr>
                <w:rFonts w:ascii="Calibri" w:hAnsi="Calibri" w:eastAsia="Hiragino Sans GB"/>
                <w:b w:val="0"/>
                <w:color w:val="000000"/>
                <w:sz w:val="22"/>
              </w:rPr>
              <w:t>Repo rates spike or short-term funding tightens.</w:t>
            </w:r>
          </w:p>
        </w:tc>
        <w:tc>
          <w:tcPr>
            <w:tcW w:type="dxa" w:w="2340"/>
            <w:vAlign w:val="center"/>
          </w:tcPr>
          <w:p>
            <w:pPr>
              <w:keepNext w:val="0"/>
              <w:spacing w:before="0" w:after="80" w:line="259" w:lineRule="auto"/>
            </w:pPr>
            <w:r>
              <w:rPr>
                <w:rFonts w:ascii="Calibri" w:hAnsi="Calibri" w:eastAsia="Hiragino Sans GB"/>
                <w:b w:val="0"/>
                <w:color w:val="000000"/>
                <w:sz w:val="22"/>
              </w:rPr>
              <w:t>Members' funding costs rise, making daily settlement payments harder to fund.</w:t>
            </w:r>
          </w:p>
        </w:tc>
        <w:tc>
          <w:tcPr>
            <w:tcW w:type="dxa" w:w="2340"/>
            <w:vAlign w:val="center"/>
          </w:tcPr>
          <w:p>
            <w:pPr>
              <w:keepNext w:val="0"/>
              <w:spacing w:before="0" w:after="80" w:line="259" w:lineRule="auto"/>
            </w:pPr>
            <w:r>
              <w:rPr>
                <w:rFonts w:ascii="Calibri" w:hAnsi="Calibri" w:eastAsia="Hiragino Sans GB"/>
                <w:b w:val="0"/>
                <w:color w:val="000000"/>
                <w:sz w:val="22"/>
              </w:rPr>
              <w:t>GSD settlement payments and liquidity.</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FICC-GSD-03</w:t>
            </w:r>
          </w:p>
        </w:tc>
        <w:tc>
          <w:tcPr>
            <w:tcW w:type="dxa" w:w="2340"/>
            <w:vAlign w:val="center"/>
          </w:tcPr>
          <w:p>
            <w:pPr>
              <w:keepNext w:val="0"/>
              <w:spacing w:before="0" w:after="80" w:line="259" w:lineRule="auto"/>
            </w:pPr>
            <w:r>
              <w:rPr>
                <w:rFonts w:ascii="Calibri" w:hAnsi="Calibri" w:eastAsia="Hiragino Sans GB"/>
                <w:b w:val="0"/>
                <w:color w:val="000000"/>
                <w:sz w:val="22"/>
              </w:rPr>
              <w:t>Treasury central clearing deadlines approach, are extended, or change.</w:t>
            </w:r>
          </w:p>
        </w:tc>
        <w:tc>
          <w:tcPr>
            <w:tcW w:type="dxa" w:w="2340"/>
            <w:vAlign w:val="center"/>
          </w:tcPr>
          <w:p>
            <w:pPr>
              <w:keepNext w:val="0"/>
              <w:spacing w:before="0" w:after="80" w:line="259" w:lineRule="auto"/>
            </w:pPr>
            <w:r>
              <w:rPr>
                <w:rFonts w:ascii="Calibri" w:hAnsi="Calibri" w:eastAsia="Hiragino Sans GB"/>
                <w:b w:val="0"/>
                <w:color w:val="000000"/>
                <w:sz w:val="22"/>
              </w:rPr>
              <w:t>Firms onboard to meet the rule, including through Sponsored clearing, changing onboarding demand and volume.</w:t>
            </w:r>
          </w:p>
        </w:tc>
        <w:tc>
          <w:tcPr>
            <w:tcW w:type="dxa" w:w="2340"/>
            <w:vAlign w:val="center"/>
          </w:tcPr>
          <w:p>
            <w:pPr>
              <w:keepNext w:val="0"/>
              <w:spacing w:before="0" w:after="80" w:line="259" w:lineRule="auto"/>
            </w:pPr>
            <w:r>
              <w:rPr>
                <w:rFonts w:ascii="Calibri" w:hAnsi="Calibri" w:eastAsia="Hiragino Sans GB"/>
                <w:b w:val="0"/>
                <w:color w:val="000000"/>
                <w:sz w:val="22"/>
              </w:rPr>
              <w:t>GSD onboarding and Sponsored volume.</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FICC-GSD-04</w:t>
            </w:r>
          </w:p>
        </w:tc>
        <w:tc>
          <w:tcPr>
            <w:tcW w:type="dxa" w:w="2340"/>
            <w:vAlign w:val="center"/>
          </w:tcPr>
          <w:p>
            <w:pPr>
              <w:keepNext w:val="0"/>
              <w:spacing w:before="0" w:after="80" w:line="259" w:lineRule="auto"/>
            </w:pPr>
            <w:r>
              <w:rPr>
                <w:rFonts w:ascii="Calibri" w:hAnsi="Calibri" w:eastAsia="Hiragino Sans GB"/>
                <w:b w:val="0"/>
                <w:color w:val="000000"/>
                <w:sz w:val="22"/>
              </w:rPr>
              <w:t>A bank or dealer member is downgraded, reports losses, or deteriorates in credit without a confirmed default.</w:t>
            </w:r>
          </w:p>
        </w:tc>
        <w:tc>
          <w:tcPr>
            <w:tcW w:type="dxa" w:w="2340"/>
            <w:vAlign w:val="center"/>
          </w:tcPr>
          <w:p>
            <w:pPr>
              <w:keepNext w:val="0"/>
              <w:spacing w:before="0" w:after="80" w:line="259" w:lineRule="auto"/>
            </w:pPr>
            <w:r>
              <w:rPr>
                <w:rFonts w:ascii="Calibri" w:hAnsi="Calibri" w:eastAsia="Hiragino Sans GB"/>
                <w:b w:val="0"/>
                <w:color w:val="000000"/>
                <w:sz w:val="22"/>
              </w:rPr>
              <w:t>Higher member default risk increases surveillance and default-management preparedness; an actual default routes to GSD-06.</w:t>
            </w:r>
          </w:p>
        </w:tc>
        <w:tc>
          <w:tcPr>
            <w:tcW w:type="dxa" w:w="2340"/>
            <w:vAlign w:val="center"/>
          </w:tcPr>
          <w:p>
            <w:pPr>
              <w:keepNext w:val="0"/>
              <w:spacing w:before="0" w:after="80" w:line="259" w:lineRule="auto"/>
            </w:pPr>
            <w:r>
              <w:rPr>
                <w:rFonts w:ascii="Calibri" w:hAnsi="Calibri" w:eastAsia="Hiragino Sans GB"/>
                <w:b w:val="0"/>
                <w:color w:val="000000"/>
                <w:sz w:val="22"/>
              </w:rPr>
              <w:t>FICC member credit surveillance and default-management preparedness.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FICC-GSD-06</w:t>
            </w:r>
          </w:p>
        </w:tc>
        <w:tc>
          <w:tcPr>
            <w:tcW w:type="dxa" w:w="2340"/>
            <w:vAlign w:val="center"/>
          </w:tcPr>
          <w:p>
            <w:pPr>
              <w:keepNext w:val="0"/>
              <w:spacing w:before="0" w:after="80" w:line="259" w:lineRule="auto"/>
            </w:pPr>
            <w:r>
              <w:rPr>
                <w:rFonts w:ascii="Calibri" w:hAnsi="Calibri" w:eastAsia="Hiragino Sans GB"/>
                <w:b w:val="0"/>
                <w:color w:val="000000"/>
                <w:sz w:val="22"/>
              </w:rPr>
              <w:t>A GSD clearing member actually defaults or FICC ceases to act for it.</w:t>
            </w:r>
          </w:p>
        </w:tc>
        <w:tc>
          <w:tcPr>
            <w:tcW w:type="dxa" w:w="2340"/>
            <w:vAlign w:val="center"/>
          </w:tcPr>
          <w:p>
            <w:pPr>
              <w:keepNext w:val="0"/>
              <w:spacing w:before="0" w:after="80" w:line="259" w:lineRule="auto"/>
            </w:pPr>
            <w:r>
              <w:rPr>
                <w:rFonts w:ascii="Calibri" w:hAnsi="Calibri" w:eastAsia="Hiragino Sans GB"/>
                <w:b w:val="0"/>
                <w:color w:val="000000"/>
                <w:sz w:val="22"/>
              </w:rPr>
              <w:t>FICC applies the defaulting member's resources; any remaining shortfall is handled under loss-allocation rules and may involve surviving members' Clearing Fund deposits.</w:t>
            </w:r>
          </w:p>
        </w:tc>
        <w:tc>
          <w:tcPr>
            <w:tcW w:type="dxa" w:w="2340"/>
            <w:vAlign w:val="center"/>
          </w:tcPr>
          <w:p>
            <w:pPr>
              <w:keepNext w:val="0"/>
              <w:spacing w:before="0" w:after="80" w:line="259" w:lineRule="auto"/>
            </w:pPr>
            <w:r>
              <w:rPr>
                <w:rFonts w:ascii="Calibri" w:hAnsi="Calibri" w:eastAsia="Hiragino Sans GB"/>
                <w:b w:val="0"/>
                <w:color w:val="000000"/>
                <w:sz w:val="22"/>
              </w:rPr>
              <w:t>GSD loss allocation and Clearing Fund mutualization.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FICC-MBSD-01</w:t>
            </w:r>
          </w:p>
        </w:tc>
        <w:tc>
          <w:tcPr>
            <w:tcW w:type="dxa" w:w="2340"/>
            <w:vAlign w:val="center"/>
          </w:tcPr>
          <w:p>
            <w:pPr>
              <w:keepNext w:val="0"/>
              <w:spacing w:before="0" w:after="80" w:line="259" w:lineRule="auto"/>
            </w:pPr>
            <w:r>
              <w:rPr>
                <w:rFonts w:ascii="Calibri" w:hAnsi="Calibri" w:eastAsia="Hiragino Sans GB"/>
                <w:b w:val="0"/>
                <w:color w:val="000000"/>
                <w:sz w:val="22"/>
              </w:rPr>
              <w:t>Mortgage rates jump or MBS spreads widen.</w:t>
            </w:r>
          </w:p>
        </w:tc>
        <w:tc>
          <w:tcPr>
            <w:tcW w:type="dxa" w:w="2340"/>
            <w:vAlign w:val="center"/>
          </w:tcPr>
          <w:p>
            <w:pPr>
              <w:keepNext w:val="0"/>
              <w:spacing w:before="0" w:after="80" w:line="259" w:lineRule="auto"/>
            </w:pPr>
            <w:r>
              <w:rPr>
                <w:rFonts w:ascii="Calibri" w:hAnsi="Calibri" w:eastAsia="Hiragino Sans GB"/>
                <w:b w:val="0"/>
                <w:color w:val="000000"/>
                <w:sz w:val="22"/>
              </w:rPr>
              <w:t>TBA price swings change marked-to-market positions and affect variation margin and margin requirements.</w:t>
            </w:r>
          </w:p>
        </w:tc>
        <w:tc>
          <w:tcPr>
            <w:tcW w:type="dxa" w:w="2340"/>
            <w:vAlign w:val="center"/>
          </w:tcPr>
          <w:p>
            <w:pPr>
              <w:keepNext w:val="0"/>
              <w:spacing w:before="0" w:after="80" w:line="259" w:lineRule="auto"/>
            </w:pPr>
            <w:r>
              <w:rPr>
                <w:rFonts w:ascii="Calibri" w:hAnsi="Calibri" w:eastAsia="Hiragino Sans GB"/>
                <w:b w:val="0"/>
                <w:color w:val="000000"/>
                <w:sz w:val="22"/>
              </w:rPr>
              <w:t>MBSD margin and variation margin.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FICC-GSD-08</w:t>
            </w:r>
          </w:p>
        </w:tc>
        <w:tc>
          <w:tcPr>
            <w:tcW w:type="dxa" w:w="2340"/>
            <w:vAlign w:val="center"/>
          </w:tcPr>
          <w:p>
            <w:pPr>
              <w:keepNext w:val="0"/>
              <w:spacing w:before="0" w:after="80" w:line="259" w:lineRule="auto"/>
            </w:pPr>
            <w:r>
              <w:rPr>
                <w:rFonts w:ascii="Calibri" w:hAnsi="Calibri" w:eastAsia="Hiragino Sans GB"/>
                <w:b w:val="0"/>
                <w:color w:val="000000"/>
                <w:sz w:val="22"/>
              </w:rPr>
              <w:t>A clearing bank performing a GSD settlement role has an operational or credit problem.</w:t>
            </w:r>
          </w:p>
        </w:tc>
        <w:tc>
          <w:tcPr>
            <w:tcW w:type="dxa" w:w="2340"/>
            <w:vAlign w:val="center"/>
          </w:tcPr>
          <w:p>
            <w:pPr>
              <w:keepNext w:val="0"/>
              <w:spacing w:before="0" w:after="80" w:line="259" w:lineRule="auto"/>
            </w:pPr>
            <w:r>
              <w:rPr>
                <w:rFonts w:ascii="Calibri" w:hAnsi="Calibri" w:eastAsia="Hiragino Sans GB"/>
                <w:b w:val="0"/>
                <w:color w:val="000000"/>
                <w:sz w:val="22"/>
              </w:rPr>
              <w:t>Securities delivery and Fedwire payment through that bank cannot complete on time, interrupting the affected GSD settlement.</w:t>
            </w:r>
          </w:p>
        </w:tc>
        <w:tc>
          <w:tcPr>
            <w:tcW w:type="dxa" w:w="2340"/>
            <w:vAlign w:val="center"/>
          </w:tcPr>
          <w:p>
            <w:pPr>
              <w:keepNext w:val="0"/>
              <w:spacing w:before="0" w:after="80" w:line="259" w:lineRule="auto"/>
            </w:pPr>
            <w:r>
              <w:rPr>
                <w:rFonts w:ascii="Calibri" w:hAnsi="Calibri" w:eastAsia="Hiragino Sans GB"/>
                <w:b w:val="0"/>
                <w:color w:val="000000"/>
                <w:sz w:val="22"/>
              </w:rPr>
              <w:t>GSD securities settlement via clearing banks.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TEAM-FICC-01</w:t>
            </w:r>
          </w:p>
        </w:tc>
        <w:tc>
          <w:tcPr>
            <w:tcW w:type="dxa" w:w="2340"/>
            <w:vAlign w:val="center"/>
          </w:tcPr>
          <w:p>
            <w:pPr>
              <w:keepNext w:val="0"/>
              <w:spacing w:before="0" w:after="80" w:line="259" w:lineRule="auto"/>
            </w:pPr>
            <w:r>
              <w:rPr>
                <w:rFonts w:ascii="Calibri" w:hAnsi="Calibri" w:eastAsia="Hiragino Sans GB"/>
                <w:b w:val="0"/>
                <w:color w:val="000000"/>
                <w:sz w:val="22"/>
              </w:rPr>
              <w:t>A competitor such as CME or ICE launches Treasury clearing services, features, or onboarding.</w:t>
            </w:r>
          </w:p>
        </w:tc>
        <w:tc>
          <w:tcPr>
            <w:tcW w:type="dxa" w:w="2340"/>
            <w:vAlign w:val="center"/>
          </w:tcPr>
          <w:p>
            <w:pPr>
              <w:keepNext w:val="0"/>
              <w:spacing w:before="0" w:after="80" w:line="259" w:lineRule="auto"/>
            </w:pPr>
            <w:r>
              <w:rPr>
                <w:rFonts w:ascii="Calibri" w:hAnsi="Calibri" w:eastAsia="Hiragino Sans GB"/>
                <w:b w:val="0"/>
                <w:color w:val="000000"/>
                <w:sz w:val="22"/>
              </w:rPr>
              <w:t>Customers may choose competing services; migration or comparable volume evidence is needed to assess changes in FICC share.</w:t>
            </w:r>
          </w:p>
        </w:tc>
        <w:tc>
          <w:tcPr>
            <w:tcW w:type="dxa" w:w="2340"/>
            <w:vAlign w:val="center"/>
          </w:tcPr>
          <w:p>
            <w:pPr>
              <w:keepNext w:val="0"/>
              <w:spacing w:before="0" w:after="80" w:line="259" w:lineRule="auto"/>
            </w:pPr>
            <w:r>
              <w:rPr>
                <w:rFonts w:ascii="Calibri" w:hAnsi="Calibri" w:eastAsia="Hiragino Sans GB"/>
                <w:b w:val="0"/>
                <w:color w:val="000000"/>
                <w:sz w:val="22"/>
              </w:rPr>
              <w:t>GSD new-business acquisition and competitive position.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TEAM-FICC-02</w:t>
            </w:r>
          </w:p>
        </w:tc>
        <w:tc>
          <w:tcPr>
            <w:tcW w:type="dxa" w:w="2340"/>
            <w:vAlign w:val="center"/>
          </w:tcPr>
          <w:p>
            <w:pPr>
              <w:keepNext w:val="0"/>
              <w:spacing w:before="0" w:after="80" w:line="259" w:lineRule="auto"/>
            </w:pPr>
            <w:r>
              <w:rPr>
                <w:rFonts w:ascii="Calibri" w:hAnsi="Calibri" w:eastAsia="Hiragino Sans GB"/>
                <w:b w:val="0"/>
                <w:color w:val="000000"/>
                <w:sz w:val="22"/>
              </w:rPr>
              <w:t>A GSD member or its vendor suffers a cyberattack or system outage.</w:t>
            </w:r>
          </w:p>
        </w:tc>
        <w:tc>
          <w:tcPr>
            <w:tcW w:type="dxa" w:w="2340"/>
            <w:vAlign w:val="center"/>
          </w:tcPr>
          <w:p>
            <w:pPr>
              <w:keepNext w:val="0"/>
              <w:spacing w:before="0" w:after="80" w:line="259" w:lineRule="auto"/>
            </w:pPr>
            <w:r>
              <w:rPr>
                <w:rFonts w:ascii="Calibri" w:hAnsi="Calibri" w:eastAsia="Hiragino Sans GB"/>
                <w:b w:val="0"/>
                <w:color w:val="000000"/>
                <w:sz w:val="22"/>
              </w:rPr>
              <w:t>If the incident impairs that member's GSD connection, submissions, or obligations, trade submission or settlement may be delayed.</w:t>
            </w:r>
          </w:p>
        </w:tc>
        <w:tc>
          <w:tcPr>
            <w:tcW w:type="dxa" w:w="2340"/>
            <w:vAlign w:val="center"/>
          </w:tcPr>
          <w:p>
            <w:pPr>
              <w:keepNext w:val="0"/>
              <w:spacing w:before="0" w:after="80" w:line="259" w:lineRule="auto"/>
            </w:pPr>
            <w:r>
              <w:rPr>
                <w:rFonts w:ascii="Calibri" w:hAnsi="Calibri" w:eastAsia="Hiragino Sans GB"/>
                <w:b w:val="0"/>
                <w:color w:val="000000"/>
                <w:sz w:val="22"/>
              </w:rPr>
              <w:t>GSD member submissions and settlement; clearing-bank disruptions route separately to GSD-08.</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TEAM-FICC-03</w:t>
            </w:r>
          </w:p>
        </w:tc>
        <w:tc>
          <w:tcPr>
            <w:tcW w:type="dxa" w:w="2340"/>
            <w:vAlign w:val="center"/>
          </w:tcPr>
          <w:p>
            <w:pPr>
              <w:keepNext w:val="0"/>
              <w:spacing w:before="0" w:after="80" w:line="259" w:lineRule="auto"/>
            </w:pPr>
            <w:r>
              <w:rPr>
                <w:rFonts w:ascii="Calibri" w:hAnsi="Calibri" w:eastAsia="Hiragino Sans GB"/>
                <w:b w:val="0"/>
                <w:color w:val="000000"/>
                <w:sz w:val="22"/>
              </w:rPr>
              <w:t>A substantive change occurs in GSE conservatorship, privatization, or agency-MBS guarantees.</w:t>
            </w:r>
          </w:p>
        </w:tc>
        <w:tc>
          <w:tcPr>
            <w:tcW w:type="dxa" w:w="2340"/>
            <w:vAlign w:val="center"/>
          </w:tcPr>
          <w:p>
            <w:pPr>
              <w:keepNext w:val="0"/>
              <w:spacing w:before="0" w:after="80" w:line="259" w:lineRule="auto"/>
            </w:pPr>
            <w:r>
              <w:rPr>
                <w:rFonts w:ascii="Calibri" w:hAnsi="Calibri" w:eastAsia="Hiragino Sans GB"/>
                <w:b w:val="0"/>
                <w:color w:val="000000"/>
                <w:sz w:val="22"/>
              </w:rPr>
              <w:t>Changes in guarantee expectations or trading conventions may alter agency-MBS pricing and TBA activity, affecting MBSD clearing and risk parameters.</w:t>
            </w:r>
          </w:p>
        </w:tc>
        <w:tc>
          <w:tcPr>
            <w:tcW w:type="dxa" w:w="2340"/>
            <w:vAlign w:val="center"/>
          </w:tcPr>
          <w:p>
            <w:pPr>
              <w:keepNext w:val="0"/>
              <w:spacing w:before="0" w:after="80" w:line="259" w:lineRule="auto"/>
            </w:pPr>
            <w:r>
              <w:rPr>
                <w:rFonts w:ascii="Calibri" w:hAnsi="Calibri" w:eastAsia="Hiragino Sans GB"/>
                <w:b w:val="0"/>
                <w:color w:val="000000"/>
                <w:sz w:val="22"/>
              </w:rPr>
              <w:t>MBSD TBA clearing activity and related risk parameters.</w:t>
            </w:r>
          </w:p>
        </w:tc>
      </w:tr>
    </w:tbl>
    <w:p>
      <w:pPr>
        <w:pStyle w:val="Heading1"/>
      </w:pPr>
      <w:r>
        <w:rPr>
          <w:rFonts w:ascii="Calibri" w:hAnsi="Calibri" w:eastAsia="Hiragino Sans GB"/>
          <w:color w:val="000000"/>
        </w:rPr>
        <w:t>ECS Revised Chains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ECS-NSCC-01</w:t>
            </w:r>
          </w:p>
        </w:tc>
        <w:tc>
          <w:tcPr>
            <w:tcW w:type="dxa" w:w="2340"/>
            <w:vAlign w:val="center"/>
          </w:tcPr>
          <w:p>
            <w:pPr>
              <w:keepNext w:val="0"/>
              <w:spacing w:before="0" w:after="80" w:line="259" w:lineRule="auto"/>
            </w:pPr>
            <w:r>
              <w:rPr>
                <w:rFonts w:ascii="Calibri" w:hAnsi="Calibri" w:eastAsia="Hiragino Sans GB"/>
                <w:b w:val="0"/>
                <w:color w:val="000000"/>
                <w:sz w:val="22"/>
              </w:rPr>
              <w:t>A sharp equity selloff or large price swings.</w:t>
            </w:r>
          </w:p>
        </w:tc>
        <w:tc>
          <w:tcPr>
            <w:tcW w:type="dxa" w:w="2340"/>
            <w:vAlign w:val="center"/>
          </w:tcPr>
          <w:p>
            <w:pPr>
              <w:keepNext w:val="0"/>
              <w:spacing w:before="0" w:after="80" w:line="259" w:lineRule="auto"/>
            </w:pPr>
            <w:r>
              <w:rPr>
                <w:rFonts w:ascii="Calibri" w:hAnsi="Calibri" w:eastAsia="Hiragino Sans GB"/>
                <w:b w:val="0"/>
                <w:color w:val="000000"/>
                <w:sz w:val="22"/>
              </w:rPr>
              <w:t>Daily mark-to-market payments change sharply, requiring members to move more cash that day.</w:t>
            </w:r>
          </w:p>
        </w:tc>
        <w:tc>
          <w:tcPr>
            <w:tcW w:type="dxa" w:w="2340"/>
            <w:vAlign w:val="center"/>
          </w:tcPr>
          <w:p>
            <w:pPr>
              <w:keepNext w:val="0"/>
              <w:spacing w:before="0" w:after="80" w:line="259" w:lineRule="auto"/>
            </w:pPr>
            <w:r>
              <w:rPr>
                <w:rFonts w:ascii="Calibri" w:hAnsi="Calibri" w:eastAsia="Hiragino Sans GB"/>
                <w:b w:val="0"/>
                <w:color w:val="000000"/>
                <w:sz w:val="22"/>
              </w:rPr>
              <w:t>NSCC variation margin.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ECS-NSCC-02</w:t>
            </w:r>
          </w:p>
        </w:tc>
        <w:tc>
          <w:tcPr>
            <w:tcW w:type="dxa" w:w="2340"/>
            <w:vAlign w:val="center"/>
          </w:tcPr>
          <w:p>
            <w:pPr>
              <w:keepNext w:val="0"/>
              <w:spacing w:before="0" w:after="80" w:line="259" w:lineRule="auto"/>
            </w:pPr>
            <w:r>
              <w:rPr>
                <w:rFonts w:ascii="Calibri" w:hAnsi="Calibri" w:eastAsia="Hiragino Sans GB"/>
                <w:b w:val="0"/>
                <w:color w:val="000000"/>
                <w:sz w:val="22"/>
              </w:rPr>
              <w:t>Short-term funding tightens and brokers face higher funding costs.</w:t>
            </w:r>
          </w:p>
        </w:tc>
        <w:tc>
          <w:tcPr>
            <w:tcW w:type="dxa" w:w="2340"/>
            <w:vAlign w:val="center"/>
          </w:tcPr>
          <w:p>
            <w:pPr>
              <w:keepNext w:val="0"/>
              <w:spacing w:before="0" w:after="80" w:line="259" w:lineRule="auto"/>
            </w:pPr>
            <w:r>
              <w:rPr>
                <w:rFonts w:ascii="Calibri" w:hAnsi="Calibri" w:eastAsia="Hiragino Sans GB"/>
                <w:b w:val="0"/>
                <w:color w:val="000000"/>
                <w:sz w:val="22"/>
              </w:rPr>
              <w:t>Brokers have less spare cash for daily payments, making variation margin and settlement payments harder to fund.</w:t>
            </w:r>
          </w:p>
        </w:tc>
        <w:tc>
          <w:tcPr>
            <w:tcW w:type="dxa" w:w="2340"/>
            <w:vAlign w:val="center"/>
          </w:tcPr>
          <w:p>
            <w:pPr>
              <w:keepNext w:val="0"/>
              <w:spacing w:before="0" w:after="80" w:line="259" w:lineRule="auto"/>
            </w:pPr>
            <w:r>
              <w:rPr>
                <w:rFonts w:ascii="Calibri" w:hAnsi="Calibri" w:eastAsia="Hiragino Sans GB"/>
                <w:b w:val="0"/>
                <w:color w:val="000000"/>
                <w:sz w:val="22"/>
              </w:rPr>
              <w:t>NSCC variation margin and liquidity.</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ECS-NSCC-03</w:t>
            </w:r>
          </w:p>
        </w:tc>
        <w:tc>
          <w:tcPr>
            <w:tcW w:type="dxa" w:w="2340"/>
            <w:vAlign w:val="center"/>
          </w:tcPr>
          <w:p>
            <w:pPr>
              <w:keepNext w:val="0"/>
              <w:spacing w:before="0" w:after="80" w:line="259" w:lineRule="auto"/>
            </w:pPr>
            <w:r>
              <w:rPr>
                <w:rFonts w:ascii="Calibri" w:hAnsi="Calibri" w:eastAsia="Hiragino Sans GB"/>
                <w:b w:val="0"/>
                <w:color w:val="000000"/>
                <w:sz w:val="22"/>
              </w:rPr>
              <w:t>Equity-market trading volume surges.</w:t>
            </w:r>
          </w:p>
        </w:tc>
        <w:tc>
          <w:tcPr>
            <w:tcW w:type="dxa" w:w="2340"/>
            <w:vAlign w:val="center"/>
          </w:tcPr>
          <w:p>
            <w:pPr>
              <w:keepNext w:val="0"/>
              <w:spacing w:before="0" w:after="80" w:line="259" w:lineRule="auto"/>
            </w:pPr>
            <w:r>
              <w:rPr>
                <w:rFonts w:ascii="Calibri" w:hAnsi="Calibri" w:eastAsia="Hiragino Sans GB"/>
                <w:b w:val="0"/>
                <w:color w:val="000000"/>
                <w:sz w:val="22"/>
              </w:rPr>
              <w:t>Higher delivery demand and securities-availability pressures may leave more positions undelivered.</w:t>
            </w:r>
          </w:p>
        </w:tc>
        <w:tc>
          <w:tcPr>
            <w:tcW w:type="dxa" w:w="2340"/>
            <w:vAlign w:val="center"/>
          </w:tcPr>
          <w:p>
            <w:pPr>
              <w:keepNext w:val="0"/>
              <w:spacing w:before="0" w:after="80" w:line="259" w:lineRule="auto"/>
            </w:pPr>
            <w:r>
              <w:rPr>
                <w:rFonts w:ascii="Calibri" w:hAnsi="Calibri" w:eastAsia="Hiragino Sans GB"/>
                <w:b w:val="0"/>
                <w:color w:val="000000"/>
                <w:sz w:val="22"/>
              </w:rPr>
              <w:t>NSCC CNS settlement and outstanding fails.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ECS-SET-01</w:t>
            </w:r>
          </w:p>
        </w:tc>
        <w:tc>
          <w:tcPr>
            <w:tcW w:type="dxa" w:w="2340"/>
            <w:vAlign w:val="center"/>
          </w:tcPr>
          <w:p>
            <w:pPr>
              <w:keepNext w:val="0"/>
              <w:spacing w:before="0" w:after="80" w:line="259" w:lineRule="auto"/>
            </w:pPr>
            <w:r>
              <w:rPr>
                <w:rFonts w:ascii="Calibri" w:hAnsi="Calibri" w:eastAsia="Hiragino Sans GB"/>
                <w:b w:val="0"/>
                <w:color w:val="000000"/>
                <w:sz w:val="22"/>
              </w:rPr>
              <w:t>A shorter settlement cycle or longer trading hours, such as T+1, T+0, or 24x5.</w:t>
            </w:r>
          </w:p>
        </w:tc>
        <w:tc>
          <w:tcPr>
            <w:tcW w:type="dxa" w:w="2340"/>
            <w:vAlign w:val="center"/>
          </w:tcPr>
          <w:p>
            <w:pPr>
              <w:keepNext w:val="0"/>
              <w:spacing w:before="0" w:after="80" w:line="259" w:lineRule="auto"/>
            </w:pPr>
            <w:r>
              <w:rPr>
                <w:rFonts w:ascii="Calibri" w:hAnsi="Calibri" w:eastAsia="Hiragino Sans GB"/>
                <w:b w:val="0"/>
                <w:color w:val="000000"/>
                <w:sz w:val="22"/>
              </w:rPr>
              <w:t>Changed processing, affirmation, and funding windows may make late or manual steps bottlenecks; any increase in fails requires evidence.</w:t>
            </w:r>
          </w:p>
        </w:tc>
        <w:tc>
          <w:tcPr>
            <w:tcW w:type="dxa" w:w="2340"/>
            <w:vAlign w:val="center"/>
          </w:tcPr>
          <w:p>
            <w:pPr>
              <w:keepNext w:val="0"/>
              <w:spacing w:before="0" w:after="80" w:line="259" w:lineRule="auto"/>
            </w:pPr>
            <w:r>
              <w:rPr>
                <w:rFonts w:ascii="Calibri" w:hAnsi="Calibri" w:eastAsia="Hiragino Sans GB"/>
                <w:b w:val="0"/>
                <w:color w:val="000000"/>
                <w:sz w:val="22"/>
              </w:rPr>
              <w:t>NSCC and DTC settlement; retain separate CNS and non-CNS outcomes.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ECS-NSCC-06</w:t>
            </w:r>
          </w:p>
        </w:tc>
        <w:tc>
          <w:tcPr>
            <w:tcW w:type="dxa" w:w="2340"/>
            <w:vAlign w:val="center"/>
          </w:tcPr>
          <w:p>
            <w:pPr>
              <w:keepNext w:val="0"/>
              <w:spacing w:before="0" w:after="80" w:line="259" w:lineRule="auto"/>
            </w:pPr>
            <w:r>
              <w:rPr>
                <w:rFonts w:ascii="Calibri" w:hAnsi="Calibri" w:eastAsia="Hiragino Sans GB"/>
                <w:b w:val="0"/>
                <w:color w:val="000000"/>
                <w:sz w:val="22"/>
              </w:rPr>
              <w:t>An NSCC clearing member actually defaults or NSCC ceases to act for it.</w:t>
            </w:r>
          </w:p>
        </w:tc>
        <w:tc>
          <w:tcPr>
            <w:tcW w:type="dxa" w:w="2340"/>
            <w:vAlign w:val="center"/>
          </w:tcPr>
          <w:p>
            <w:pPr>
              <w:keepNext w:val="0"/>
              <w:spacing w:before="0" w:after="80" w:line="259" w:lineRule="auto"/>
            </w:pPr>
            <w:r>
              <w:rPr>
                <w:rFonts w:ascii="Calibri" w:hAnsi="Calibri" w:eastAsia="Hiragino Sans GB"/>
                <w:b w:val="0"/>
                <w:color w:val="000000"/>
                <w:sz w:val="22"/>
              </w:rPr>
              <w:t>NSCC closes out the member's open CNS long and short positions, facing market-price risk during buy-ins and liquidation.</w:t>
            </w:r>
          </w:p>
        </w:tc>
        <w:tc>
          <w:tcPr>
            <w:tcW w:type="dxa" w:w="2340"/>
            <w:vAlign w:val="center"/>
          </w:tcPr>
          <w:p>
            <w:pPr>
              <w:keepNext w:val="0"/>
              <w:spacing w:before="0" w:after="80" w:line="259" w:lineRule="auto"/>
            </w:pPr>
            <w:r>
              <w:rPr>
                <w:rFonts w:ascii="Calibri" w:hAnsi="Calibri" w:eastAsia="Hiragino Sans GB"/>
                <w:b w:val="0"/>
                <w:color w:val="000000"/>
                <w:sz w:val="22"/>
              </w:rPr>
              <w:t>NSCC CNS close-out after ceasing to act.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ECS-DTC-02</w:t>
            </w:r>
          </w:p>
        </w:tc>
        <w:tc>
          <w:tcPr>
            <w:tcW w:type="dxa" w:w="2340"/>
            <w:vAlign w:val="center"/>
          </w:tcPr>
          <w:p>
            <w:pPr>
              <w:keepNext w:val="0"/>
              <w:spacing w:before="0" w:after="80" w:line="259" w:lineRule="auto"/>
            </w:pPr>
            <w:r>
              <w:rPr>
                <w:rFonts w:ascii="Calibri" w:hAnsi="Calibri" w:eastAsia="Hiragino Sans GB"/>
                <w:b w:val="0"/>
                <w:color w:val="000000"/>
                <w:sz w:val="22"/>
              </w:rPr>
              <w:t>A DTC settling bank has a funding, credit, or operational problem.</w:t>
            </w:r>
          </w:p>
        </w:tc>
        <w:tc>
          <w:tcPr>
            <w:tcW w:type="dxa" w:w="2340"/>
            <w:vAlign w:val="center"/>
          </w:tcPr>
          <w:p>
            <w:pPr>
              <w:keepNext w:val="0"/>
              <w:spacing w:before="0" w:after="80" w:line="259" w:lineRule="auto"/>
            </w:pPr>
            <w:r>
              <w:rPr>
                <w:rFonts w:ascii="Calibri" w:hAnsi="Calibri" w:eastAsia="Hiragino Sans GB"/>
                <w:b w:val="0"/>
                <w:color w:val="000000"/>
                <w:sz w:val="22"/>
              </w:rPr>
              <w:t>If the bank refuses or fails to settle its aggregate net-net balance over Fedwire, end-of-day money settlement cannot complete on time for the participants it represents.</w:t>
            </w:r>
          </w:p>
        </w:tc>
        <w:tc>
          <w:tcPr>
            <w:tcW w:type="dxa" w:w="2340"/>
            <w:vAlign w:val="center"/>
          </w:tcPr>
          <w:p>
            <w:pPr>
              <w:keepNext w:val="0"/>
              <w:spacing w:before="0" w:after="80" w:line="259" w:lineRule="auto"/>
            </w:pPr>
            <w:r>
              <w:rPr>
                <w:rFonts w:ascii="Calibri" w:hAnsi="Calibri" w:eastAsia="Hiragino Sans GB"/>
                <w:b w:val="0"/>
                <w:color w:val="000000"/>
                <w:sz w:val="22"/>
              </w:rPr>
              <w:t>DTC settling-bank money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ECS-DTC-05</w:t>
            </w:r>
          </w:p>
        </w:tc>
        <w:tc>
          <w:tcPr>
            <w:tcW w:type="dxa" w:w="2340"/>
            <w:vAlign w:val="center"/>
          </w:tcPr>
          <w:p>
            <w:pPr>
              <w:keepNext w:val="0"/>
              <w:spacing w:before="0" w:after="80" w:line="259" w:lineRule="auto"/>
            </w:pPr>
            <w:r>
              <w:rPr>
                <w:rFonts w:ascii="Calibri" w:hAnsi="Calibri" w:eastAsia="Hiragino Sans GB"/>
                <w:b w:val="0"/>
                <w:color w:val="000000"/>
                <w:sz w:val="22"/>
              </w:rPr>
              <w:t>A large DTC participant suffers a cyber event or major system outage.</w:t>
            </w:r>
          </w:p>
        </w:tc>
        <w:tc>
          <w:tcPr>
            <w:tcW w:type="dxa" w:w="2340"/>
            <w:vAlign w:val="center"/>
          </w:tcPr>
          <w:p>
            <w:pPr>
              <w:keepNext w:val="0"/>
              <w:spacing w:before="0" w:after="80" w:line="259" w:lineRule="auto"/>
            </w:pPr>
            <w:r>
              <w:rPr>
                <w:rFonts w:ascii="Calibri" w:hAnsi="Calibri" w:eastAsia="Hiragino Sans GB"/>
                <w:b w:val="0"/>
                <w:color w:val="000000"/>
                <w:sz w:val="22"/>
              </w:rPr>
              <w:t>Impaired participant connectivity or instruction transmission disrupts book-entry transfers and settlement, potentially invoking participant-system-disruption handling.</w:t>
            </w:r>
          </w:p>
        </w:tc>
        <w:tc>
          <w:tcPr>
            <w:tcW w:type="dxa" w:w="2340"/>
            <w:vAlign w:val="center"/>
          </w:tcPr>
          <w:p>
            <w:pPr>
              <w:keepNext w:val="0"/>
              <w:spacing w:before="0" w:after="80" w:line="259" w:lineRule="auto"/>
            </w:pPr>
            <w:r>
              <w:rPr>
                <w:rFonts w:ascii="Calibri" w:hAnsi="Calibri" w:eastAsia="Hiragino Sans GB"/>
                <w:b w:val="0"/>
                <w:color w:val="000000"/>
                <w:sz w:val="22"/>
              </w:rPr>
              <w:t>DTC participant system disruption and affected instructions.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TEAM-ECS-01</w:t>
            </w:r>
          </w:p>
        </w:tc>
        <w:tc>
          <w:tcPr>
            <w:tcW w:type="dxa" w:w="2340"/>
            <w:vAlign w:val="center"/>
          </w:tcPr>
          <w:p>
            <w:pPr>
              <w:keepNext w:val="0"/>
              <w:spacing w:before="0" w:after="80" w:line="259" w:lineRule="auto"/>
            </w:pPr>
            <w:r>
              <w:rPr>
                <w:rFonts w:ascii="Calibri" w:hAnsi="Calibri" w:eastAsia="Hiragino Sans GB"/>
                <w:b w:val="0"/>
                <w:color w:val="000000"/>
                <w:sz w:val="22"/>
              </w:rPr>
              <w:t>A sharp equity selloff or large price swings.</w:t>
            </w:r>
          </w:p>
        </w:tc>
        <w:tc>
          <w:tcPr>
            <w:tcW w:type="dxa" w:w="2340"/>
            <w:vAlign w:val="center"/>
          </w:tcPr>
          <w:p>
            <w:pPr>
              <w:keepNext w:val="0"/>
              <w:spacing w:before="0" w:after="80" w:line="259" w:lineRule="auto"/>
            </w:pPr>
            <w:r>
              <w:rPr>
                <w:rFonts w:ascii="Calibri" w:hAnsi="Calibri" w:eastAsia="Hiragino Sans GB"/>
                <w:b w:val="0"/>
                <w:color w:val="000000"/>
                <w:sz w:val="22"/>
              </w:rPr>
              <w:t>Reassessment of position risk may change Clearing Fund requirements and generate additional margin calls.</w:t>
            </w:r>
          </w:p>
        </w:tc>
        <w:tc>
          <w:tcPr>
            <w:tcW w:type="dxa" w:w="2340"/>
            <w:vAlign w:val="center"/>
          </w:tcPr>
          <w:p>
            <w:pPr>
              <w:keepNext w:val="0"/>
              <w:spacing w:before="0" w:after="80" w:line="259" w:lineRule="auto"/>
            </w:pPr>
            <w:r>
              <w:rPr>
                <w:rFonts w:ascii="Calibri" w:hAnsi="Calibri" w:eastAsia="Hiragino Sans GB"/>
                <w:b w:val="0"/>
                <w:color w:val="000000"/>
                <w:sz w:val="22"/>
              </w:rPr>
              <w:t>NSCC Clearing Fund calls, distinct from daily VM payments.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TEAM-ECS-02</w:t>
            </w:r>
          </w:p>
        </w:tc>
        <w:tc>
          <w:tcPr>
            <w:tcW w:type="dxa" w:w="2340"/>
            <w:vAlign w:val="center"/>
          </w:tcPr>
          <w:p>
            <w:pPr>
              <w:keepNext w:val="0"/>
              <w:spacing w:before="0" w:after="80" w:line="259" w:lineRule="auto"/>
            </w:pPr>
            <w:r>
              <w:rPr>
                <w:rFonts w:ascii="Calibri" w:hAnsi="Calibri" w:eastAsia="Hiragino Sans GB"/>
                <w:b w:val="0"/>
                <w:color w:val="000000"/>
                <w:sz w:val="22"/>
              </w:rPr>
              <w:t>Equity-market moves exceed the margin model's expected coverage.</w:t>
            </w:r>
          </w:p>
        </w:tc>
        <w:tc>
          <w:tcPr>
            <w:tcW w:type="dxa" w:w="2340"/>
            <w:vAlign w:val="center"/>
          </w:tcPr>
          <w:p>
            <w:pPr>
              <w:keepNext w:val="0"/>
              <w:spacing w:before="0" w:after="80" w:line="259" w:lineRule="auto"/>
            </w:pPr>
            <w:r>
              <w:rPr>
                <w:rFonts w:ascii="Calibri" w:hAnsi="Calibri" w:eastAsia="Hiragino Sans GB"/>
                <w:b w:val="0"/>
                <w:color w:val="000000"/>
                <w:sz w:val="22"/>
              </w:rPr>
              <w:t>Losses on some historical positions exceed model-required margin, producing backtesting breaches that indicate coverage gaps.</w:t>
            </w:r>
          </w:p>
        </w:tc>
        <w:tc>
          <w:tcPr>
            <w:tcW w:type="dxa" w:w="2340"/>
            <w:vAlign w:val="center"/>
          </w:tcPr>
          <w:p>
            <w:pPr>
              <w:keepNext w:val="0"/>
              <w:spacing w:before="0" w:after="80" w:line="259" w:lineRule="auto"/>
            </w:pPr>
            <w:r>
              <w:rPr>
                <w:rFonts w:ascii="Calibri" w:hAnsi="Calibri" w:eastAsia="Hiragino Sans GB"/>
                <w:b w:val="0"/>
                <w:color w:val="000000"/>
                <w:sz w:val="22"/>
              </w:rPr>
              <w:t>NSCC margin-model coverage and backtesting.</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TEAM-ECS-03</w:t>
            </w:r>
          </w:p>
        </w:tc>
        <w:tc>
          <w:tcPr>
            <w:tcW w:type="dxa" w:w="2340"/>
            <w:vAlign w:val="center"/>
          </w:tcPr>
          <w:p>
            <w:pPr>
              <w:keepNext w:val="0"/>
              <w:spacing w:before="0" w:after="80" w:line="259" w:lineRule="auto"/>
            </w:pPr>
            <w:r>
              <w:rPr>
                <w:rFonts w:ascii="Calibri" w:hAnsi="Calibri" w:eastAsia="Hiragino Sans GB"/>
                <w:b w:val="0"/>
                <w:color w:val="000000"/>
                <w:sz w:val="22"/>
              </w:rPr>
              <w:t>Equity trading volume surges.</w:t>
            </w:r>
          </w:p>
        </w:tc>
        <w:tc>
          <w:tcPr>
            <w:tcW w:type="dxa" w:w="2340"/>
            <w:vAlign w:val="center"/>
          </w:tcPr>
          <w:p>
            <w:pPr>
              <w:keepNext w:val="0"/>
              <w:spacing w:before="0" w:after="80" w:line="259" w:lineRule="auto"/>
            </w:pPr>
            <w:r>
              <w:rPr>
                <w:rFonts w:ascii="Calibri" w:hAnsi="Calibri" w:eastAsia="Hiragino Sans GB"/>
                <w:b w:val="0"/>
                <w:color w:val="000000"/>
                <w:sz w:val="22"/>
              </w:rPr>
              <w:t>If trade-capture and netting loads approach actual capacity, delays or outages may occur; separate operational evidence is required.</w:t>
            </w:r>
          </w:p>
        </w:tc>
        <w:tc>
          <w:tcPr>
            <w:tcW w:type="dxa" w:w="2340"/>
            <w:vAlign w:val="center"/>
          </w:tcPr>
          <w:p>
            <w:pPr>
              <w:keepNext w:val="0"/>
              <w:spacing w:before="0" w:after="80" w:line="259" w:lineRule="auto"/>
            </w:pPr>
            <w:r>
              <w:rPr>
                <w:rFonts w:ascii="Calibri" w:hAnsi="Calibri" w:eastAsia="Hiragino Sans GB"/>
                <w:b w:val="0"/>
                <w:color w:val="000000"/>
                <w:sz w:val="22"/>
              </w:rPr>
              <w:t>NSCC trade-capture and netting systems.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TEAM-ECS-04</w:t>
            </w:r>
          </w:p>
        </w:tc>
        <w:tc>
          <w:tcPr>
            <w:tcW w:type="dxa" w:w="2340"/>
            <w:vAlign w:val="center"/>
          </w:tcPr>
          <w:p>
            <w:pPr>
              <w:keepNext w:val="0"/>
              <w:spacing w:before="0" w:after="80" w:line="259" w:lineRule="auto"/>
            </w:pPr>
            <w:r>
              <w:rPr>
                <w:rFonts w:ascii="Calibri" w:hAnsi="Calibri" w:eastAsia="Hiragino Sans GB"/>
                <w:b w:val="0"/>
                <w:color w:val="000000"/>
                <w:sz w:val="22"/>
              </w:rPr>
              <w:t>A named broker or bank member deteriorates in credit without a confirmed default.</w:t>
            </w:r>
          </w:p>
        </w:tc>
        <w:tc>
          <w:tcPr>
            <w:tcW w:type="dxa" w:w="2340"/>
            <w:vAlign w:val="center"/>
          </w:tcPr>
          <w:p>
            <w:pPr>
              <w:keepNext w:val="0"/>
              <w:spacing w:before="0" w:after="80" w:line="259" w:lineRule="auto"/>
            </w:pPr>
            <w:r>
              <w:rPr>
                <w:rFonts w:ascii="Calibri" w:hAnsi="Calibri" w:eastAsia="Hiragino Sans GB"/>
                <w:b w:val="0"/>
                <w:color w:val="000000"/>
                <w:sz w:val="22"/>
              </w:rPr>
              <w:t>Higher credit risk may prompt surveillance or risk measures; CNS close-out following actual default routes to NSCC-06.</w:t>
            </w:r>
          </w:p>
        </w:tc>
        <w:tc>
          <w:tcPr>
            <w:tcW w:type="dxa" w:w="2340"/>
            <w:vAlign w:val="center"/>
          </w:tcPr>
          <w:p>
            <w:pPr>
              <w:keepNext w:val="0"/>
              <w:spacing w:before="0" w:after="80" w:line="259" w:lineRule="auto"/>
            </w:pPr>
            <w:r>
              <w:rPr>
                <w:rFonts w:ascii="Calibri" w:hAnsi="Calibri" w:eastAsia="Hiragino Sans GB"/>
                <w:b w:val="0"/>
                <w:color w:val="000000"/>
                <w:sz w:val="22"/>
              </w:rPr>
              <w:t>NSCC member credit surveillance and risk measures.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TEAM-ECS-05</w:t>
            </w:r>
          </w:p>
        </w:tc>
        <w:tc>
          <w:tcPr>
            <w:tcW w:type="dxa" w:w="2340"/>
            <w:vAlign w:val="center"/>
          </w:tcPr>
          <w:p>
            <w:pPr>
              <w:keepNext w:val="0"/>
              <w:spacing w:before="0" w:after="80" w:line="259" w:lineRule="auto"/>
            </w:pPr>
            <w:r>
              <w:rPr>
                <w:rFonts w:ascii="Calibri" w:hAnsi="Calibri" w:eastAsia="Hiragino Sans GB"/>
                <w:b w:val="0"/>
                <w:color w:val="000000"/>
                <w:sz w:val="22"/>
              </w:rPr>
              <w:t>Known peaks such as triple witching, Russell reconstitution, or S&amp;P index rebalances.</w:t>
            </w:r>
          </w:p>
        </w:tc>
        <w:tc>
          <w:tcPr>
            <w:tcW w:type="dxa" w:w="2340"/>
            <w:vAlign w:val="center"/>
          </w:tcPr>
          <w:p>
            <w:pPr>
              <w:keepNext w:val="0"/>
              <w:spacing w:before="0" w:after="80" w:line="259" w:lineRule="auto"/>
            </w:pPr>
            <w:r>
              <w:rPr>
                <w:rFonts w:ascii="Calibri" w:hAnsi="Calibri" w:eastAsia="Hiragino Sans GB"/>
                <w:b w:val="0"/>
                <w:color w:val="000000"/>
                <w:sz w:val="22"/>
              </w:rPr>
              <w:t>Activity bunches on predictable dates, raising processing load; additional fails or outages require separate validation.</w:t>
            </w:r>
          </w:p>
        </w:tc>
        <w:tc>
          <w:tcPr>
            <w:tcW w:type="dxa" w:w="2340"/>
            <w:vAlign w:val="center"/>
          </w:tcPr>
          <w:p>
            <w:pPr>
              <w:keepNext w:val="0"/>
              <w:spacing w:before="0" w:after="80" w:line="259" w:lineRule="auto"/>
            </w:pPr>
            <w:r>
              <w:rPr>
                <w:rFonts w:ascii="Calibri" w:hAnsi="Calibri" w:eastAsia="Hiragino Sans GB"/>
                <w:b w:val="0"/>
                <w:color w:val="000000"/>
                <w:sz w:val="22"/>
              </w:rPr>
              <w:t>NSCC peak-date processing and subsequent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TEAM-ECS-06</w:t>
            </w:r>
          </w:p>
        </w:tc>
        <w:tc>
          <w:tcPr>
            <w:tcW w:type="dxa" w:w="2340"/>
            <w:vAlign w:val="center"/>
          </w:tcPr>
          <w:p>
            <w:pPr>
              <w:keepNext w:val="0"/>
              <w:spacing w:before="0" w:after="80" w:line="259" w:lineRule="auto"/>
            </w:pPr>
            <w:r>
              <w:rPr>
                <w:rFonts w:ascii="Calibri" w:hAnsi="Calibri" w:eastAsia="Hiragino Sans GB"/>
                <w:b w:val="0"/>
                <w:color w:val="000000"/>
                <w:sz w:val="22"/>
              </w:rPr>
              <w:t>A cloud, network, or shared vendor has a widespread outage.</w:t>
            </w:r>
          </w:p>
        </w:tc>
        <w:tc>
          <w:tcPr>
            <w:tcW w:type="dxa" w:w="2340"/>
            <w:vAlign w:val="center"/>
          </w:tcPr>
          <w:p>
            <w:pPr>
              <w:keepNext w:val="0"/>
              <w:spacing w:before="0" w:after="80" w:line="259" w:lineRule="auto"/>
            </w:pPr>
            <w:r>
              <w:rPr>
                <w:rFonts w:ascii="Calibri" w:hAnsi="Calibri" w:eastAsia="Hiragino Sans GB"/>
                <w:b w:val="0"/>
                <w:color w:val="000000"/>
                <w:sz w:val="22"/>
              </w:rPr>
              <w:t>Transmission requires a verified DTC or participant dependency and evidence that relevant connections or instructions were impaired.</w:t>
            </w:r>
          </w:p>
        </w:tc>
        <w:tc>
          <w:tcPr>
            <w:tcW w:type="dxa" w:w="2340"/>
            <w:vAlign w:val="center"/>
          </w:tcPr>
          <w:p>
            <w:pPr>
              <w:keepNext w:val="0"/>
              <w:spacing w:before="0" w:after="80" w:line="259" w:lineRule="auto"/>
            </w:pPr>
            <w:r>
              <w:rPr>
                <w:rFonts w:ascii="Calibri" w:hAnsi="Calibri" w:eastAsia="Hiragino Sans GB"/>
                <w:b w:val="0"/>
                <w:color w:val="000000"/>
                <w:sz w:val="22"/>
              </w:rPr>
              <w:t>DTC service dependencies and instructions; link participant disruptions to DTC-05 without duplication.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TEAM-ECS-07</w:t>
            </w:r>
          </w:p>
        </w:tc>
        <w:tc>
          <w:tcPr>
            <w:tcW w:type="dxa" w:w="2340"/>
            <w:vAlign w:val="center"/>
          </w:tcPr>
          <w:p>
            <w:pPr>
              <w:keepNext w:val="0"/>
              <w:spacing w:before="0" w:after="80" w:line="259" w:lineRule="auto"/>
            </w:pPr>
            <w:r>
              <w:rPr>
                <w:rFonts w:ascii="Calibri" w:hAnsi="Calibri" w:eastAsia="Hiragino Sans GB"/>
                <w:b w:val="0"/>
                <w:color w:val="000000"/>
                <w:sz w:val="22"/>
              </w:rPr>
              <w:t>IPO or bond issuance rises sharply.</w:t>
            </w:r>
          </w:p>
        </w:tc>
        <w:tc>
          <w:tcPr>
            <w:tcW w:type="dxa" w:w="2340"/>
            <w:vAlign w:val="center"/>
          </w:tcPr>
          <w:p>
            <w:pPr>
              <w:keepNext w:val="0"/>
              <w:spacing w:before="0" w:after="80" w:line="259" w:lineRule="auto"/>
            </w:pPr>
            <w:r>
              <w:rPr>
                <w:rFonts w:ascii="Calibri" w:hAnsi="Calibri" w:eastAsia="Hiragino Sans GB"/>
                <w:b w:val="0"/>
                <w:color w:val="000000"/>
                <w:sz w:val="22"/>
              </w:rPr>
              <w:t>More issues increase eligibility-review and initial-settlement demand; backlogs depend on capacity and observed processing.</w:t>
            </w:r>
          </w:p>
        </w:tc>
        <w:tc>
          <w:tcPr>
            <w:tcW w:type="dxa" w:w="2340"/>
            <w:vAlign w:val="center"/>
          </w:tcPr>
          <w:p>
            <w:pPr>
              <w:keepNext w:val="0"/>
              <w:spacing w:before="0" w:after="80" w:line="259" w:lineRule="auto"/>
            </w:pPr>
            <w:r>
              <w:rPr>
                <w:rFonts w:ascii="Calibri" w:hAnsi="Calibri" w:eastAsia="Hiragino Sans GB"/>
                <w:b w:val="0"/>
                <w:color w:val="000000"/>
                <w:sz w:val="22"/>
              </w:rPr>
              <w:t>DTC new-issue eligibility and initial settlement; provisionally classified under ECS.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TEAM-ECS-08</w:t>
            </w:r>
          </w:p>
        </w:tc>
        <w:tc>
          <w:tcPr>
            <w:tcW w:type="dxa" w:w="2340"/>
            <w:vAlign w:val="center"/>
          </w:tcPr>
          <w:p>
            <w:pPr>
              <w:keepNext w:val="0"/>
              <w:spacing w:before="0" w:after="80" w:line="259" w:lineRule="auto"/>
            </w:pPr>
            <w:r>
              <w:rPr>
                <w:rFonts w:ascii="Calibri" w:hAnsi="Calibri" w:eastAsia="Hiragino Sans GB"/>
                <w:b w:val="0"/>
                <w:color w:val="000000"/>
                <w:sz w:val="22"/>
              </w:rPr>
              <w:t>A cyberattack or major outage directly affects relevant DTC systems.</w:t>
            </w:r>
          </w:p>
        </w:tc>
        <w:tc>
          <w:tcPr>
            <w:tcW w:type="dxa" w:w="2340"/>
            <w:vAlign w:val="center"/>
          </w:tcPr>
          <w:p>
            <w:pPr>
              <w:keepNext w:val="0"/>
              <w:spacing w:before="0" w:after="80" w:line="259" w:lineRule="auto"/>
            </w:pPr>
            <w:r>
              <w:rPr>
                <w:rFonts w:ascii="Calibri" w:hAnsi="Calibri" w:eastAsia="Hiragino Sans GB"/>
                <w:b w:val="0"/>
                <w:color w:val="000000"/>
                <w:sz w:val="22"/>
              </w:rPr>
              <w:t>If DTC instruction intake, processing, or connectivity is unavailable, affected participants may experience delayed book-entry transfers and settlement.</w:t>
            </w:r>
          </w:p>
        </w:tc>
        <w:tc>
          <w:tcPr>
            <w:tcW w:type="dxa" w:w="2340"/>
            <w:vAlign w:val="center"/>
          </w:tcPr>
          <w:p>
            <w:pPr>
              <w:keepNext w:val="0"/>
              <w:spacing w:before="0" w:after="80" w:line="259" w:lineRule="auto"/>
            </w:pPr>
            <w:r>
              <w:rPr>
                <w:rFonts w:ascii="Calibri" w:hAnsi="Calibri" w:eastAsia="Hiragino Sans GB"/>
                <w:b w:val="0"/>
                <w:color w:val="000000"/>
                <w:sz w:val="22"/>
              </w:rPr>
              <w:t>DTC service continuity, distinct from participant system disruption under DTC-05.</w:t>
            </w:r>
          </w:p>
        </w:tc>
      </w:tr>
    </w:tbl>
    <w:p>
      <w:pPr>
        <w:pStyle w:val="Heading1"/>
      </w:pPr>
      <w:r>
        <w:rPr>
          <w:rFonts w:ascii="Calibri" w:hAnsi="Calibri" w:eastAsia="Hiragino Sans GB"/>
          <w:color w:val="000000"/>
        </w:rPr>
        <w:t>Additional DTCC Reference Chains</w:t>
      </w:r>
    </w:p>
    <w:p>
      <w:r>
        <w:rPr>
          <w:rFonts w:ascii="Calibri" w:hAnsi="Calibri" w:eastAsia="Hiragino Sans GB"/>
          <w:color w:val="000000"/>
        </w:rPr>
        <w:t>All 31 entries below are newly added and have not undergone chain-specific data-readiness review or testing. Reference monitoring suggestions do not establish data availability. Similar events, macro signals, and tests of other businesses do not provide an inherited pass label.</w:t>
      </w:r>
    </w:p>
    <w:p>
      <w:pPr>
        <w:pStyle w:val="Heading2"/>
      </w:pPr>
      <w:r>
        <w:rPr>
          <w:rFonts w:ascii="Calibri" w:hAnsi="Calibri" w:eastAsia="Hiragino Sans GB"/>
          <w:color w:val="000000"/>
        </w:rPr>
        <w:t>FICC Additions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FICC-MBSD-02</w:t>
            </w:r>
          </w:p>
        </w:tc>
        <w:tc>
          <w:tcPr>
            <w:tcW w:type="dxa" w:w="2340"/>
            <w:vAlign w:val="center"/>
          </w:tcPr>
          <w:p>
            <w:pPr>
              <w:keepNext w:val="0"/>
              <w:spacing w:before="0" w:after="80" w:line="259" w:lineRule="auto"/>
            </w:pPr>
            <w:r>
              <w:rPr>
                <w:rFonts w:ascii="Calibri" w:hAnsi="Calibri" w:eastAsia="Hiragino Sans GB"/>
                <w:b w:val="0"/>
                <w:color w:val="000000"/>
                <w:sz w:val="22"/>
              </w:rPr>
              <w:t>Mortgage-backed pool supply or reference data breaks down (for example pool allocation or data errors around month-end settlement)</w:t>
            </w:r>
          </w:p>
        </w:tc>
        <w:tc>
          <w:tcPr>
            <w:tcW w:type="dxa" w:w="2340"/>
            <w:vAlign w:val="center"/>
          </w:tcPr>
          <w:p>
            <w:pPr>
              <w:keepNext w:val="0"/>
              <w:spacing w:before="0" w:after="80" w:line="259" w:lineRule="auto"/>
            </w:pPr>
            <w:r>
              <w:rPr>
                <w:rFonts w:ascii="Calibri" w:hAnsi="Calibri" w:eastAsia="Hiragino Sans GB"/>
                <w:b w:val="0"/>
                <w:color w:val="000000"/>
                <w:sz w:val="22"/>
              </w:rPr>
              <w:t>Members cannot satisfy their Pool Deliver Obligations on time, so deliveries fail and the Corporation applies the fails charge to the funds amount of each failed position</w:t>
            </w:r>
          </w:p>
        </w:tc>
        <w:tc>
          <w:tcPr>
            <w:tcW w:type="dxa" w:w="2340"/>
            <w:vAlign w:val="center"/>
          </w:tcPr>
          <w:p>
            <w:pPr>
              <w:keepNext w:val="0"/>
              <w:spacing w:before="0" w:after="80" w:line="259" w:lineRule="auto"/>
            </w:pPr>
            <w:r>
              <w:rPr>
                <w:rFonts w:ascii="Calibri" w:hAnsi="Calibri" w:eastAsia="Hiragino Sans GB"/>
                <w:b w:val="0"/>
                <w:color w:val="000000"/>
                <w:sz w:val="22"/>
              </w:rPr>
              <w:t>MBSD pool settlement and fails charge</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FICC-MBSD-03</w:t>
            </w:r>
          </w:p>
        </w:tc>
        <w:tc>
          <w:tcPr>
            <w:tcW w:type="dxa" w:w="2340"/>
            <w:vAlign w:val="center"/>
          </w:tcPr>
          <w:p>
            <w:pPr>
              <w:keepNext w:val="0"/>
              <w:spacing w:before="0" w:after="80" w:line="259" w:lineRule="auto"/>
            </w:pPr>
            <w:r>
              <w:rPr>
                <w:rFonts w:ascii="Calibri" w:hAnsi="Calibri" w:eastAsia="Hiragino Sans GB"/>
                <w:b w:val="0"/>
                <w:color w:val="000000"/>
                <w:sz w:val="22"/>
              </w:rPr>
              <w:t>A clearing member comes under financial stress (a downgrade, adverse news, or weaker results)</w:t>
            </w:r>
          </w:p>
        </w:tc>
        <w:tc>
          <w:tcPr>
            <w:tcW w:type="dxa" w:w="2340"/>
            <w:vAlign w:val="center"/>
          </w:tcPr>
          <w:p>
            <w:pPr>
              <w:keepNext w:val="0"/>
              <w:spacing w:before="0" w:after="80" w:line="259" w:lineRule="auto"/>
            </w:pPr>
            <w:r>
              <w:rPr>
                <w:rFonts w:ascii="Calibri" w:hAnsi="Calibri" w:eastAsia="Hiragino Sans GB"/>
                <w:b w:val="0"/>
                <w:color w:val="000000"/>
                <w:sz w:val="22"/>
              </w:rPr>
              <w:t>The member is placed on the Watch List, so the Corporation can require a Clearing Fund deposit above the Rule 4 amount and the member must meet every margin call regardless of size</w:t>
            </w:r>
          </w:p>
        </w:tc>
        <w:tc>
          <w:tcPr>
            <w:tcW w:type="dxa" w:w="2340"/>
            <w:vAlign w:val="center"/>
          </w:tcPr>
          <w:p>
            <w:pPr>
              <w:keepNext w:val="0"/>
              <w:spacing w:before="0" w:after="80" w:line="259" w:lineRule="auto"/>
            </w:pPr>
            <w:r>
              <w:rPr>
                <w:rFonts w:ascii="Calibri" w:hAnsi="Calibri" w:eastAsia="Hiragino Sans GB"/>
                <w:b w:val="0"/>
                <w:color w:val="000000"/>
                <w:sz w:val="22"/>
              </w:rPr>
              <w:t>MBSD Watch List surveillance and Clearing Fund requirements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FICC-GSD-05</w:t>
            </w:r>
          </w:p>
        </w:tc>
        <w:tc>
          <w:tcPr>
            <w:tcW w:type="dxa" w:w="2340"/>
            <w:vAlign w:val="center"/>
          </w:tcPr>
          <w:p>
            <w:pPr>
              <w:keepNext w:val="0"/>
              <w:spacing w:before="0" w:after="80" w:line="259" w:lineRule="auto"/>
            </w:pPr>
            <w:r>
              <w:rPr>
                <w:rFonts w:ascii="Calibri" w:hAnsi="Calibri" w:eastAsia="Hiragino Sans GB"/>
                <w:b w:val="0"/>
                <w:color w:val="000000"/>
                <w:sz w:val="22"/>
              </w:rPr>
              <w:t>Collateral and funding markets tighten during the day (tri-party or general-collateral stress)</w:t>
            </w:r>
          </w:p>
        </w:tc>
        <w:tc>
          <w:tcPr>
            <w:tcW w:type="dxa" w:w="2340"/>
            <w:vAlign w:val="center"/>
          </w:tcPr>
          <w:p>
            <w:pPr>
              <w:keepNext w:val="0"/>
              <w:spacing w:before="0" w:after="80" w:line="259" w:lineRule="auto"/>
            </w:pPr>
            <w:r>
              <w:rPr>
                <w:rFonts w:ascii="Calibri" w:hAnsi="Calibri" w:eastAsia="Hiragino Sans GB"/>
                <w:b w:val="0"/>
                <w:color w:val="000000"/>
                <w:sz w:val="22"/>
              </w:rPr>
              <w:t>A netting member cannot meet its GCF Repo Collateral Allocation Obligation or cash obligation by the scheduled deadline, so it is deemed to fail on its net position and owes late fees and interest</w:t>
            </w:r>
          </w:p>
        </w:tc>
        <w:tc>
          <w:tcPr>
            <w:tcW w:type="dxa" w:w="2340"/>
            <w:vAlign w:val="center"/>
          </w:tcPr>
          <w:p>
            <w:pPr>
              <w:keepNext w:val="0"/>
              <w:spacing w:before="0" w:after="80" w:line="259" w:lineRule="auto"/>
            </w:pPr>
            <w:r>
              <w:rPr>
                <w:rFonts w:ascii="Calibri" w:hAnsi="Calibri" w:eastAsia="Hiragino Sans GB"/>
                <w:b w:val="0"/>
                <w:color w:val="000000"/>
                <w:sz w:val="22"/>
              </w:rPr>
              <w:t>GSD GCF Repo collateral allocation and funds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FICC-GSD-07</w:t>
            </w:r>
          </w:p>
        </w:tc>
        <w:tc>
          <w:tcPr>
            <w:tcW w:type="dxa" w:w="2340"/>
            <w:vAlign w:val="center"/>
          </w:tcPr>
          <w:p>
            <w:pPr>
              <w:keepNext w:val="0"/>
              <w:spacing w:before="0" w:after="80" w:line="259" w:lineRule="auto"/>
            </w:pPr>
            <w:r>
              <w:rPr>
                <w:rFonts w:ascii="Calibri" w:hAnsi="Calibri" w:eastAsia="Hiragino Sans GB"/>
                <w:b w:val="0"/>
                <w:color w:val="000000"/>
                <w:sz w:val="22"/>
              </w:rPr>
              <w:t>Cash investors (money market funds, corporates) pull back from repo</w:t>
            </w:r>
          </w:p>
        </w:tc>
        <w:tc>
          <w:tcPr>
            <w:tcW w:type="dxa" w:w="2340"/>
            <w:vAlign w:val="center"/>
          </w:tcPr>
          <w:p>
            <w:pPr>
              <w:keepNext w:val="0"/>
              <w:spacing w:before="0" w:after="80" w:line="259" w:lineRule="auto"/>
            </w:pPr>
            <w:r>
              <w:rPr>
                <w:rFonts w:ascii="Calibri" w:hAnsi="Calibri" w:eastAsia="Hiragino Sans GB"/>
                <w:b w:val="0"/>
                <w:color w:val="000000"/>
                <w:sz w:val="22"/>
              </w:rPr>
              <w:t>CCIT tri-party volume and the netting-member counterparties facing those cash lenders contract, shifting funding into or out of the GCF Repo service</w:t>
            </w:r>
          </w:p>
        </w:tc>
        <w:tc>
          <w:tcPr>
            <w:tcW w:type="dxa" w:w="2340"/>
            <w:vAlign w:val="center"/>
          </w:tcPr>
          <w:p>
            <w:pPr>
              <w:keepNext w:val="0"/>
              <w:spacing w:before="0" w:after="80" w:line="259" w:lineRule="auto"/>
            </w:pPr>
            <w:r>
              <w:rPr>
                <w:rFonts w:ascii="Calibri" w:hAnsi="Calibri" w:eastAsia="Hiragino Sans GB"/>
                <w:b w:val="0"/>
                <w:color w:val="000000"/>
                <w:sz w:val="22"/>
              </w:rPr>
              <w:t>GSD CCIT tri-party service and GCF Repo</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FICC-MBSD-04</w:t>
            </w:r>
          </w:p>
        </w:tc>
        <w:tc>
          <w:tcPr>
            <w:tcW w:type="dxa" w:w="2340"/>
            <w:vAlign w:val="center"/>
          </w:tcPr>
          <w:p>
            <w:pPr>
              <w:keepNext w:val="0"/>
              <w:spacing w:before="0" w:after="80" w:line="259" w:lineRule="auto"/>
            </w:pPr>
            <w:r>
              <w:rPr>
                <w:rFonts w:ascii="Calibri" w:hAnsi="Calibri" w:eastAsia="Hiragino Sans GB"/>
                <w:b w:val="0"/>
                <w:color w:val="000000"/>
                <w:sz w:val="22"/>
              </w:rPr>
              <w:t>Market-wide disruption (exchange trading halt, banking moratorium, or declared emergency)</w:t>
            </w:r>
          </w:p>
        </w:tc>
        <w:tc>
          <w:tcPr>
            <w:tcW w:type="dxa" w:w="2340"/>
            <w:vAlign w:val="center"/>
          </w:tcPr>
          <w:p>
            <w:pPr>
              <w:keepNext w:val="0"/>
              <w:spacing w:before="0" w:after="80" w:line="259" w:lineRule="auto"/>
            </w:pPr>
            <w:r>
              <w:rPr>
                <w:rFonts w:ascii="Calibri" w:hAnsi="Calibri" w:eastAsia="Hiragino Sans GB"/>
                <w:b w:val="0"/>
                <w:color w:val="000000"/>
                <w:sz w:val="22"/>
              </w:rPr>
              <w:t>The Corporation invokes its market-disruption / force-majeure powers to suspend, extend, or modify settlement timeframes and obligations</w:t>
            </w:r>
          </w:p>
        </w:tc>
        <w:tc>
          <w:tcPr>
            <w:tcW w:type="dxa" w:w="2340"/>
            <w:vAlign w:val="center"/>
          </w:tcPr>
          <w:p>
            <w:pPr>
              <w:keepNext w:val="0"/>
              <w:spacing w:before="0" w:after="80" w:line="259" w:lineRule="auto"/>
            </w:pPr>
            <w:r>
              <w:rPr>
                <w:rFonts w:ascii="Calibri" w:hAnsi="Calibri" w:eastAsia="Hiragino Sans GB"/>
                <w:b w:val="0"/>
                <w:color w:val="000000"/>
                <w:sz w:val="22"/>
              </w:rPr>
              <w:t>MBSD settlement timeframes under market disruption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FICC-MBSD-05</w:t>
            </w:r>
          </w:p>
        </w:tc>
        <w:tc>
          <w:tcPr>
            <w:tcW w:type="dxa" w:w="2340"/>
            <w:vAlign w:val="center"/>
          </w:tcPr>
          <w:p>
            <w:pPr>
              <w:keepNext w:val="0"/>
              <w:spacing w:before="0" w:after="80" w:line="259" w:lineRule="auto"/>
            </w:pPr>
            <w:r>
              <w:rPr>
                <w:rFonts w:ascii="Calibri" w:hAnsi="Calibri" w:eastAsia="Hiragino Sans GB"/>
                <w:b w:val="0"/>
                <w:color w:val="000000"/>
                <w:sz w:val="22"/>
              </w:rPr>
              <w:t>A cyber event or major outage hits a large member’s systems</w:t>
            </w:r>
          </w:p>
        </w:tc>
        <w:tc>
          <w:tcPr>
            <w:tcW w:type="dxa" w:w="2340"/>
            <w:vAlign w:val="center"/>
          </w:tcPr>
          <w:p>
            <w:pPr>
              <w:keepNext w:val="0"/>
              <w:spacing w:before="0" w:after="80" w:line="259" w:lineRule="auto"/>
            </w:pPr>
            <w:r>
              <w:rPr>
                <w:rFonts w:ascii="Calibri" w:hAnsi="Calibri" w:eastAsia="Hiragino Sans GB"/>
                <w:b w:val="0"/>
                <w:color w:val="000000"/>
                <w:sz w:val="22"/>
              </w:rPr>
              <w:t>The member’s connectivity to DTCC systems is impaired, so its submissions and deliveries are disrupted and the Corporation can act under the participant-system-disruption rule</w:t>
            </w:r>
          </w:p>
        </w:tc>
        <w:tc>
          <w:tcPr>
            <w:tcW w:type="dxa" w:w="2340"/>
            <w:vAlign w:val="center"/>
          </w:tcPr>
          <w:p>
            <w:pPr>
              <w:keepNext w:val="0"/>
              <w:spacing w:before="0" w:after="80" w:line="259" w:lineRule="auto"/>
            </w:pPr>
            <w:r>
              <w:rPr>
                <w:rFonts w:ascii="Calibri" w:hAnsi="Calibri" w:eastAsia="Hiragino Sans GB"/>
                <w:b w:val="0"/>
                <w:color w:val="000000"/>
                <w:sz w:val="22"/>
              </w:rPr>
              <w:t>MBSD participant system disruption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FICC-GSD-09</w:t>
            </w:r>
          </w:p>
        </w:tc>
        <w:tc>
          <w:tcPr>
            <w:tcW w:type="dxa" w:w="2340"/>
            <w:vAlign w:val="center"/>
          </w:tcPr>
          <w:p>
            <w:pPr>
              <w:keepNext w:val="0"/>
              <w:spacing w:before="0" w:after="80" w:line="259" w:lineRule="auto"/>
            </w:pPr>
            <w:r>
              <w:rPr>
                <w:rFonts w:ascii="Calibri" w:hAnsi="Calibri" w:eastAsia="Hiragino Sans GB"/>
                <w:b w:val="0"/>
                <w:color w:val="000000"/>
                <w:sz w:val="22"/>
              </w:rPr>
              <w:t>A sharp move hits futures markets alongside Treasuries</w:t>
            </w:r>
          </w:p>
        </w:tc>
        <w:tc>
          <w:tcPr>
            <w:tcW w:type="dxa" w:w="2340"/>
            <w:vAlign w:val="center"/>
          </w:tcPr>
          <w:p>
            <w:pPr>
              <w:keepNext w:val="0"/>
              <w:spacing w:before="0" w:after="80" w:line="259" w:lineRule="auto"/>
            </w:pPr>
            <w:r>
              <w:rPr>
                <w:rFonts w:ascii="Calibri" w:hAnsi="Calibri" w:eastAsia="Hiragino Sans GB"/>
                <w:b w:val="0"/>
                <w:color w:val="000000"/>
                <w:sz w:val="22"/>
              </w:rPr>
              <w:t>Under a cross-margining arrangement, offsetting positions at the linked futures clearing organization change the member’s net risk, so GSD Required Fund Deposit moves with the combined book</w:t>
            </w:r>
          </w:p>
        </w:tc>
        <w:tc>
          <w:tcPr>
            <w:tcW w:type="dxa" w:w="2340"/>
            <w:vAlign w:val="center"/>
          </w:tcPr>
          <w:p>
            <w:pPr>
              <w:keepNext w:val="0"/>
              <w:spacing w:before="0" w:after="80" w:line="259" w:lineRule="auto"/>
            </w:pPr>
            <w:r>
              <w:rPr>
                <w:rFonts w:ascii="Calibri" w:hAnsi="Calibri" w:eastAsia="Hiragino Sans GB"/>
                <w:b w:val="0"/>
                <w:color w:val="000000"/>
                <w:sz w:val="22"/>
              </w:rPr>
              <w:t>GSD cross-margining and Required Fund Deposit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FICC-GSD-10</w:t>
            </w:r>
          </w:p>
        </w:tc>
        <w:tc>
          <w:tcPr>
            <w:tcW w:type="dxa" w:w="2340"/>
            <w:vAlign w:val="center"/>
          </w:tcPr>
          <w:p>
            <w:pPr>
              <w:keepNext w:val="0"/>
              <w:spacing w:before="0" w:after="80" w:line="259" w:lineRule="auto"/>
            </w:pPr>
            <w:r>
              <w:rPr>
                <w:rFonts w:ascii="Calibri" w:hAnsi="Calibri" w:eastAsia="Hiragino Sans GB"/>
                <w:b w:val="0"/>
                <w:color w:val="000000"/>
                <w:sz w:val="22"/>
              </w:rPr>
              <w:t>A Treasury auction cycle is heavy or an auction settles poorly</w:t>
            </w:r>
          </w:p>
        </w:tc>
        <w:tc>
          <w:tcPr>
            <w:tcW w:type="dxa" w:w="2340"/>
            <w:vAlign w:val="center"/>
          </w:tcPr>
          <w:p>
            <w:pPr>
              <w:keepNext w:val="0"/>
              <w:spacing w:before="0" w:after="80" w:line="259" w:lineRule="auto"/>
            </w:pPr>
            <w:r>
              <w:rPr>
                <w:rFonts w:ascii="Calibri" w:hAnsi="Calibri" w:eastAsia="Hiragino Sans GB"/>
                <w:b w:val="0"/>
                <w:color w:val="000000"/>
                <w:sz w:val="22"/>
              </w:rPr>
              <w:t>Netting-eligible auction purchases flow into netting and must settle on the issue date, concentrating delivery and funding obligations on that day</w:t>
            </w:r>
          </w:p>
        </w:tc>
        <w:tc>
          <w:tcPr>
            <w:tcW w:type="dxa" w:w="2340"/>
            <w:vAlign w:val="center"/>
          </w:tcPr>
          <w:p>
            <w:pPr>
              <w:keepNext w:val="0"/>
              <w:spacing w:before="0" w:after="80" w:line="259" w:lineRule="auto"/>
            </w:pPr>
            <w:r>
              <w:rPr>
                <w:rFonts w:ascii="Calibri" w:hAnsi="Calibri" w:eastAsia="Hiragino Sans GB"/>
                <w:b w:val="0"/>
                <w:color w:val="000000"/>
                <w:sz w:val="22"/>
              </w:rPr>
              <w:t>GSD netting and settlement of auction purchases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FICC-MBSD-06</w:t>
            </w:r>
          </w:p>
        </w:tc>
        <w:tc>
          <w:tcPr>
            <w:tcW w:type="dxa" w:w="2340"/>
            <w:vAlign w:val="center"/>
          </w:tcPr>
          <w:p>
            <w:pPr>
              <w:keepNext w:val="0"/>
              <w:spacing w:before="0" w:after="80" w:line="259" w:lineRule="auto"/>
            </w:pPr>
            <w:r>
              <w:rPr>
                <w:rFonts w:ascii="Calibri" w:hAnsi="Calibri" w:eastAsia="Hiragino Sans GB"/>
                <w:b w:val="0"/>
                <w:color w:val="000000"/>
                <w:sz w:val="22"/>
              </w:rPr>
              <w:t>A large forward pipeline builds (heavy TBA origination into future months)</w:t>
            </w:r>
          </w:p>
        </w:tc>
        <w:tc>
          <w:tcPr>
            <w:tcW w:type="dxa" w:w="2340"/>
            <w:vAlign w:val="center"/>
          </w:tcPr>
          <w:p>
            <w:pPr>
              <w:keepNext w:val="0"/>
              <w:spacing w:before="0" w:after="80" w:line="259" w:lineRule="auto"/>
            </w:pPr>
            <w:r>
              <w:rPr>
                <w:rFonts w:ascii="Calibri" w:hAnsi="Calibri" w:eastAsia="Hiragino Sans GB"/>
                <w:b w:val="0"/>
                <w:color w:val="000000"/>
                <w:sz w:val="22"/>
              </w:rPr>
              <w:t>Forward net settlement positions accumulate and are margined until they settle, so a later rate move can swing margin and settlement on a large forward book</w:t>
            </w:r>
          </w:p>
        </w:tc>
        <w:tc>
          <w:tcPr>
            <w:tcW w:type="dxa" w:w="2340"/>
            <w:vAlign w:val="center"/>
          </w:tcPr>
          <w:p>
            <w:pPr>
              <w:keepNext w:val="0"/>
              <w:spacing w:before="0" w:after="80" w:line="259" w:lineRule="auto"/>
            </w:pPr>
            <w:r>
              <w:rPr>
                <w:rFonts w:ascii="Calibri" w:hAnsi="Calibri" w:eastAsia="Hiragino Sans GB"/>
                <w:b w:val="0"/>
                <w:color w:val="000000"/>
                <w:sz w:val="22"/>
              </w:rPr>
              <w:t>MBSD TBA netting and forward settlement positions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FICC-MBSD-07</w:t>
            </w:r>
          </w:p>
        </w:tc>
        <w:tc>
          <w:tcPr>
            <w:tcW w:type="dxa" w:w="2340"/>
            <w:vAlign w:val="center"/>
          </w:tcPr>
          <w:p>
            <w:pPr>
              <w:keepNext w:val="0"/>
              <w:spacing w:before="0" w:after="80" w:line="259" w:lineRule="auto"/>
            </w:pPr>
            <w:r>
              <w:rPr>
                <w:rFonts w:ascii="Calibri" w:hAnsi="Calibri" w:eastAsia="Hiragino Sans GB"/>
                <w:b w:val="0"/>
                <w:color w:val="000000"/>
                <w:sz w:val="22"/>
              </w:rPr>
              <w:t>A rate move around options expiry makes many MBS options go in or out of the money</w:t>
            </w:r>
          </w:p>
        </w:tc>
        <w:tc>
          <w:tcPr>
            <w:tcW w:type="dxa" w:w="2340"/>
            <w:vAlign w:val="center"/>
          </w:tcPr>
          <w:p>
            <w:pPr>
              <w:keepNext w:val="0"/>
              <w:spacing w:before="0" w:after="80" w:line="259" w:lineRule="auto"/>
            </w:pPr>
            <w:r>
              <w:rPr>
                <w:rFonts w:ascii="Calibri" w:hAnsi="Calibri" w:eastAsia="Hiragino Sans GB"/>
                <w:b w:val="0"/>
                <w:color w:val="000000"/>
                <w:sz w:val="22"/>
              </w:rPr>
              <w:t>On expiration or exercise, members must submit cancellations and resulting trades, and open option contracts keep drawing Required Fund Deposits until settled</w:t>
            </w:r>
          </w:p>
        </w:tc>
        <w:tc>
          <w:tcPr>
            <w:tcW w:type="dxa" w:w="2340"/>
            <w:vAlign w:val="center"/>
          </w:tcPr>
          <w:p>
            <w:pPr>
              <w:keepNext w:val="0"/>
              <w:spacing w:before="0" w:after="80" w:line="259" w:lineRule="auto"/>
            </w:pPr>
            <w:r>
              <w:rPr>
                <w:rFonts w:ascii="Calibri" w:hAnsi="Calibri" w:eastAsia="Hiragino Sans GB"/>
                <w:b w:val="0"/>
                <w:color w:val="000000"/>
                <w:sz w:val="22"/>
              </w:rPr>
              <w:t>MBSD options expiration and exercise</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FICC-MBSD-08</w:t>
            </w:r>
          </w:p>
        </w:tc>
        <w:tc>
          <w:tcPr>
            <w:tcW w:type="dxa" w:w="2340"/>
            <w:vAlign w:val="center"/>
          </w:tcPr>
          <w:p>
            <w:pPr>
              <w:keepNext w:val="0"/>
              <w:spacing w:before="0" w:after="80" w:line="259" w:lineRule="auto"/>
            </w:pPr>
            <w:r>
              <w:rPr>
                <w:rFonts w:ascii="Calibri" w:hAnsi="Calibri" w:eastAsia="Hiragino Sans GB"/>
                <w:b w:val="0"/>
                <w:color w:val="000000"/>
                <w:sz w:val="22"/>
              </w:rPr>
              <w:t>Pool-allocation details are sent late or with errors through the pool-notification messaging service</w:t>
            </w:r>
          </w:p>
        </w:tc>
        <w:tc>
          <w:tcPr>
            <w:tcW w:type="dxa" w:w="2340"/>
            <w:vAlign w:val="center"/>
          </w:tcPr>
          <w:p>
            <w:pPr>
              <w:keepNext w:val="0"/>
              <w:spacing w:before="0" w:after="80" w:line="259" w:lineRule="auto"/>
            </w:pPr>
            <w:r>
              <w:rPr>
                <w:rFonts w:ascii="Calibri" w:hAnsi="Calibri" w:eastAsia="Hiragino Sans GB"/>
                <w:b w:val="0"/>
                <w:color w:val="000000"/>
                <w:sz w:val="22"/>
              </w:rPr>
              <w:t>EPN messages miss good-delivery (T2) time stamps or carry inaccurate pool data, so counterparties cannot confirm allocations in time and downstream pool settlement is disrupted</w:t>
            </w:r>
          </w:p>
        </w:tc>
        <w:tc>
          <w:tcPr>
            <w:tcW w:type="dxa" w:w="2340"/>
            <w:vAlign w:val="center"/>
          </w:tcPr>
          <w:p>
            <w:pPr>
              <w:keepNext w:val="0"/>
              <w:spacing w:before="0" w:after="80" w:line="259" w:lineRule="auto"/>
            </w:pPr>
            <w:r>
              <w:rPr>
                <w:rFonts w:ascii="Calibri" w:hAnsi="Calibri" w:eastAsia="Hiragino Sans GB"/>
                <w:b w:val="0"/>
                <w:color w:val="000000"/>
                <w:sz w:val="22"/>
              </w:rPr>
              <w:t>MBSD Electronic Pool Notification (EPN) messaging and good delivery</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FICC-MBSD-09</w:t>
            </w:r>
          </w:p>
        </w:tc>
        <w:tc>
          <w:tcPr>
            <w:tcW w:type="dxa" w:w="2340"/>
            <w:vAlign w:val="center"/>
          </w:tcPr>
          <w:p>
            <w:pPr>
              <w:keepNext w:val="0"/>
              <w:spacing w:before="0" w:after="80" w:line="259" w:lineRule="auto"/>
            </w:pPr>
            <w:r>
              <w:rPr>
                <w:rFonts w:ascii="Calibri" w:hAnsi="Calibri" w:eastAsia="Hiragino Sans GB"/>
                <w:b w:val="0"/>
                <w:color w:val="000000"/>
                <w:sz w:val="22"/>
              </w:rPr>
              <w:t>A cyber threat targets the pool-notification messaging rail or its users</w:t>
            </w:r>
          </w:p>
        </w:tc>
        <w:tc>
          <w:tcPr>
            <w:tcW w:type="dxa" w:w="2340"/>
            <w:vAlign w:val="center"/>
          </w:tcPr>
          <w:p>
            <w:pPr>
              <w:keepNext w:val="0"/>
              <w:spacing w:before="0" w:after="80" w:line="259" w:lineRule="auto"/>
            </w:pPr>
            <w:r>
              <w:rPr>
                <w:rFonts w:ascii="Calibri" w:hAnsi="Calibri" w:eastAsia="Hiragino Sans GB"/>
                <w:b w:val="0"/>
                <w:color w:val="000000"/>
                <w:sz w:val="22"/>
              </w:rPr>
              <w:t>EPN users must maintain a cybersecurity program and confirmation; a cyber event can impair message submission or receipt and the Corporation can decline to act on non-conforming messages</w:t>
            </w:r>
          </w:p>
        </w:tc>
        <w:tc>
          <w:tcPr>
            <w:tcW w:type="dxa" w:w="2340"/>
            <w:vAlign w:val="center"/>
          </w:tcPr>
          <w:p>
            <w:pPr>
              <w:keepNext w:val="0"/>
              <w:spacing w:before="0" w:after="80" w:line="259" w:lineRule="auto"/>
            </w:pPr>
            <w:r>
              <w:rPr>
                <w:rFonts w:ascii="Calibri" w:hAnsi="Calibri" w:eastAsia="Hiragino Sans GB"/>
                <w:b w:val="0"/>
                <w:color w:val="000000"/>
                <w:sz w:val="22"/>
              </w:rPr>
              <w:t>MBSD EPN cybersecurity and message eligibility</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FICC-GSD-11</w:t>
            </w:r>
          </w:p>
        </w:tc>
        <w:tc>
          <w:tcPr>
            <w:tcW w:type="dxa" w:w="2340"/>
            <w:vAlign w:val="center"/>
          </w:tcPr>
          <w:p>
            <w:pPr>
              <w:keepNext w:val="0"/>
              <w:spacing w:before="0" w:after="80" w:line="259" w:lineRule="auto"/>
            </w:pPr>
            <w:r>
              <w:rPr>
                <w:rFonts w:ascii="Calibri" w:hAnsi="Calibri" w:eastAsia="Hiragino Sans GB"/>
                <w:b w:val="0"/>
                <w:color w:val="000000"/>
                <w:sz w:val="22"/>
              </w:rPr>
              <w:t>A buy-side executing-firm customer (for example a hedge fund) comes under stress or fails</w:t>
            </w:r>
          </w:p>
        </w:tc>
        <w:tc>
          <w:tcPr>
            <w:tcW w:type="dxa" w:w="2340"/>
            <w:vAlign w:val="center"/>
          </w:tcPr>
          <w:p>
            <w:pPr>
              <w:keepNext w:val="0"/>
              <w:spacing w:before="0" w:after="80" w:line="259" w:lineRule="auto"/>
            </w:pPr>
            <w:r>
              <w:rPr>
                <w:rFonts w:ascii="Calibri" w:hAnsi="Calibri" w:eastAsia="Hiragino Sans GB"/>
                <w:b w:val="0"/>
                <w:color w:val="000000"/>
                <w:sz w:val="22"/>
              </w:rPr>
              <w:t>The Agent Clearing Member that submitted the customer’s trades remains responsible to the Corporation for them, so the stress is concentrated on that agent member</w:t>
            </w:r>
          </w:p>
        </w:tc>
        <w:tc>
          <w:tcPr>
            <w:tcW w:type="dxa" w:w="2340"/>
            <w:vAlign w:val="center"/>
          </w:tcPr>
          <w:p>
            <w:pPr>
              <w:keepNext w:val="0"/>
              <w:spacing w:before="0" w:after="80" w:line="259" w:lineRule="auto"/>
            </w:pPr>
            <w:r>
              <w:rPr>
                <w:rFonts w:ascii="Calibri" w:hAnsi="Calibri" w:eastAsia="Hiragino Sans GB"/>
                <w:b w:val="0"/>
                <w:color w:val="000000"/>
                <w:sz w:val="22"/>
              </w:rPr>
              <w:t>GSD Agent Clearing Service</w:t>
            </w:r>
          </w:p>
        </w:tc>
      </w:tr>
    </w:tbl>
    <w:p>
      <w:pPr>
        <w:pStyle w:val="Heading2"/>
      </w:pPr>
      <w:r>
        <w:rPr>
          <w:rFonts w:ascii="Calibri" w:hAnsi="Calibri" w:eastAsia="Hiragino Sans GB"/>
          <w:color w:val="000000"/>
        </w:rPr>
        <w:t>ECS Additions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ECS-NSCC-04</w:t>
            </w:r>
          </w:p>
        </w:tc>
        <w:tc>
          <w:tcPr>
            <w:tcW w:type="dxa" w:w="2340"/>
            <w:vAlign w:val="center"/>
          </w:tcPr>
          <w:p>
            <w:pPr>
              <w:keepNext w:val="0"/>
              <w:spacing w:before="0" w:after="80" w:line="259" w:lineRule="auto"/>
            </w:pPr>
            <w:r>
              <w:rPr>
                <w:rFonts w:ascii="Calibri" w:hAnsi="Calibri" w:eastAsia="Hiragino Sans GB"/>
                <w:b w:val="0"/>
                <w:color w:val="000000"/>
                <w:sz w:val="22"/>
              </w:rPr>
              <w:t>Large concentrated positions at a member</w:t>
            </w:r>
          </w:p>
        </w:tc>
        <w:tc>
          <w:tcPr>
            <w:tcW w:type="dxa" w:w="2340"/>
            <w:vAlign w:val="center"/>
          </w:tcPr>
          <w:p>
            <w:pPr>
              <w:keepNext w:val="0"/>
              <w:spacing w:before="0" w:after="80" w:line="259" w:lineRule="auto"/>
            </w:pPr>
            <w:r>
              <w:rPr>
                <w:rFonts w:ascii="Calibri" w:hAnsi="Calibri" w:eastAsia="Hiragino Sans GB"/>
                <w:b w:val="0"/>
                <w:color w:val="000000"/>
                <w:sz w:val="22"/>
              </w:rPr>
              <w:t>Member capital or liquidity is strained</w:t>
            </w:r>
          </w:p>
        </w:tc>
        <w:tc>
          <w:tcPr>
            <w:tcW w:type="dxa" w:w="2340"/>
            <w:vAlign w:val="center"/>
          </w:tcPr>
          <w:p>
            <w:pPr>
              <w:keepNext w:val="0"/>
              <w:spacing w:before="0" w:after="80" w:line="259" w:lineRule="auto"/>
            </w:pPr>
            <w:r>
              <w:rPr>
                <w:rFonts w:ascii="Calibri" w:hAnsi="Calibri" w:eastAsia="Hiragino Sans GB"/>
                <w:b w:val="0"/>
                <w:color w:val="000000"/>
                <w:sz w:val="22"/>
              </w:rPr>
              <w:t>NSCC raises that member's requirements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ECS-NSCC-05</w:t>
            </w:r>
          </w:p>
        </w:tc>
        <w:tc>
          <w:tcPr>
            <w:tcW w:type="dxa" w:w="2340"/>
            <w:vAlign w:val="center"/>
          </w:tcPr>
          <w:p>
            <w:pPr>
              <w:keepNext w:val="0"/>
              <w:spacing w:before="0" w:after="80" w:line="259" w:lineRule="auto"/>
            </w:pPr>
            <w:r>
              <w:rPr>
                <w:rFonts w:ascii="Calibri" w:hAnsi="Calibri" w:eastAsia="Hiragino Sans GB"/>
                <w:b w:val="0"/>
                <w:color w:val="000000"/>
                <w:sz w:val="22"/>
              </w:rPr>
              <w:t>A large intraday payment or liquidity stress hits the equity market</w:t>
            </w:r>
          </w:p>
        </w:tc>
        <w:tc>
          <w:tcPr>
            <w:tcW w:type="dxa" w:w="2340"/>
            <w:vAlign w:val="center"/>
          </w:tcPr>
          <w:p>
            <w:pPr>
              <w:keepNext w:val="0"/>
              <w:spacing w:before="0" w:after="80" w:line="259" w:lineRule="auto"/>
            </w:pPr>
            <w:r>
              <w:rPr>
                <w:rFonts w:ascii="Calibri" w:hAnsi="Calibri" w:eastAsia="Hiragino Sans GB"/>
                <w:b w:val="0"/>
                <w:color w:val="000000"/>
                <w:sz w:val="22"/>
              </w:rPr>
              <w:t>The Corporation’s daily liquidity need rises, so it can call Supplemental Liquidity Deposits from members (and affiliated families) with the largest liquidity exposure</w:t>
            </w:r>
          </w:p>
        </w:tc>
        <w:tc>
          <w:tcPr>
            <w:tcW w:type="dxa" w:w="2340"/>
            <w:vAlign w:val="center"/>
          </w:tcPr>
          <w:p>
            <w:pPr>
              <w:keepNext w:val="0"/>
              <w:spacing w:before="0" w:after="80" w:line="259" w:lineRule="auto"/>
            </w:pPr>
            <w:r>
              <w:rPr>
                <w:rFonts w:ascii="Calibri" w:hAnsi="Calibri" w:eastAsia="Hiragino Sans GB"/>
                <w:b w:val="0"/>
                <w:color w:val="000000"/>
                <w:sz w:val="22"/>
              </w:rPr>
              <w:t>NSCC supplemental liquidity deposits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ECS-NSCC-07</w:t>
            </w:r>
          </w:p>
        </w:tc>
        <w:tc>
          <w:tcPr>
            <w:tcW w:type="dxa" w:w="2340"/>
            <w:vAlign w:val="center"/>
          </w:tcPr>
          <w:p>
            <w:pPr>
              <w:keepNext w:val="0"/>
              <w:spacing w:before="0" w:after="80" w:line="259" w:lineRule="auto"/>
            </w:pPr>
            <w:r>
              <w:rPr>
                <w:rFonts w:ascii="Calibri" w:hAnsi="Calibri" w:eastAsia="Hiragino Sans GB"/>
                <w:b w:val="0"/>
                <w:color w:val="000000"/>
                <w:sz w:val="22"/>
              </w:rPr>
              <w:t>A settling bank has an operational or credit problem</w:t>
            </w:r>
          </w:p>
        </w:tc>
        <w:tc>
          <w:tcPr>
            <w:tcW w:type="dxa" w:w="2340"/>
            <w:vAlign w:val="center"/>
          </w:tcPr>
          <w:p>
            <w:pPr>
              <w:keepNext w:val="0"/>
              <w:spacing w:before="0" w:after="80" w:line="259" w:lineRule="auto"/>
            </w:pPr>
            <w:r>
              <w:rPr>
                <w:rFonts w:ascii="Calibri" w:hAnsi="Calibri" w:eastAsia="Hiragino Sans GB"/>
                <w:b w:val="0"/>
                <w:color w:val="000000"/>
                <w:sz w:val="22"/>
              </w:rPr>
              <w:t>The settling bank refuses or fails to settle a member’s net-net balance over Fedwire, so NSCC money settlement for that member cannot complete on time</w:t>
            </w:r>
          </w:p>
        </w:tc>
        <w:tc>
          <w:tcPr>
            <w:tcW w:type="dxa" w:w="2340"/>
            <w:vAlign w:val="center"/>
          </w:tcPr>
          <w:p>
            <w:pPr>
              <w:keepNext w:val="0"/>
              <w:spacing w:before="0" w:after="80" w:line="259" w:lineRule="auto"/>
            </w:pPr>
            <w:r>
              <w:rPr>
                <w:rFonts w:ascii="Calibri" w:hAnsi="Calibri" w:eastAsia="Hiragino Sans GB"/>
                <w:b w:val="0"/>
                <w:color w:val="000000"/>
                <w:sz w:val="22"/>
              </w:rPr>
              <w:t>NSCC settling-bank money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ECS-NSCC-08</w:t>
            </w:r>
          </w:p>
        </w:tc>
        <w:tc>
          <w:tcPr>
            <w:tcW w:type="dxa" w:w="2340"/>
            <w:vAlign w:val="center"/>
          </w:tcPr>
          <w:p>
            <w:pPr>
              <w:keepNext w:val="0"/>
              <w:spacing w:before="0" w:after="80" w:line="259" w:lineRule="auto"/>
            </w:pPr>
            <w:r>
              <w:rPr>
                <w:rFonts w:ascii="Calibri" w:hAnsi="Calibri" w:eastAsia="Hiragino Sans GB"/>
                <w:b w:val="0"/>
                <w:color w:val="000000"/>
                <w:sz w:val="22"/>
              </w:rPr>
              <w:t>A retail broker fails or exits abruptly</w:t>
            </w:r>
          </w:p>
        </w:tc>
        <w:tc>
          <w:tcPr>
            <w:tcW w:type="dxa" w:w="2340"/>
            <w:vAlign w:val="center"/>
          </w:tcPr>
          <w:p>
            <w:pPr>
              <w:keepNext w:val="0"/>
              <w:spacing w:before="0" w:after="80" w:line="259" w:lineRule="auto"/>
            </w:pPr>
            <w:r>
              <w:rPr>
                <w:rFonts w:ascii="Calibri" w:hAnsi="Calibri" w:eastAsia="Hiragino Sans GB"/>
                <w:b w:val="0"/>
                <w:color w:val="000000"/>
                <w:sz w:val="22"/>
              </w:rPr>
              <w:t>A wave of customer accounts is moved through the Automated Customer Account Transfer Service (ACATS) within fixed timeframes, concentrating transfer and settlement activity</w:t>
            </w:r>
          </w:p>
        </w:tc>
        <w:tc>
          <w:tcPr>
            <w:tcW w:type="dxa" w:w="2340"/>
            <w:vAlign w:val="center"/>
          </w:tcPr>
          <w:p>
            <w:pPr>
              <w:keepNext w:val="0"/>
              <w:spacing w:before="0" w:after="80" w:line="259" w:lineRule="auto"/>
            </w:pPr>
            <w:r>
              <w:rPr>
                <w:rFonts w:ascii="Calibri" w:hAnsi="Calibri" w:eastAsia="Hiragino Sans GB"/>
                <w:b w:val="0"/>
                <w:color w:val="000000"/>
                <w:sz w:val="22"/>
              </w:rPr>
              <w:t>NSCC ACATS customer account transfers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ECS-NSCC-09</w:t>
            </w:r>
          </w:p>
        </w:tc>
        <w:tc>
          <w:tcPr>
            <w:tcW w:type="dxa" w:w="2340"/>
            <w:vAlign w:val="center"/>
          </w:tcPr>
          <w:p>
            <w:pPr>
              <w:keepNext w:val="0"/>
              <w:spacing w:before="0" w:after="80" w:line="259" w:lineRule="auto"/>
            </w:pPr>
            <w:r>
              <w:rPr>
                <w:rFonts w:ascii="Calibri" w:hAnsi="Calibri" w:eastAsia="Hiragino Sans GB"/>
                <w:b w:val="0"/>
                <w:color w:val="000000"/>
                <w:sz w:val="22"/>
              </w:rPr>
              <w:t>Securities-financing (repo / stock-loan) markets come under stress</w:t>
            </w:r>
          </w:p>
        </w:tc>
        <w:tc>
          <w:tcPr>
            <w:tcW w:type="dxa" w:w="2340"/>
            <w:vAlign w:val="center"/>
          </w:tcPr>
          <w:p>
            <w:pPr>
              <w:keepNext w:val="0"/>
              <w:spacing w:before="0" w:after="80" w:line="259" w:lineRule="auto"/>
            </w:pPr>
            <w:r>
              <w:rPr>
                <w:rFonts w:ascii="Calibri" w:hAnsi="Calibri" w:eastAsia="Hiragino Sans GB"/>
                <w:b w:val="0"/>
                <w:color w:val="000000"/>
                <w:sz w:val="22"/>
              </w:rPr>
              <w:t>Novated Securities Financing Transactions in the SFT clearing service reprice and remargin, so member collateral and settlement obligations on the SFT book move sharply</w:t>
            </w:r>
          </w:p>
        </w:tc>
        <w:tc>
          <w:tcPr>
            <w:tcW w:type="dxa" w:w="2340"/>
            <w:vAlign w:val="center"/>
          </w:tcPr>
          <w:p>
            <w:pPr>
              <w:keepNext w:val="0"/>
              <w:spacing w:before="0" w:after="80" w:line="259" w:lineRule="auto"/>
            </w:pPr>
            <w:r>
              <w:rPr>
                <w:rFonts w:ascii="Calibri" w:hAnsi="Calibri" w:eastAsia="Hiragino Sans GB"/>
                <w:b w:val="0"/>
                <w:color w:val="000000"/>
                <w:sz w:val="22"/>
              </w:rPr>
              <w:t>NSCC Securities Financing Transaction clearing service</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ECS-DTC-01</w:t>
            </w:r>
          </w:p>
        </w:tc>
        <w:tc>
          <w:tcPr>
            <w:tcW w:type="dxa" w:w="2340"/>
            <w:vAlign w:val="center"/>
          </w:tcPr>
          <w:p>
            <w:pPr>
              <w:keepNext w:val="0"/>
              <w:spacing w:before="0" w:after="80" w:line="259" w:lineRule="auto"/>
            </w:pPr>
            <w:r>
              <w:rPr>
                <w:rFonts w:ascii="Calibri" w:hAnsi="Calibri" w:eastAsia="Hiragino Sans GB"/>
                <w:b w:val="0"/>
                <w:color w:val="000000"/>
                <w:sz w:val="22"/>
              </w:rPr>
              <w:t>A money-market issuer or its issuing/paying agent has a funding problem</w:t>
            </w:r>
          </w:p>
        </w:tc>
        <w:tc>
          <w:tcPr>
            <w:tcW w:type="dxa" w:w="2340"/>
            <w:vAlign w:val="center"/>
          </w:tcPr>
          <w:p>
            <w:pPr>
              <w:keepNext w:val="0"/>
              <w:spacing w:before="0" w:after="80" w:line="259" w:lineRule="auto"/>
            </w:pPr>
            <w:r>
              <w:rPr>
                <w:rFonts w:ascii="Calibri" w:hAnsi="Calibri" w:eastAsia="Hiragino Sans GB"/>
                <w:b w:val="0"/>
                <w:color w:val="000000"/>
                <w:sz w:val="22"/>
              </w:rPr>
              <w:t>The issuing and paying agent cannot give the MMI funding acknowledgment for the day’s presentments, so MMI maturity and issuance settlement for that acronym stalls</w:t>
            </w:r>
          </w:p>
        </w:tc>
        <w:tc>
          <w:tcPr>
            <w:tcW w:type="dxa" w:w="2340"/>
            <w:vAlign w:val="center"/>
          </w:tcPr>
          <w:p>
            <w:pPr>
              <w:keepNext w:val="0"/>
              <w:spacing w:before="0" w:after="80" w:line="259" w:lineRule="auto"/>
            </w:pPr>
            <w:r>
              <w:rPr>
                <w:rFonts w:ascii="Calibri" w:hAnsi="Calibri" w:eastAsia="Hiragino Sans GB"/>
                <w:b w:val="0"/>
                <w:color w:val="000000"/>
                <w:sz w:val="22"/>
              </w:rPr>
              <w:t>DTC MMI settlement (funding acknowledgment)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ECS-DTC-03</w:t>
            </w:r>
          </w:p>
        </w:tc>
        <w:tc>
          <w:tcPr>
            <w:tcW w:type="dxa" w:w="2340"/>
            <w:vAlign w:val="center"/>
          </w:tcPr>
          <w:p>
            <w:pPr>
              <w:keepNext w:val="0"/>
              <w:spacing w:before="0" w:after="80" w:line="259" w:lineRule="auto"/>
            </w:pPr>
            <w:r>
              <w:rPr>
                <w:rFonts w:ascii="Calibri" w:hAnsi="Calibri" w:eastAsia="Hiragino Sans GB"/>
                <w:b w:val="0"/>
                <w:color w:val="000000"/>
                <w:sz w:val="22"/>
              </w:rPr>
              <w:t>Market-wide disruption (exchange halt, banking moratorium, or declared emergency)</w:t>
            </w:r>
          </w:p>
        </w:tc>
        <w:tc>
          <w:tcPr>
            <w:tcW w:type="dxa" w:w="2340"/>
            <w:vAlign w:val="center"/>
          </w:tcPr>
          <w:p>
            <w:pPr>
              <w:keepNext w:val="0"/>
              <w:spacing w:before="0" w:after="80" w:line="259" w:lineRule="auto"/>
            </w:pPr>
            <w:r>
              <w:rPr>
                <w:rFonts w:ascii="Calibri" w:hAnsi="Calibri" w:eastAsia="Hiragino Sans GB"/>
                <w:b w:val="0"/>
                <w:color w:val="000000"/>
                <w:sz w:val="22"/>
              </w:rPr>
              <w:t>The Corporation invokes its market-disruption / force-majeure powers to suspend, extend, or modify DTC settlement obligations and timeframes</w:t>
            </w:r>
          </w:p>
        </w:tc>
        <w:tc>
          <w:tcPr>
            <w:tcW w:type="dxa" w:w="2340"/>
            <w:vAlign w:val="center"/>
          </w:tcPr>
          <w:p>
            <w:pPr>
              <w:keepNext w:val="0"/>
              <w:spacing w:before="0" w:after="80" w:line="259" w:lineRule="auto"/>
            </w:pPr>
            <w:r>
              <w:rPr>
                <w:rFonts w:ascii="Calibri" w:hAnsi="Calibri" w:eastAsia="Hiragino Sans GB"/>
                <w:b w:val="0"/>
                <w:color w:val="000000"/>
                <w:sz w:val="22"/>
              </w:rPr>
              <w:t>DTC settlement timeframes under market disruption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ECS-NSCC-10</w:t>
            </w:r>
          </w:p>
        </w:tc>
        <w:tc>
          <w:tcPr>
            <w:tcW w:type="dxa" w:w="2340"/>
            <w:vAlign w:val="center"/>
          </w:tcPr>
          <w:p>
            <w:pPr>
              <w:keepNext w:val="0"/>
              <w:spacing w:before="0" w:after="80" w:line="259" w:lineRule="auto"/>
            </w:pPr>
            <w:r>
              <w:rPr>
                <w:rFonts w:ascii="Calibri" w:hAnsi="Calibri" w:eastAsia="Hiragino Sans GB"/>
                <w:b w:val="0"/>
                <w:color w:val="000000"/>
                <w:sz w:val="22"/>
              </w:rPr>
              <w:t>Physical processing or back-office operations are disrupted (for example a site event)</w:t>
            </w:r>
          </w:p>
        </w:tc>
        <w:tc>
          <w:tcPr>
            <w:tcW w:type="dxa" w:w="2340"/>
            <w:vAlign w:val="center"/>
          </w:tcPr>
          <w:p>
            <w:pPr>
              <w:keepNext w:val="0"/>
              <w:spacing w:before="0" w:after="80" w:line="259" w:lineRule="auto"/>
            </w:pPr>
            <w:r>
              <w:rPr>
                <w:rFonts w:ascii="Calibri" w:hAnsi="Calibri" w:eastAsia="Hiragino Sans GB"/>
                <w:b w:val="0"/>
                <w:color w:val="000000"/>
                <w:sz w:val="22"/>
              </w:rPr>
              <w:t>Envelope Settlement Service deliveries, money-only charges, and dividend/interest claims back up, delaying associated money settlement</w:t>
            </w:r>
          </w:p>
        </w:tc>
        <w:tc>
          <w:tcPr>
            <w:tcW w:type="dxa" w:w="2340"/>
            <w:vAlign w:val="center"/>
          </w:tcPr>
          <w:p>
            <w:pPr>
              <w:keepNext w:val="0"/>
              <w:spacing w:before="0" w:after="80" w:line="259" w:lineRule="auto"/>
            </w:pPr>
            <w:r>
              <w:rPr>
                <w:rFonts w:ascii="Calibri" w:hAnsi="Calibri" w:eastAsia="Hiragino Sans GB"/>
                <w:b w:val="0"/>
                <w:color w:val="000000"/>
                <w:sz w:val="22"/>
              </w:rPr>
              <w:t>NSCC Envelope Settlement Service</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ECS-DTC-04</w:t>
            </w:r>
          </w:p>
        </w:tc>
        <w:tc>
          <w:tcPr>
            <w:tcW w:type="dxa" w:w="2340"/>
            <w:vAlign w:val="center"/>
          </w:tcPr>
          <w:p>
            <w:pPr>
              <w:keepNext w:val="0"/>
              <w:spacing w:before="0" w:after="80" w:line="259" w:lineRule="auto"/>
            </w:pPr>
            <w:r>
              <w:rPr>
                <w:rFonts w:ascii="Calibri" w:hAnsi="Calibri" w:eastAsia="Hiragino Sans GB"/>
                <w:b w:val="0"/>
                <w:color w:val="000000"/>
                <w:sz w:val="22"/>
              </w:rPr>
              <w:t>A disruption hits the Canadian market or the CDS link</w:t>
            </w:r>
          </w:p>
        </w:tc>
        <w:tc>
          <w:tcPr>
            <w:tcW w:type="dxa" w:w="2340"/>
            <w:vAlign w:val="center"/>
          </w:tcPr>
          <w:p>
            <w:pPr>
              <w:keepNext w:val="0"/>
              <w:spacing w:before="0" w:after="80" w:line="259" w:lineRule="auto"/>
            </w:pPr>
            <w:r>
              <w:rPr>
                <w:rFonts w:ascii="Calibri" w:hAnsi="Calibri" w:eastAsia="Hiragino Sans GB"/>
                <w:b w:val="0"/>
                <w:color w:val="000000"/>
                <w:sz w:val="22"/>
              </w:rPr>
              <w:t>Canadian-Link cross-border transactions through the DTC-CDS interface cannot settle normally, so cross-border delivery and settlement stall</w:t>
            </w:r>
          </w:p>
        </w:tc>
        <w:tc>
          <w:tcPr>
            <w:tcW w:type="dxa" w:w="2340"/>
            <w:vAlign w:val="center"/>
          </w:tcPr>
          <w:p>
            <w:pPr>
              <w:keepNext w:val="0"/>
              <w:spacing w:before="0" w:after="80" w:line="259" w:lineRule="auto"/>
            </w:pPr>
            <w:r>
              <w:rPr>
                <w:rFonts w:ascii="Calibri" w:hAnsi="Calibri" w:eastAsia="Hiragino Sans GB"/>
                <w:b w:val="0"/>
                <w:color w:val="000000"/>
                <w:sz w:val="22"/>
              </w:rPr>
              <w:t>DTC Canadian-Link cross-border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ECS-DTC-06</w:t>
            </w:r>
          </w:p>
        </w:tc>
        <w:tc>
          <w:tcPr>
            <w:tcW w:type="dxa" w:w="2340"/>
            <w:vAlign w:val="center"/>
          </w:tcPr>
          <w:p>
            <w:pPr>
              <w:keepNext w:val="0"/>
              <w:spacing w:before="0" w:after="80" w:line="259" w:lineRule="auto"/>
            </w:pPr>
            <w:r>
              <w:rPr>
                <w:rFonts w:ascii="Calibri" w:hAnsi="Calibri" w:eastAsia="Hiragino Sans GB"/>
                <w:b w:val="0"/>
                <w:color w:val="000000"/>
                <w:sz w:val="22"/>
              </w:rPr>
              <w:t>A sharp intraday price move or a participant liquidity squeeze</w:t>
            </w:r>
          </w:p>
        </w:tc>
        <w:tc>
          <w:tcPr>
            <w:tcW w:type="dxa" w:w="2340"/>
            <w:vAlign w:val="center"/>
          </w:tcPr>
          <w:p>
            <w:pPr>
              <w:keepNext w:val="0"/>
              <w:spacing w:before="0" w:after="80" w:line="259" w:lineRule="auto"/>
            </w:pPr>
            <w:r>
              <w:rPr>
                <w:rFonts w:ascii="Calibri" w:hAnsi="Calibri" w:eastAsia="Hiragino Sans GB"/>
                <w:b w:val="0"/>
                <w:color w:val="000000"/>
                <w:sz w:val="22"/>
              </w:rPr>
              <w:t>A receiving participant’s intraday net debit approaches its Net Debit Cap or its Collateral Monitor turns insufficient, so DTC blocks the DVP book-entry delivery until collateral or funding is restored</w:t>
            </w:r>
          </w:p>
        </w:tc>
        <w:tc>
          <w:tcPr>
            <w:tcW w:type="dxa" w:w="2340"/>
            <w:vAlign w:val="center"/>
          </w:tcPr>
          <w:p>
            <w:pPr>
              <w:keepNext w:val="0"/>
              <w:spacing w:before="0" w:after="80" w:line="259" w:lineRule="auto"/>
            </w:pPr>
            <w:r>
              <w:rPr>
                <w:rFonts w:ascii="Calibri" w:hAnsi="Calibri" w:eastAsia="Hiragino Sans GB"/>
                <w:b w:val="0"/>
                <w:color w:val="000000"/>
                <w:sz w:val="22"/>
              </w:rPr>
              <w:t>DTC risk management controls (Net Debit Cap and Collateral Monitor)</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ECS-NSCC-12</w:t>
            </w:r>
          </w:p>
        </w:tc>
        <w:tc>
          <w:tcPr>
            <w:tcW w:type="dxa" w:w="2340"/>
            <w:vAlign w:val="center"/>
          </w:tcPr>
          <w:p>
            <w:pPr>
              <w:keepNext w:val="0"/>
              <w:spacing w:before="0" w:after="80" w:line="259" w:lineRule="auto"/>
            </w:pPr>
            <w:r>
              <w:rPr>
                <w:rFonts w:ascii="Calibri" w:hAnsi="Calibri" w:eastAsia="Hiragino Sans GB"/>
                <w:b w:val="0"/>
                <w:color w:val="000000"/>
                <w:sz w:val="22"/>
              </w:rPr>
              <w:t>A foreign financial institution linked to NSCC comes under stress or its market is disrupted</w:t>
            </w:r>
          </w:p>
        </w:tc>
        <w:tc>
          <w:tcPr>
            <w:tcW w:type="dxa" w:w="2340"/>
            <w:vAlign w:val="center"/>
          </w:tcPr>
          <w:p>
            <w:pPr>
              <w:keepNext w:val="0"/>
              <w:spacing w:before="0" w:after="80" w:line="259" w:lineRule="auto"/>
            </w:pPr>
            <w:r>
              <w:rPr>
                <w:rFonts w:ascii="Calibri" w:hAnsi="Calibri" w:eastAsia="Hiragino Sans GB"/>
                <w:b w:val="0"/>
                <w:color w:val="000000"/>
                <w:sz w:val="22"/>
              </w:rPr>
              <w:t>Cross-border link transactions between that foreign institution’s participants and NSCC Members cannot clear or settle normally under the International Links arrangement</w:t>
            </w:r>
          </w:p>
        </w:tc>
        <w:tc>
          <w:tcPr>
            <w:tcW w:type="dxa" w:w="2340"/>
            <w:vAlign w:val="center"/>
          </w:tcPr>
          <w:p>
            <w:pPr>
              <w:keepNext w:val="0"/>
              <w:spacing w:before="0" w:after="80" w:line="259" w:lineRule="auto"/>
            </w:pPr>
            <w:r>
              <w:rPr>
                <w:rFonts w:ascii="Calibri" w:hAnsi="Calibri" w:eastAsia="Hiragino Sans GB"/>
                <w:b w:val="0"/>
                <w:color w:val="000000"/>
                <w:sz w:val="22"/>
              </w:rPr>
              <w:t>NSCC International Links</w:t>
            </w:r>
          </w:p>
        </w:tc>
      </w:tr>
    </w:tbl>
    <w:p>
      <w:pPr>
        <w:pStyle w:val="Heading2"/>
      </w:pPr>
      <w:r>
        <w:rPr>
          <w:rFonts w:ascii="Calibri" w:hAnsi="Calibri" w:eastAsia="Hiragino Sans GB"/>
          <w:color w:val="000000"/>
        </w:rPr>
        <w:t>Asset Services Additions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AssetSvc-DTC-01</w:t>
            </w:r>
          </w:p>
        </w:tc>
        <w:tc>
          <w:tcPr>
            <w:tcW w:type="dxa" w:w="2340"/>
            <w:vAlign w:val="center"/>
          </w:tcPr>
          <w:p>
            <w:pPr>
              <w:keepNext w:val="0"/>
              <w:spacing w:before="0" w:after="80" w:line="259" w:lineRule="auto"/>
            </w:pPr>
            <w:r>
              <w:rPr>
                <w:rFonts w:ascii="Calibri" w:hAnsi="Calibri" w:eastAsia="Hiragino Sans GB"/>
                <w:b w:val="0"/>
                <w:color w:val="000000"/>
                <w:sz w:val="22"/>
              </w:rPr>
              <w:t>A regulator halts or suspends trading in a security, or fraud is identified</w:t>
            </w:r>
          </w:p>
        </w:tc>
        <w:tc>
          <w:tcPr>
            <w:tcW w:type="dxa" w:w="2340"/>
            <w:vAlign w:val="center"/>
          </w:tcPr>
          <w:p>
            <w:pPr>
              <w:keepNext w:val="0"/>
              <w:spacing w:before="0" w:after="80" w:line="259" w:lineRule="auto"/>
            </w:pPr>
            <w:r>
              <w:rPr>
                <w:rFonts w:ascii="Calibri" w:hAnsi="Calibri" w:eastAsia="Hiragino Sans GB"/>
                <w:b w:val="0"/>
                <w:color w:val="000000"/>
                <w:sz w:val="22"/>
              </w:rPr>
              <w:t>The Corporation imposes a Deposit Chill or Global Lock, restricting deposits or book-entry services for that security across all participants</w:t>
            </w:r>
          </w:p>
        </w:tc>
        <w:tc>
          <w:tcPr>
            <w:tcW w:type="dxa" w:w="2340"/>
            <w:vAlign w:val="center"/>
          </w:tcPr>
          <w:p>
            <w:pPr>
              <w:keepNext w:val="0"/>
              <w:spacing w:before="0" w:after="80" w:line="259" w:lineRule="auto"/>
            </w:pPr>
            <w:r>
              <w:rPr>
                <w:rFonts w:ascii="Calibri" w:hAnsi="Calibri" w:eastAsia="Hiragino Sans GB"/>
                <w:b w:val="0"/>
                <w:color w:val="000000"/>
                <w:sz w:val="22"/>
              </w:rPr>
              <w:t>DTC deposit chills and global locks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AssetSvc-DTC-02</w:t>
            </w:r>
          </w:p>
        </w:tc>
        <w:tc>
          <w:tcPr>
            <w:tcW w:type="dxa" w:w="2340"/>
            <w:vAlign w:val="center"/>
          </w:tcPr>
          <w:p>
            <w:pPr>
              <w:keepNext w:val="0"/>
              <w:spacing w:before="0" w:after="80" w:line="259" w:lineRule="auto"/>
            </w:pPr>
            <w:r>
              <w:rPr>
                <w:rFonts w:ascii="Calibri" w:hAnsi="Calibri" w:eastAsia="Hiragino Sans GB"/>
                <w:b w:val="0"/>
                <w:color w:val="000000"/>
                <w:sz w:val="22"/>
              </w:rPr>
              <w:t>An issuer or transfer agent has transfer or registration problems</w:t>
            </w:r>
          </w:p>
        </w:tc>
        <w:tc>
          <w:tcPr>
            <w:tcW w:type="dxa" w:w="2340"/>
            <w:vAlign w:val="center"/>
          </w:tcPr>
          <w:p>
            <w:pPr>
              <w:keepNext w:val="0"/>
              <w:spacing w:before="0" w:after="80" w:line="259" w:lineRule="auto"/>
            </w:pPr>
            <w:r>
              <w:rPr>
                <w:rFonts w:ascii="Calibri" w:hAnsi="Calibri" w:eastAsia="Hiragino Sans GB"/>
                <w:b w:val="0"/>
                <w:color w:val="000000"/>
                <w:sz w:val="22"/>
              </w:rPr>
              <w:t>The Corporation may decline to credit deposits of that issue until registration into its nominee is confirmed, so custody and asset-servicing of the affected security are disrupted</w:t>
            </w:r>
          </w:p>
        </w:tc>
        <w:tc>
          <w:tcPr>
            <w:tcW w:type="dxa" w:w="2340"/>
            <w:vAlign w:val="center"/>
          </w:tcPr>
          <w:p>
            <w:pPr>
              <w:keepNext w:val="0"/>
              <w:spacing w:before="0" w:after="80" w:line="259" w:lineRule="auto"/>
            </w:pPr>
            <w:r>
              <w:rPr>
                <w:rFonts w:ascii="Calibri" w:hAnsi="Calibri" w:eastAsia="Hiragino Sans GB"/>
                <w:b w:val="0"/>
                <w:color w:val="000000"/>
                <w:sz w:val="22"/>
              </w:rPr>
              <w:t>DTC custody / deposit and transfer services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AssetSvc-DTC-03</w:t>
            </w:r>
          </w:p>
        </w:tc>
        <w:tc>
          <w:tcPr>
            <w:tcW w:type="dxa" w:w="2340"/>
            <w:vAlign w:val="center"/>
          </w:tcPr>
          <w:p>
            <w:pPr>
              <w:keepNext w:val="0"/>
              <w:spacing w:before="0" w:after="80" w:line="259" w:lineRule="auto"/>
            </w:pPr>
            <w:r>
              <w:rPr>
                <w:rFonts w:ascii="Calibri" w:hAnsi="Calibri" w:eastAsia="Hiragino Sans GB"/>
                <w:b w:val="0"/>
                <w:color w:val="000000"/>
                <w:sz w:val="22"/>
              </w:rPr>
              <w:t>A derivatives clearing organization or futures broker comes under stress</w:t>
            </w:r>
          </w:p>
        </w:tc>
        <w:tc>
          <w:tcPr>
            <w:tcW w:type="dxa" w:w="2340"/>
            <w:vAlign w:val="center"/>
          </w:tcPr>
          <w:p>
            <w:pPr>
              <w:keepNext w:val="0"/>
              <w:spacing w:before="0" w:after="80" w:line="259" w:lineRule="auto"/>
            </w:pPr>
            <w:r>
              <w:rPr>
                <w:rFonts w:ascii="Calibri" w:hAnsi="Calibri" w:eastAsia="Hiragino Sans GB"/>
                <w:b w:val="0"/>
                <w:color w:val="000000"/>
                <w:sz w:val="22"/>
              </w:rPr>
              <w:t>Instructions on swap-margin segregated accounts (pledgee / pledgor access) are disrupted, affecting the collateral held in those segregated accounts</w:t>
            </w:r>
          </w:p>
        </w:tc>
        <w:tc>
          <w:tcPr>
            <w:tcW w:type="dxa" w:w="2340"/>
            <w:vAlign w:val="center"/>
          </w:tcPr>
          <w:p>
            <w:pPr>
              <w:keepNext w:val="0"/>
              <w:spacing w:before="0" w:after="80" w:line="259" w:lineRule="auto"/>
            </w:pPr>
            <w:r>
              <w:rPr>
                <w:rFonts w:ascii="Calibri" w:hAnsi="Calibri" w:eastAsia="Hiragino Sans GB"/>
                <w:b w:val="0"/>
                <w:color w:val="000000"/>
                <w:sz w:val="22"/>
              </w:rPr>
              <w:t>DTC segregated accounts for swap margin</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AssetSvc-DTC-04</w:t>
            </w:r>
          </w:p>
        </w:tc>
        <w:tc>
          <w:tcPr>
            <w:tcW w:type="dxa" w:w="2340"/>
            <w:vAlign w:val="center"/>
          </w:tcPr>
          <w:p>
            <w:pPr>
              <w:keepNext w:val="0"/>
              <w:spacing w:before="0" w:after="80" w:line="259" w:lineRule="auto"/>
            </w:pPr>
            <w:r>
              <w:rPr>
                <w:rFonts w:ascii="Calibri" w:hAnsi="Calibri" w:eastAsia="Hiragino Sans GB"/>
                <w:b w:val="0"/>
                <w:color w:val="000000"/>
                <w:sz w:val="22"/>
              </w:rPr>
              <w:t>A futures commission merchant that holds customer property fails or is stressed</w:t>
            </w:r>
          </w:p>
        </w:tc>
        <w:tc>
          <w:tcPr>
            <w:tcW w:type="dxa" w:w="2340"/>
            <w:vAlign w:val="center"/>
          </w:tcPr>
          <w:p>
            <w:pPr>
              <w:keepNext w:val="0"/>
              <w:spacing w:before="0" w:after="80" w:line="259" w:lineRule="auto"/>
            </w:pPr>
            <w:r>
              <w:rPr>
                <w:rFonts w:ascii="Calibri" w:hAnsi="Calibri" w:eastAsia="Hiragino Sans GB"/>
                <w:b w:val="0"/>
                <w:color w:val="000000"/>
                <w:sz w:val="22"/>
              </w:rPr>
              <w:t>Customer-property segregated accounts held under CFTC segregation rules must be moved or protected, concentrating activity on that custody flow</w:t>
            </w:r>
          </w:p>
        </w:tc>
        <w:tc>
          <w:tcPr>
            <w:tcW w:type="dxa" w:w="2340"/>
            <w:vAlign w:val="center"/>
          </w:tcPr>
          <w:p>
            <w:pPr>
              <w:keepNext w:val="0"/>
              <w:spacing w:before="0" w:after="80" w:line="259" w:lineRule="auto"/>
            </w:pPr>
            <w:r>
              <w:rPr>
                <w:rFonts w:ascii="Calibri" w:hAnsi="Calibri" w:eastAsia="Hiragino Sans GB"/>
                <w:b w:val="0"/>
                <w:color w:val="000000"/>
                <w:sz w:val="22"/>
              </w:rPr>
              <w:t>DTC segregated accounts for customer property</w:t>
            </w:r>
          </w:p>
        </w:tc>
      </w:tr>
    </w:tbl>
    <w:p>
      <w:pPr>
        <w:pStyle w:val="Heading2"/>
      </w:pPr>
      <w:r>
        <w:rPr>
          <w:rFonts w:ascii="Calibri" w:hAnsi="Calibri" w:eastAsia="Hiragino Sans GB"/>
          <w:color w:val="000000"/>
        </w:rPr>
        <w:t>WIS Additions</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ID</w:t>
            </w:r>
          </w:p>
        </w:tc>
        <w:tc>
          <w:tcPr>
            <w:tcW w:type="dxa" w:w="2340"/>
            <w:vAlign w:val="center"/>
            <w:shd w:fill="F2F2F2"/>
          </w:tcPr>
          <w:p>
            <w:pPr>
              <w:keepNext w:val="0"/>
              <w:spacing w:before="0" w:after="80" w:line="259" w:lineRule="auto"/>
            </w:pPr>
            <w:r>
              <w:rPr>
                <w:rFonts w:ascii="Calibri" w:hAnsi="Calibri" w:eastAsia="Hiragino Sans GB"/>
                <w:b/>
                <w:color w:val="000000"/>
                <w:sz w:val="22"/>
              </w:rPr>
              <w:t>World event</w:t>
            </w:r>
          </w:p>
        </w:tc>
        <w:tc>
          <w:tcPr>
            <w:tcW w:type="dxa" w:w="2340"/>
            <w:vAlign w:val="center"/>
            <w:shd w:fill="F2F2F2"/>
          </w:tcPr>
          <w:p>
            <w:pPr>
              <w:keepNext w:val="0"/>
              <w:spacing w:before="0" w:after="80" w:line="259" w:lineRule="auto"/>
            </w:pPr>
            <w:r>
              <w:rPr>
                <w:rFonts w:ascii="Calibri" w:hAnsi="Calibri" w:eastAsia="Hiragino Sans GB"/>
                <w:b/>
                <w:color w:val="000000"/>
                <w:sz w:val="22"/>
              </w:rPr>
              <w:t>Mechanism</w:t>
            </w:r>
          </w:p>
        </w:tc>
        <w:tc>
          <w:tcPr>
            <w:tcW w:type="dxa" w:w="2340"/>
            <w:vAlign w:val="center"/>
            <w:shd w:fill="F2F2F2"/>
          </w:tcPr>
          <w:p>
            <w:pPr>
              <w:keepNext w:val="0"/>
              <w:spacing w:before="0" w:after="80" w:line="259" w:lineRule="auto"/>
            </w:pPr>
            <w:r>
              <w:rPr>
                <w:rFonts w:ascii="Calibri" w:hAnsi="Calibri" w:eastAsia="Hiragino Sans GB"/>
                <w:b/>
                <w:color w:val="000000"/>
                <w:sz w:val="22"/>
              </w:rPr>
              <w:t>DTCC process touched</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WIS-NSCC-01</w:t>
            </w:r>
          </w:p>
        </w:tc>
        <w:tc>
          <w:tcPr>
            <w:tcW w:type="dxa" w:w="2340"/>
            <w:vAlign w:val="center"/>
          </w:tcPr>
          <w:p>
            <w:pPr>
              <w:keepNext w:val="0"/>
              <w:spacing w:before="0" w:after="80" w:line="259" w:lineRule="auto"/>
            </w:pPr>
            <w:r>
              <w:rPr>
                <w:rFonts w:ascii="Calibri" w:hAnsi="Calibri" w:eastAsia="Hiragino Sans GB"/>
                <w:b w:val="0"/>
                <w:color w:val="000000"/>
                <w:sz w:val="22"/>
              </w:rPr>
              <w:t>An insurance carrier or retirement-services member comes under stress</w:t>
            </w:r>
          </w:p>
        </w:tc>
        <w:tc>
          <w:tcPr>
            <w:tcW w:type="dxa" w:w="2340"/>
            <w:vAlign w:val="center"/>
          </w:tcPr>
          <w:p>
            <w:pPr>
              <w:keepNext w:val="0"/>
              <w:spacing w:before="0" w:after="80" w:line="259" w:lineRule="auto"/>
            </w:pPr>
            <w:r>
              <w:rPr>
                <w:rFonts w:ascii="Calibri" w:hAnsi="Calibri" w:eastAsia="Hiragino Sans GB"/>
                <w:b w:val="0"/>
                <w:color w:val="000000"/>
                <w:sz w:val="22"/>
              </w:rPr>
              <w:t>Insurance &amp; Retirement Solutions (I&amp;RS) data and the related I&amp;RS payments between members are disrupted, affecting that settlement flow for annuities, life insurance and retirement products</w:t>
            </w:r>
          </w:p>
        </w:tc>
        <w:tc>
          <w:tcPr>
            <w:tcW w:type="dxa" w:w="2340"/>
            <w:vAlign w:val="center"/>
          </w:tcPr>
          <w:p>
            <w:pPr>
              <w:keepNext w:val="0"/>
              <w:spacing w:before="0" w:after="80" w:line="259" w:lineRule="auto"/>
            </w:pPr>
            <w:r>
              <w:rPr>
                <w:rFonts w:ascii="Calibri" w:hAnsi="Calibri" w:eastAsia="Hiragino Sans GB"/>
                <w:b w:val="0"/>
                <w:color w:val="000000"/>
                <w:sz w:val="22"/>
              </w:rPr>
              <w:t>NSCC Insurance &amp; Retirement Solutions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WIS-NSCC-02</w:t>
            </w:r>
          </w:p>
        </w:tc>
        <w:tc>
          <w:tcPr>
            <w:tcW w:type="dxa" w:w="2340"/>
            <w:vAlign w:val="center"/>
          </w:tcPr>
          <w:p>
            <w:pPr>
              <w:keepNext w:val="0"/>
              <w:spacing w:before="0" w:after="80" w:line="259" w:lineRule="auto"/>
            </w:pPr>
            <w:r>
              <w:rPr>
                <w:rFonts w:ascii="Calibri" w:hAnsi="Calibri" w:eastAsia="Hiragino Sans GB"/>
                <w:b w:val="0"/>
                <w:color w:val="000000"/>
                <w:sz w:val="22"/>
              </w:rPr>
              <w:t>A stress or run hits mutual funds (large redemptions, a pricing or NAV problem)</w:t>
            </w:r>
          </w:p>
        </w:tc>
        <w:tc>
          <w:tcPr>
            <w:tcW w:type="dxa" w:w="2340"/>
            <w:vAlign w:val="center"/>
          </w:tcPr>
          <w:p>
            <w:pPr>
              <w:keepNext w:val="0"/>
              <w:spacing w:before="0" w:after="80" w:line="259" w:lineRule="auto"/>
            </w:pPr>
            <w:r>
              <w:rPr>
                <w:rFonts w:ascii="Calibri" w:hAnsi="Calibri" w:eastAsia="Hiragino Sans GB"/>
                <w:b w:val="0"/>
                <w:color w:val="000000"/>
                <w:sz w:val="22"/>
              </w:rPr>
              <w:t>Fund/SERV purchase and redemption orders and the associated money settlement between funds and distributors spike or break, straining that automated settlement flow</w:t>
            </w:r>
          </w:p>
        </w:tc>
        <w:tc>
          <w:tcPr>
            <w:tcW w:type="dxa" w:w="2340"/>
            <w:vAlign w:val="center"/>
          </w:tcPr>
          <w:p>
            <w:pPr>
              <w:keepNext w:val="0"/>
              <w:spacing w:before="0" w:after="80" w:line="259" w:lineRule="auto"/>
            </w:pPr>
            <w:r>
              <w:rPr>
                <w:rFonts w:ascii="Calibri" w:hAnsi="Calibri" w:eastAsia="Hiragino Sans GB"/>
                <w:b w:val="0"/>
                <w:color w:val="000000"/>
                <w:sz w:val="22"/>
              </w:rPr>
              <w:t>NSCC Fund/SERV mutual fund order and settlement</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WIS-NSCC-03</w:t>
            </w:r>
          </w:p>
        </w:tc>
        <w:tc>
          <w:tcPr>
            <w:tcW w:type="dxa" w:w="2340"/>
            <w:vAlign w:val="center"/>
          </w:tcPr>
          <w:p>
            <w:pPr>
              <w:keepNext w:val="0"/>
              <w:spacing w:before="0" w:after="80" w:line="259" w:lineRule="auto"/>
            </w:pPr>
            <w:r>
              <w:rPr>
                <w:rFonts w:ascii="Calibri" w:hAnsi="Calibri" w:eastAsia="Hiragino Sans GB"/>
                <w:b w:val="0"/>
                <w:color w:val="000000"/>
                <w:sz w:val="22"/>
              </w:rPr>
              <w:t>Private-markets / alternative investments come under stress (valuation, liquidity or a fund-administrator problem)</w:t>
            </w:r>
          </w:p>
        </w:tc>
        <w:tc>
          <w:tcPr>
            <w:tcW w:type="dxa" w:w="2340"/>
            <w:vAlign w:val="center"/>
          </w:tcPr>
          <w:p>
            <w:pPr>
              <w:keepNext w:val="0"/>
              <w:spacing w:before="0" w:after="80" w:line="259" w:lineRule="auto"/>
            </w:pPr>
            <w:r>
              <w:rPr>
                <w:rFonts w:ascii="Calibri" w:hAnsi="Calibri" w:eastAsia="Hiragino Sans GB"/>
                <w:b w:val="0"/>
                <w:color w:val="000000"/>
                <w:sz w:val="22"/>
              </w:rPr>
              <w:t>Alternative Investment Product (AIP) data and AIP payments between members are disrupted, affecting that private-markets settlement and reporting flow</w:t>
            </w:r>
          </w:p>
        </w:tc>
        <w:tc>
          <w:tcPr>
            <w:tcW w:type="dxa" w:w="2340"/>
            <w:vAlign w:val="center"/>
          </w:tcPr>
          <w:p>
            <w:pPr>
              <w:keepNext w:val="0"/>
              <w:spacing w:before="0" w:after="80" w:line="259" w:lineRule="auto"/>
            </w:pPr>
            <w:r>
              <w:rPr>
                <w:rFonts w:ascii="Calibri" w:hAnsi="Calibri" w:eastAsia="Hiragino Sans GB"/>
                <w:b w:val="0"/>
                <w:color w:val="000000"/>
                <w:sz w:val="22"/>
              </w:rPr>
              <w:t>NSCC Alternative Investment Product (AIP) service</w:t>
            </w:r>
          </w:p>
        </w:tc>
      </w:tr>
    </w:tbl>
    <w:p>
      <w:pPr>
        <w:pStyle w:val="Heading1"/>
      </w:pPr>
      <w:r>
        <w:rPr>
          <w:rFonts w:ascii="Calibri" w:hAnsi="Calibri" w:eastAsia="Hiragino Sans GB"/>
          <w:color w:val="000000"/>
        </w:rPr>
        <w:t>Complete Legacy Mapping</w:t>
      </w:r>
    </w:p>
    <w:p>
      <w:r>
        <w:rPr>
          <w:rFonts w:ascii="Calibri" w:hAnsi="Calibri" w:eastAsia="Hiragino Sans GB"/>
          <w:color w:val="000000"/>
        </w:rPr>
        <w:t>Legacy IDs refer to the v1 definitions used in the October 16 results. Revised v2 IDs continue in v3. Newly added chains have no legacy-test mapping and must not inherit historical results through an ID match.</w:t>
      </w:r>
    </w:p>
    <w:tbl>
      <w:tblPr>
        <w:tblStyle w:val="TableGrid"/>
        <w:tblW w:w="0" w:type="auto"/>
        <w:tblLayout w:type="fixed"/>
        <w:tblLook w:val="0420" w:firstRow="1" w:lastRow="0" w:firstColumn="0" w:lastColumn="0" w:noHBand="0" w:noVBand="1"/>
      </w:tblPr>
      <w:tblGrid>
        <w:gridCol w:w="1800"/>
        <w:gridCol w:w="2304"/>
        <w:gridCol w:w="5256"/>
      </w:tblGrid>
      <w:tr>
        <w:trPr>
          <w:cantSplit/>
          <w:tblHeader/>
        </w:trPr>
        <w:tc>
          <w:tcPr>
            <w:tcW w:type="dxa" w:w="1800"/>
            <w:vAlign w:val="center"/>
            <w:shd w:fill="F2F2F2"/>
          </w:tcPr>
          <w:p>
            <w:pPr>
              <w:keepNext w:val="0"/>
              <w:spacing w:before="0" w:after="80" w:line="259" w:lineRule="auto"/>
            </w:pPr>
            <w:r>
              <w:rPr>
                <w:rFonts w:ascii="Calibri" w:hAnsi="Calibri" w:eastAsia="Hiragino Sans GB"/>
                <w:b/>
                <w:color w:val="000000"/>
                <w:sz w:val="22"/>
              </w:rPr>
              <w:t>Legacy v1 ID</w:t>
            </w:r>
          </w:p>
        </w:tc>
        <w:tc>
          <w:tcPr>
            <w:tcW w:type="dxa" w:w="2304"/>
            <w:vAlign w:val="center"/>
            <w:shd w:fill="F2F2F2"/>
          </w:tcPr>
          <w:p>
            <w:pPr>
              <w:keepNext w:val="0"/>
              <w:spacing w:before="0" w:after="80" w:line="259" w:lineRule="auto"/>
            </w:pPr>
            <w:r>
              <w:rPr>
                <w:rFonts w:ascii="Calibri" w:hAnsi="Calibri" w:eastAsia="Hiragino Sans GB"/>
                <w:b/>
                <w:color w:val="000000"/>
              </w:rPr>
              <w:t>Revised v3 ID</w:t>
            </w:r>
          </w:p>
        </w:tc>
        <w:tc>
          <w:tcPr>
            <w:tcW w:type="dxa" w:w="5256"/>
            <w:vAlign w:val="center"/>
            <w:shd w:fill="F2F2F2"/>
          </w:tcPr>
          <w:p>
            <w:pPr>
              <w:keepNext w:val="0"/>
              <w:spacing w:before="0" w:after="80" w:line="259" w:lineRule="auto"/>
            </w:pPr>
            <w:r>
              <w:rPr>
                <w:rFonts w:ascii="Calibri" w:hAnsi="Calibri" w:eastAsia="Hiragino Sans GB"/>
                <w:b/>
                <w:color w:val="000000"/>
                <w:sz w:val="22"/>
              </w:rPr>
              <w:t>Decision and reason</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FICC-GSD-01</w:t>
            </w:r>
          </w:p>
        </w:tc>
        <w:tc>
          <w:tcPr>
            <w:tcW w:type="dxa" w:w="2304"/>
            <w:vAlign w:val="center"/>
          </w:tcPr>
          <w:p>
            <w:pPr>
              <w:keepNext w:val="0"/>
              <w:spacing w:before="0" w:after="80" w:line="259" w:lineRule="auto"/>
            </w:pPr>
            <w:r>
              <w:rPr>
                <w:rFonts w:ascii="Calibri" w:hAnsi="Calibri" w:eastAsia="Hiragino Sans GB"/>
                <w:b w:val="0"/>
                <w:color w:val="000000"/>
                <w:sz w:val="22"/>
              </w:rPr>
              <w:t>FICC-GSD-01</w:t>
            </w:r>
          </w:p>
        </w:tc>
        <w:tc>
          <w:tcPr>
            <w:tcW w:type="dxa" w:w="5256"/>
            <w:vAlign w:val="center"/>
          </w:tcPr>
          <w:p>
            <w:pPr>
              <w:keepNext w:val="0"/>
              <w:spacing w:before="0" w:after="80" w:line="259" w:lineRule="auto"/>
            </w:pPr>
            <w:r>
              <w:rPr>
                <w:rFonts w:ascii="Calibri" w:hAnsi="Calibri" w:eastAsia="Hiragino Sans GB"/>
                <w:b w:val="0"/>
                <w:color w:val="000000"/>
                <w:sz w:val="22"/>
              </w:rPr>
              <w:t>Aligned to margin requirements; retain the original test.</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FICC-GSD-02</w:t>
            </w:r>
          </w:p>
        </w:tc>
        <w:tc>
          <w:tcPr>
            <w:tcW w:type="dxa" w:w="2304"/>
            <w:vAlign w:val="center"/>
          </w:tcPr>
          <w:p>
            <w:pPr>
              <w:keepNext w:val="0"/>
              <w:spacing w:before="0" w:after="80" w:line="259" w:lineRule="auto"/>
            </w:pPr>
            <w:r>
              <w:rPr>
                <w:rFonts w:ascii="Calibri" w:hAnsi="Calibri" w:eastAsia="Hiragino Sans GB"/>
                <w:b w:val="0"/>
                <w:color w:val="000000"/>
                <w:sz w:val="22"/>
              </w:rPr>
              <w:t>FICC-GSD-02</w:t>
            </w:r>
          </w:p>
        </w:tc>
        <w:tc>
          <w:tcPr>
            <w:tcW w:type="dxa" w:w="5256"/>
            <w:vAlign w:val="center"/>
          </w:tcPr>
          <w:p>
            <w:pPr>
              <w:keepNext w:val="0"/>
              <w:spacing w:before="0" w:after="80" w:line="259" w:lineRule="auto"/>
            </w:pPr>
            <w:r>
              <w:rPr>
                <w:rFonts w:ascii="Calibri" w:hAnsi="Calibri" w:eastAsia="Hiragino Sans GB"/>
                <w:b w:val="0"/>
                <w:color w:val="000000"/>
                <w:sz w:val="22"/>
              </w:rPr>
              <w:t>Aligned to settlement liquidity; the spread result remains an indirect proxy.</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FICC-GSD-03</w:t>
            </w:r>
          </w:p>
        </w:tc>
        <w:tc>
          <w:tcPr>
            <w:tcW w:type="dxa" w:w="2304"/>
            <w:vAlign w:val="center"/>
          </w:tcPr>
          <w:p>
            <w:pPr>
              <w:keepNext w:val="0"/>
              <w:spacing w:before="0" w:after="80" w:line="259" w:lineRule="auto"/>
            </w:pPr>
            <w:r>
              <w:rPr>
                <w:rFonts w:ascii="Calibri" w:hAnsi="Calibri" w:eastAsia="Hiragino Sans GB"/>
                <w:b w:val="0"/>
                <w:color w:val="000000"/>
                <w:sz w:val="22"/>
              </w:rPr>
              <w:t>FICC-GSD-03</w:t>
            </w:r>
          </w:p>
        </w:tc>
        <w:tc>
          <w:tcPr>
            <w:tcW w:type="dxa" w:w="5256"/>
            <w:vAlign w:val="center"/>
          </w:tcPr>
          <w:p>
            <w:pPr>
              <w:keepNext w:val="0"/>
              <w:spacing w:before="0" w:after="80" w:line="259" w:lineRule="auto"/>
            </w:pPr>
            <w:r>
              <w:rPr>
                <w:rFonts w:ascii="Calibri" w:hAnsi="Calibri" w:eastAsia="Hiragino Sans GB"/>
                <w:b w:val="0"/>
                <w:color w:val="000000"/>
                <w:sz w:val="22"/>
              </w:rPr>
              <w:t>Aligned to onboarding and Sponsored activity; remove inevitable sponsor-concentration claims.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FICC-GSD-04</w:t>
            </w:r>
          </w:p>
        </w:tc>
        <w:tc>
          <w:tcPr>
            <w:tcW w:type="dxa" w:w="2304"/>
            <w:vAlign w:val="center"/>
          </w:tcPr>
          <w:p>
            <w:pPr>
              <w:keepNext w:val="0"/>
              <w:spacing w:before="0" w:after="80" w:line="259" w:lineRule="auto"/>
            </w:pPr>
            <w:r>
              <w:rPr>
                <w:rFonts w:ascii="Calibri" w:hAnsi="Calibri" w:eastAsia="Hiragino Sans GB"/>
                <w:b w:val="0"/>
                <w:color w:val="000000"/>
                <w:sz w:val="22"/>
              </w:rPr>
              <w:t>FICC-GSD-04</w:t>
              <w:br/>
              <w:t>FICC-GSD-06</w:t>
            </w:r>
          </w:p>
        </w:tc>
        <w:tc>
          <w:tcPr>
            <w:tcW w:type="dxa" w:w="5256"/>
            <w:vAlign w:val="center"/>
          </w:tcPr>
          <w:p>
            <w:pPr>
              <w:keepNext w:val="0"/>
              <w:spacing w:before="0" w:after="80" w:line="259" w:lineRule="auto"/>
            </w:pPr>
            <w:r>
              <w:rPr>
                <w:rFonts w:ascii="Calibri" w:hAnsi="Calibri" w:eastAsia="Hiragino Sans GB"/>
                <w:b w:val="0"/>
                <w:color w:val="000000"/>
                <w:sz w:val="22"/>
              </w:rPr>
              <w:t>Split credit deterioration from actual default; a downgrade does not directly imply mutualized losses.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FICC-MBSD-01</w:t>
            </w:r>
          </w:p>
        </w:tc>
        <w:tc>
          <w:tcPr>
            <w:tcW w:type="dxa" w:w="2304"/>
            <w:vAlign w:val="center"/>
          </w:tcPr>
          <w:p>
            <w:pPr>
              <w:keepNext w:val="0"/>
              <w:spacing w:before="0" w:after="80" w:line="259" w:lineRule="auto"/>
            </w:pPr>
            <w:r>
              <w:rPr>
                <w:rFonts w:ascii="Calibri" w:hAnsi="Calibri" w:eastAsia="Hiragino Sans GB"/>
                <w:b w:val="0"/>
                <w:color w:val="000000"/>
                <w:sz w:val="22"/>
              </w:rPr>
              <w:t>FICC-MBSD-01</w:t>
            </w:r>
          </w:p>
        </w:tc>
        <w:tc>
          <w:tcPr>
            <w:tcW w:type="dxa" w:w="5256"/>
            <w:vAlign w:val="center"/>
          </w:tcPr>
          <w:p>
            <w:pPr>
              <w:keepNext w:val="0"/>
              <w:spacing w:before="0" w:after="80" w:line="259" w:lineRule="auto"/>
            </w:pPr>
            <w:r>
              <w:rPr>
                <w:rFonts w:ascii="Calibri" w:hAnsi="Calibri" w:eastAsia="Hiragino Sans GB"/>
                <w:b w:val="0"/>
                <w:color w:val="000000"/>
                <w:sz w:val="22"/>
              </w:rPr>
              <w:t>Aligned to TBA prices and margin; retain proxy and test limitations.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FICC-GSD-05</w:t>
            </w:r>
          </w:p>
        </w:tc>
        <w:tc>
          <w:tcPr>
            <w:tcW w:type="dxa" w:w="2304"/>
            <w:vAlign w:val="center"/>
          </w:tcPr>
          <w:p>
            <w:pPr>
              <w:keepNext w:val="0"/>
              <w:spacing w:before="0" w:after="80" w:line="259" w:lineRule="auto"/>
            </w:pPr>
            <w:r>
              <w:rPr>
                <w:rFonts w:ascii="Calibri" w:hAnsi="Calibri" w:eastAsia="Hiragino Sans GB"/>
                <w:b w:val="0"/>
                <w:color w:val="000000"/>
                <w:sz w:val="22"/>
              </w:rPr>
              <w:t>TEAM-FICC-01</w:t>
            </w:r>
          </w:p>
        </w:tc>
        <w:tc>
          <w:tcPr>
            <w:tcW w:type="dxa" w:w="5256"/>
            <w:vAlign w:val="center"/>
          </w:tcPr>
          <w:p>
            <w:pPr>
              <w:keepNext w:val="0"/>
              <w:spacing w:before="0" w:after="80" w:line="259" w:lineRule="auto"/>
            </w:pPr>
            <w:r>
              <w:rPr>
                <w:rFonts w:ascii="Calibri" w:hAnsi="Calibri" w:eastAsia="Hiragino Sans GB"/>
                <w:b w:val="0"/>
                <w:color w:val="000000"/>
                <w:sz w:val="22"/>
              </w:rPr>
              <w:t>Retain competition as a separate extension; reference GSD-05 concerns GCF obligations.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FICC-GSD-06</w:t>
            </w:r>
          </w:p>
        </w:tc>
        <w:tc>
          <w:tcPr>
            <w:tcW w:type="dxa" w:w="2304"/>
            <w:vAlign w:val="center"/>
          </w:tcPr>
          <w:p>
            <w:pPr>
              <w:keepNext w:val="0"/>
              <w:spacing w:before="0" w:after="80" w:line="259" w:lineRule="auto"/>
            </w:pPr>
            <w:r>
              <w:rPr>
                <w:rFonts w:ascii="Calibri" w:hAnsi="Calibri" w:eastAsia="Hiragino Sans GB"/>
                <w:b w:val="0"/>
                <w:color w:val="000000"/>
                <w:sz w:val="22"/>
              </w:rPr>
              <w:t>FICC-GSD-08</w:t>
              <w:br/>
              <w:t>TEAM-FICC-02</w:t>
            </w:r>
          </w:p>
        </w:tc>
        <w:tc>
          <w:tcPr>
            <w:tcW w:type="dxa" w:w="5256"/>
            <w:vAlign w:val="center"/>
          </w:tcPr>
          <w:p>
            <w:pPr>
              <w:keepNext w:val="0"/>
              <w:spacing w:before="0" w:after="80" w:line="259" w:lineRule="auto"/>
            </w:pPr>
            <w:r>
              <w:rPr>
                <w:rFonts w:ascii="Calibri" w:hAnsi="Calibri" w:eastAsia="Hiragino Sans GB"/>
                <w:b w:val="0"/>
                <w:color w:val="000000"/>
                <w:sz w:val="22"/>
              </w:rPr>
              <w:t>Align the clearing-bank branch to GSD-08; retain member/vendor operations separately. Reference GSD-06 means actual default.</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FICC-MBSD-02</w:t>
            </w:r>
          </w:p>
        </w:tc>
        <w:tc>
          <w:tcPr>
            <w:tcW w:type="dxa" w:w="2304"/>
            <w:vAlign w:val="center"/>
          </w:tcPr>
          <w:p>
            <w:pPr>
              <w:keepNext w:val="0"/>
              <w:spacing w:before="0" w:after="80" w:line="259" w:lineRule="auto"/>
            </w:pPr>
            <w:r>
              <w:rPr>
                <w:rFonts w:ascii="Calibri" w:hAnsi="Calibri" w:eastAsia="Hiragino Sans GB"/>
                <w:b w:val="0"/>
                <w:color w:val="000000"/>
                <w:sz w:val="22"/>
              </w:rPr>
              <w:t>TEAM-FICC-03</w:t>
            </w:r>
          </w:p>
        </w:tc>
        <w:tc>
          <w:tcPr>
            <w:tcW w:type="dxa" w:w="5256"/>
            <w:vAlign w:val="center"/>
          </w:tcPr>
          <w:p>
            <w:pPr>
              <w:keepNext w:val="0"/>
              <w:spacing w:before="0" w:after="80" w:line="259" w:lineRule="auto"/>
            </w:pPr>
            <w:r>
              <w:rPr>
                <w:rFonts w:ascii="Calibri" w:hAnsi="Calibri" w:eastAsia="Hiragino Sans GB"/>
                <w:b w:val="0"/>
                <w:color w:val="000000"/>
                <w:sz w:val="22"/>
              </w:rPr>
              <w:t>Retain GSE reform; reference MBSD-02 concerns pool-delivery fails, a different mechanism.</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ECS-NSCC-01A</w:t>
            </w:r>
          </w:p>
        </w:tc>
        <w:tc>
          <w:tcPr>
            <w:tcW w:type="dxa" w:w="2304"/>
            <w:vAlign w:val="center"/>
          </w:tcPr>
          <w:p>
            <w:pPr>
              <w:keepNext w:val="0"/>
              <w:spacing w:before="0" w:after="80" w:line="259" w:lineRule="auto"/>
            </w:pPr>
            <w:r>
              <w:rPr>
                <w:rFonts w:ascii="Calibri" w:hAnsi="Calibri" w:eastAsia="Hiragino Sans GB"/>
                <w:b w:val="0"/>
                <w:color w:val="000000"/>
                <w:sz w:val="22"/>
              </w:rPr>
              <w:t>TEAM-ECS-01</w:t>
            </w:r>
          </w:p>
        </w:tc>
        <w:tc>
          <w:tcPr>
            <w:tcW w:type="dxa" w:w="5256"/>
            <w:vAlign w:val="center"/>
          </w:tcPr>
          <w:p>
            <w:pPr>
              <w:keepNext w:val="0"/>
              <w:spacing w:before="0" w:after="80" w:line="259" w:lineRule="auto"/>
            </w:pPr>
            <w:r>
              <w:rPr>
                <w:rFonts w:ascii="Calibri" w:hAnsi="Calibri" w:eastAsia="Hiragino Sans GB"/>
                <w:b w:val="0"/>
                <w:color w:val="000000"/>
                <w:sz w:val="22"/>
              </w:rPr>
              <w:t>Retain IM calls separately because they differ from VM payments.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ECS-NSCC-01B</w:t>
            </w:r>
          </w:p>
        </w:tc>
        <w:tc>
          <w:tcPr>
            <w:tcW w:type="dxa" w:w="2304"/>
            <w:vAlign w:val="center"/>
          </w:tcPr>
          <w:p>
            <w:pPr>
              <w:keepNext w:val="0"/>
              <w:spacing w:before="0" w:after="80" w:line="259" w:lineRule="auto"/>
            </w:pPr>
            <w:r>
              <w:rPr>
                <w:rFonts w:ascii="Calibri" w:hAnsi="Calibri" w:eastAsia="Hiragino Sans GB"/>
                <w:b w:val="0"/>
                <w:color w:val="000000"/>
                <w:sz w:val="22"/>
              </w:rPr>
              <w:t>ECS-NSCC-01</w:t>
            </w:r>
          </w:p>
        </w:tc>
        <w:tc>
          <w:tcPr>
            <w:tcW w:type="dxa" w:w="5256"/>
            <w:vAlign w:val="center"/>
          </w:tcPr>
          <w:p>
            <w:pPr>
              <w:keepNext w:val="0"/>
              <w:spacing w:before="0" w:after="80" w:line="259" w:lineRule="auto"/>
            </w:pPr>
            <w:r>
              <w:rPr>
                <w:rFonts w:ascii="Calibri" w:hAnsi="Calibri" w:eastAsia="Hiragino Sans GB"/>
                <w:b w:val="0"/>
                <w:color w:val="000000"/>
                <w:sz w:val="22"/>
              </w:rPr>
              <w:t>Align equity volatility to VM using the reference ID and process.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ECS-NSCC-01C</w:t>
            </w:r>
          </w:p>
        </w:tc>
        <w:tc>
          <w:tcPr>
            <w:tcW w:type="dxa" w:w="2304"/>
            <w:vAlign w:val="center"/>
          </w:tcPr>
          <w:p>
            <w:pPr>
              <w:keepNext w:val="0"/>
              <w:spacing w:before="0" w:after="80" w:line="259" w:lineRule="auto"/>
            </w:pPr>
            <w:r>
              <w:rPr>
                <w:rFonts w:ascii="Calibri" w:hAnsi="Calibri" w:eastAsia="Hiragino Sans GB"/>
                <w:b w:val="0"/>
                <w:color w:val="000000"/>
                <w:sz w:val="22"/>
              </w:rPr>
              <w:t>TEAM-ECS-02</w:t>
            </w:r>
          </w:p>
        </w:tc>
        <w:tc>
          <w:tcPr>
            <w:tcW w:type="dxa" w:w="5256"/>
            <w:vAlign w:val="center"/>
          </w:tcPr>
          <w:p>
            <w:pPr>
              <w:keepNext w:val="0"/>
              <w:spacing w:before="0" w:after="80" w:line="259" w:lineRule="auto"/>
            </w:pPr>
            <w:r>
              <w:rPr>
                <w:rFonts w:ascii="Calibri" w:hAnsi="Calibri" w:eastAsia="Hiragino Sans GB"/>
                <w:b w:val="0"/>
                <w:color w:val="000000"/>
                <w:sz w:val="22"/>
              </w:rPr>
              <w:t>Retain backtesting coverage separately; breaches do not establish realized loss.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ECS-NSCC-02A</w:t>
            </w:r>
          </w:p>
        </w:tc>
        <w:tc>
          <w:tcPr>
            <w:tcW w:type="dxa" w:w="2304"/>
            <w:vAlign w:val="center"/>
          </w:tcPr>
          <w:p>
            <w:pPr>
              <w:keepNext w:val="0"/>
              <w:spacing w:before="0" w:after="80" w:line="259" w:lineRule="auto"/>
            </w:pPr>
            <w:r>
              <w:rPr>
                <w:rFonts w:ascii="Calibri" w:hAnsi="Calibri" w:eastAsia="Hiragino Sans GB"/>
                <w:b w:val="0"/>
                <w:color w:val="000000"/>
                <w:sz w:val="22"/>
              </w:rPr>
              <w:t>ECS-NSCC-03</w:t>
            </w:r>
          </w:p>
        </w:tc>
        <w:tc>
          <w:tcPr>
            <w:tcW w:type="dxa" w:w="5256"/>
            <w:vAlign w:val="center"/>
          </w:tcPr>
          <w:p>
            <w:pPr>
              <w:keepNext w:val="0"/>
              <w:spacing w:before="0" w:after="80" w:line="259" w:lineRule="auto"/>
            </w:pPr>
            <w:r>
              <w:rPr>
                <w:rFonts w:ascii="Calibri" w:hAnsi="Calibri" w:eastAsia="Hiragino Sans GB"/>
                <w:b w:val="0"/>
                <w:color w:val="000000"/>
                <w:sz w:val="22"/>
              </w:rPr>
              <w:t>Align volume to CNS fails and renumber; FTD remains an outstanding balance.</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ECS-NSCC-02B</w:t>
            </w:r>
          </w:p>
        </w:tc>
        <w:tc>
          <w:tcPr>
            <w:tcW w:type="dxa" w:w="2304"/>
            <w:vAlign w:val="center"/>
          </w:tcPr>
          <w:p>
            <w:pPr>
              <w:keepNext w:val="0"/>
              <w:spacing w:before="0" w:after="80" w:line="259" w:lineRule="auto"/>
            </w:pPr>
            <w:r>
              <w:rPr>
                <w:rFonts w:ascii="Calibri" w:hAnsi="Calibri" w:eastAsia="Hiragino Sans GB"/>
                <w:b w:val="0"/>
                <w:color w:val="000000"/>
                <w:sz w:val="22"/>
              </w:rPr>
              <w:t>TEAM-ECS-03</w:t>
            </w:r>
          </w:p>
        </w:tc>
        <w:tc>
          <w:tcPr>
            <w:tcW w:type="dxa" w:w="5256"/>
            <w:vAlign w:val="center"/>
          </w:tcPr>
          <w:p>
            <w:pPr>
              <w:keepNext w:val="0"/>
              <w:spacing w:before="0" w:after="80" w:line="259" w:lineRule="auto"/>
            </w:pPr>
            <w:r>
              <w:rPr>
                <w:rFonts w:ascii="Calibri" w:hAnsi="Calibri" w:eastAsia="Hiragino Sans GB"/>
                <w:b w:val="0"/>
                <w:color w:val="000000"/>
                <w:sz w:val="22"/>
              </w:rPr>
              <w:t>Retain capacity separately from settlement fails.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ECS-NSCC-03A</w:t>
            </w:r>
          </w:p>
        </w:tc>
        <w:tc>
          <w:tcPr>
            <w:tcW w:type="dxa" w:w="2304"/>
            <w:vAlign w:val="center"/>
          </w:tcPr>
          <w:p>
            <w:pPr>
              <w:keepNext w:val="0"/>
              <w:spacing w:before="0" w:after="80" w:line="259" w:lineRule="auto"/>
            </w:pPr>
            <w:r>
              <w:rPr>
                <w:rFonts w:ascii="Calibri" w:hAnsi="Calibri" w:eastAsia="Hiragino Sans GB"/>
                <w:b w:val="0"/>
                <w:color w:val="000000"/>
                <w:sz w:val="22"/>
              </w:rPr>
              <w:t>TEAM-ECS-04</w:t>
              <w:br/>
              <w:t>ECS-NSCC-06</w:t>
            </w:r>
          </w:p>
        </w:tc>
        <w:tc>
          <w:tcPr>
            <w:tcW w:type="dxa" w:w="5256"/>
            <w:vAlign w:val="center"/>
          </w:tcPr>
          <w:p>
            <w:pPr>
              <w:keepNext w:val="0"/>
              <w:spacing w:before="0" w:after="80" w:line="259" w:lineRule="auto"/>
            </w:pPr>
            <w:r>
              <w:rPr>
                <w:rFonts w:ascii="Calibri" w:hAnsi="Calibri" w:eastAsia="Hiragino Sans GB"/>
                <w:b w:val="0"/>
                <w:color w:val="000000"/>
                <w:sz w:val="22"/>
              </w:rPr>
              <w:t>Retain pre-default credit risk; align actual default to the reference CNS close-out chain.</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ECS-NSCC-03B</w:t>
            </w:r>
          </w:p>
        </w:tc>
        <w:tc>
          <w:tcPr>
            <w:tcW w:type="dxa" w:w="2304"/>
            <w:vAlign w:val="center"/>
          </w:tcPr>
          <w:p>
            <w:pPr>
              <w:keepNext w:val="0"/>
              <w:spacing w:before="0" w:after="80" w:line="259" w:lineRule="auto"/>
            </w:pPr>
            <w:r>
              <w:rPr>
                <w:rFonts w:ascii="Calibri" w:hAnsi="Calibri" w:eastAsia="Hiragino Sans GB"/>
                <w:b w:val="0"/>
                <w:color w:val="000000"/>
                <w:sz w:val="22"/>
              </w:rPr>
              <w:t>ECS-NSCC-02</w:t>
            </w:r>
          </w:p>
        </w:tc>
        <w:tc>
          <w:tcPr>
            <w:tcW w:type="dxa" w:w="5256"/>
            <w:vAlign w:val="center"/>
          </w:tcPr>
          <w:p>
            <w:pPr>
              <w:keepNext w:val="0"/>
              <w:spacing w:before="0" w:after="80" w:line="259" w:lineRule="auto"/>
            </w:pPr>
            <w:r>
              <w:rPr>
                <w:rFonts w:ascii="Calibri" w:hAnsi="Calibri" w:eastAsia="Hiragino Sans GB"/>
                <w:b w:val="0"/>
                <w:color w:val="000000"/>
                <w:sz w:val="22"/>
              </w:rPr>
              <w:t>Align to VM and liquidity; a legacy IM-ratio pass does not validate the revised target.</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ECS-NSCC-04</w:t>
            </w:r>
          </w:p>
        </w:tc>
        <w:tc>
          <w:tcPr>
            <w:tcW w:type="dxa" w:w="2304"/>
            <w:vAlign w:val="center"/>
          </w:tcPr>
          <w:p>
            <w:pPr>
              <w:keepNext w:val="0"/>
              <w:spacing w:before="0" w:after="80" w:line="259" w:lineRule="auto"/>
            </w:pPr>
            <w:r>
              <w:rPr>
                <w:rFonts w:ascii="Calibri" w:hAnsi="Calibri" w:eastAsia="Hiragino Sans GB"/>
                <w:b w:val="0"/>
                <w:color w:val="000000"/>
                <w:sz w:val="22"/>
              </w:rPr>
              <w:t>ECS-SET-01</w:t>
            </w:r>
          </w:p>
        </w:tc>
        <w:tc>
          <w:tcPr>
            <w:tcW w:type="dxa" w:w="5256"/>
            <w:vAlign w:val="center"/>
          </w:tcPr>
          <w:p>
            <w:pPr>
              <w:keepNext w:val="0"/>
              <w:spacing w:before="0" w:after="80" w:line="259" w:lineRule="auto"/>
            </w:pPr>
            <w:r>
              <w:rPr>
                <w:rFonts w:ascii="Calibri" w:hAnsi="Calibri" w:eastAsia="Hiragino Sans GB"/>
                <w:b w:val="0"/>
                <w:color w:val="000000"/>
                <w:sz w:val="22"/>
              </w:rPr>
              <w:t>Merge the shared event with legacy DTC-01, retaining a separate NSCC outcome; do not presume rising fails.</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ECS-NSCC-05</w:t>
            </w:r>
          </w:p>
        </w:tc>
        <w:tc>
          <w:tcPr>
            <w:tcW w:type="dxa" w:w="2304"/>
            <w:vAlign w:val="center"/>
          </w:tcPr>
          <w:p>
            <w:pPr>
              <w:keepNext w:val="0"/>
              <w:spacing w:before="0" w:after="80" w:line="259" w:lineRule="auto"/>
            </w:pPr>
            <w:r>
              <w:rPr>
                <w:rFonts w:ascii="Calibri" w:hAnsi="Calibri" w:eastAsia="Hiragino Sans GB"/>
                <w:b w:val="0"/>
                <w:color w:val="000000"/>
                <w:sz w:val="22"/>
              </w:rPr>
              <w:t>TEAM-ECS-05</w:t>
            </w:r>
          </w:p>
        </w:tc>
        <w:tc>
          <w:tcPr>
            <w:tcW w:type="dxa" w:w="5256"/>
            <w:vAlign w:val="center"/>
          </w:tcPr>
          <w:p>
            <w:pPr>
              <w:keepNext w:val="0"/>
              <w:spacing w:before="0" w:after="80" w:line="259" w:lineRule="auto"/>
            </w:pPr>
            <w:r>
              <w:rPr>
                <w:rFonts w:ascii="Calibri" w:hAnsi="Calibri" w:eastAsia="Hiragino Sans GB"/>
                <w:b w:val="0"/>
                <w:color w:val="000000"/>
                <w:sz w:val="22"/>
              </w:rPr>
              <w:t>Retain known peak dates separately from the reference supplemental-liquidity-deposit mechanism.</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ECS-DTC-01</w:t>
            </w:r>
          </w:p>
        </w:tc>
        <w:tc>
          <w:tcPr>
            <w:tcW w:type="dxa" w:w="2304"/>
            <w:vAlign w:val="center"/>
          </w:tcPr>
          <w:p>
            <w:pPr>
              <w:keepNext w:val="0"/>
              <w:spacing w:before="0" w:after="80" w:line="259" w:lineRule="auto"/>
            </w:pPr>
            <w:r>
              <w:rPr>
                <w:rFonts w:ascii="Calibri" w:hAnsi="Calibri" w:eastAsia="Hiragino Sans GB"/>
                <w:b w:val="0"/>
                <w:color w:val="000000"/>
                <w:sz w:val="22"/>
              </w:rPr>
              <w:t>ECS-SET-01</w:t>
            </w:r>
          </w:p>
        </w:tc>
        <w:tc>
          <w:tcPr>
            <w:tcW w:type="dxa" w:w="5256"/>
            <w:vAlign w:val="center"/>
          </w:tcPr>
          <w:p>
            <w:pPr>
              <w:keepNext w:val="0"/>
              <w:spacing w:before="0" w:after="80" w:line="259" w:lineRule="auto"/>
            </w:pPr>
            <w:r>
              <w:rPr>
                <w:rFonts w:ascii="Calibri" w:hAnsi="Calibri" w:eastAsia="Hiragino Sans GB"/>
                <w:b w:val="0"/>
                <w:color w:val="000000"/>
                <w:sz w:val="22"/>
              </w:rPr>
              <w:t>Merge the rule-change event while retaining the separate DTC non-CNS outcome.</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ECS-DTC-02A</w:t>
            </w:r>
          </w:p>
        </w:tc>
        <w:tc>
          <w:tcPr>
            <w:tcW w:type="dxa" w:w="2304"/>
            <w:vAlign w:val="center"/>
          </w:tcPr>
          <w:p>
            <w:pPr>
              <w:keepNext w:val="0"/>
              <w:spacing w:before="0" w:after="80" w:line="259" w:lineRule="auto"/>
            </w:pPr>
            <w:r>
              <w:rPr>
                <w:rFonts w:ascii="Calibri" w:hAnsi="Calibri" w:eastAsia="Hiragino Sans GB"/>
                <w:b w:val="0"/>
                <w:color w:val="000000"/>
                <w:sz w:val="22"/>
              </w:rPr>
              <w:t>ECS-DTC-05</w:t>
              <w:br/>
              <w:t>TEAM-ECS-08</w:t>
            </w:r>
          </w:p>
        </w:tc>
        <w:tc>
          <w:tcPr>
            <w:tcW w:type="dxa" w:w="5256"/>
            <w:vAlign w:val="center"/>
          </w:tcPr>
          <w:p>
            <w:pPr>
              <w:keepNext w:val="0"/>
              <w:spacing w:before="0" w:after="80" w:line="259" w:lineRule="auto"/>
            </w:pPr>
            <w:r>
              <w:rPr>
                <w:rFonts w:ascii="Calibri" w:hAnsi="Calibri" w:eastAsia="Hiragino Sans GB"/>
                <w:b w:val="0"/>
                <w:color w:val="000000"/>
                <w:sz w:val="22"/>
              </w:rPr>
              <w:t>Align the participant branch to DTC-05 and retain DTC-owned system disruption separately. KEV additions do not establish exposure.</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ECS-DTC-02B</w:t>
            </w:r>
          </w:p>
        </w:tc>
        <w:tc>
          <w:tcPr>
            <w:tcW w:type="dxa" w:w="2304"/>
            <w:vAlign w:val="center"/>
          </w:tcPr>
          <w:p>
            <w:pPr>
              <w:keepNext w:val="0"/>
              <w:spacing w:before="0" w:after="80" w:line="259" w:lineRule="auto"/>
            </w:pPr>
            <w:r>
              <w:rPr>
                <w:rFonts w:ascii="Calibri" w:hAnsi="Calibri" w:eastAsia="Hiragino Sans GB"/>
                <w:b w:val="0"/>
                <w:color w:val="000000"/>
                <w:sz w:val="22"/>
              </w:rPr>
              <w:t>TEAM-ECS-06</w:t>
            </w:r>
          </w:p>
        </w:tc>
        <w:tc>
          <w:tcPr>
            <w:tcW w:type="dxa" w:w="5256"/>
            <w:vAlign w:val="center"/>
          </w:tcPr>
          <w:p>
            <w:pPr>
              <w:keepNext w:val="0"/>
              <w:spacing w:before="0" w:after="80" w:line="259" w:lineRule="auto"/>
            </w:pPr>
            <w:r>
              <w:rPr>
                <w:rFonts w:ascii="Calibri" w:hAnsi="Calibri" w:eastAsia="Hiragino Sans GB"/>
                <w:b w:val="0"/>
                <w:color w:val="000000"/>
                <w:sz w:val="22"/>
              </w:rPr>
              <w:t>Retain vendor causes; link once when they lead to the same participant disruption.</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ECS-DTC-03</w:t>
            </w:r>
          </w:p>
        </w:tc>
        <w:tc>
          <w:tcPr>
            <w:tcW w:type="dxa" w:w="2304"/>
            <w:vAlign w:val="center"/>
          </w:tcPr>
          <w:p>
            <w:pPr>
              <w:keepNext w:val="0"/>
              <w:spacing w:before="0" w:after="80" w:line="259" w:lineRule="auto"/>
            </w:pPr>
            <w:r>
              <w:rPr>
                <w:rFonts w:ascii="Calibri" w:hAnsi="Calibri" w:eastAsia="Hiragino Sans GB"/>
                <w:b w:val="0"/>
                <w:color w:val="000000"/>
                <w:sz w:val="22"/>
              </w:rPr>
              <w:t>TEAM-ECS-07</w:t>
            </w:r>
          </w:p>
        </w:tc>
        <w:tc>
          <w:tcPr>
            <w:tcW w:type="dxa" w:w="5256"/>
            <w:vAlign w:val="center"/>
          </w:tcPr>
          <w:p>
            <w:pPr>
              <w:keepNext w:val="0"/>
              <w:spacing w:before="0" w:after="80" w:line="259" w:lineRule="auto"/>
            </w:pPr>
            <w:r>
              <w:rPr>
                <w:rFonts w:ascii="Calibri" w:hAnsi="Calibri" w:eastAsia="Hiragino Sans GB"/>
                <w:b w:val="0"/>
                <w:color w:val="000000"/>
                <w:sz w:val="22"/>
              </w:rPr>
              <w:t>Retain new-issue processing separately from market disruption and renumber.</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ECS-DTC-04</w:t>
            </w:r>
          </w:p>
        </w:tc>
        <w:tc>
          <w:tcPr>
            <w:tcW w:type="dxa" w:w="2304"/>
            <w:vAlign w:val="center"/>
          </w:tcPr>
          <w:p>
            <w:pPr>
              <w:keepNext w:val="0"/>
              <w:spacing w:before="0" w:after="80" w:line="259" w:lineRule="auto"/>
            </w:pPr>
            <w:r>
              <w:rPr>
                <w:rFonts w:ascii="Calibri" w:hAnsi="Calibri" w:eastAsia="Hiragino Sans GB"/>
                <w:b w:val="0"/>
                <w:color w:val="000000"/>
                <w:sz w:val="22"/>
              </w:rPr>
              <w:t>ECS-DTC-02</w:t>
            </w:r>
          </w:p>
        </w:tc>
        <w:tc>
          <w:tcPr>
            <w:tcW w:type="dxa" w:w="5256"/>
            <w:vAlign w:val="center"/>
          </w:tcPr>
          <w:p>
            <w:pPr>
              <w:keepNext w:val="0"/>
              <w:spacing w:before="0" w:after="80" w:line="259" w:lineRule="auto"/>
            </w:pPr>
            <w:r>
              <w:rPr>
                <w:rFonts w:ascii="Calibri" w:hAnsi="Calibri" w:eastAsia="Hiragino Sans GB"/>
                <w:b w:val="0"/>
                <w:color w:val="000000"/>
                <w:sz w:val="22"/>
              </w:rPr>
              <w:t>Align to settling-bank payments; remove automatic DTC gap-funding claims and verify the bank role first.</w:t>
            </w:r>
          </w:p>
        </w:tc>
      </w:tr>
    </w:tbl>
    <w:p>
      <w:pPr>
        <w:pStyle w:val="Heading1"/>
      </w:pPr>
      <w:r>
        <w:rPr>
          <w:rFonts w:ascii="Calibri" w:hAnsi="Calibri" w:eastAsia="Hiragino Sans GB"/>
          <w:color w:val="000000"/>
        </w:rPr>
        <w:t>Use of Existing Validation</w:t>
      </w:r>
    </w:p>
    <w:p>
      <w:pPr>
        <w:pStyle w:val="Heading2"/>
      </w:pPr>
      <w:r>
        <w:rPr>
          <w:rFonts w:ascii="Calibri" w:hAnsi="Calibri" w:eastAsia="Hiragino Sans GB"/>
          <w:color w:val="000000"/>
        </w:rPr>
        <w:t>Retain the FTD result within its scope</w:t>
      </w:r>
    </w:p>
    <w:p>
      <w:r>
        <w:rPr>
          <w:rFonts w:ascii="Calibri" w:hAnsi="Calibri" w:eastAsia="Hiragino Sans GB"/>
          <w:color w:val="000000"/>
        </w:rPr>
        <w:t>Legacy NSCC-02A maps to revised NSCC-03: high-volume weeks were associated with 30.4 million more outstanding FTD shares, HAC p=1.3e-05, n=413 weeks. It met the legacy card threshold. This does not establish new fail flows, a fail rate, inadequate system capacity, or DTCC loss.</w:t>
      </w:r>
    </w:p>
    <w:p>
      <w:pPr>
        <w:pStyle w:val="Heading2"/>
      </w:pPr>
      <w:r>
        <w:rPr>
          <w:rFonts w:ascii="Calibri" w:hAnsi="Calibri" w:eastAsia="Hiragino Sans GB"/>
          <w:color w:val="000000"/>
        </w:rPr>
        <w:t>Do not transfer the funding pass label</w:t>
      </w:r>
    </w:p>
    <w:p>
      <w:r>
        <w:rPr>
          <w:rFonts w:ascii="Calibri" w:hAnsi="Calibri" w:eastAsia="Hiragino Sans GB"/>
          <w:color w:val="000000"/>
        </w:rPr>
        <w:t>The legacy NSCC-03B IM-call ratio had same-quarter ρ=0.454, 95% interval [0.197, 0.680], n=23, meeting its legacy card threshold. Correlation in changes was 0.154, later-period correlation 0.086, and BH q=0.119. Revised NSCC-02 concerns VM and liquidity, so the old result is related evidence only. The approximately 0.711 next-quarter VM result changed both outcome and lag and remains exploratory.</w:t>
      </w:r>
    </w:p>
    <w:p>
      <w:pPr>
        <w:pStyle w:val="Heading2"/>
      </w:pPr>
      <w:r>
        <w:rPr>
          <w:rFonts w:ascii="Calibri" w:hAnsi="Calibri" w:eastAsia="Hiragino Sans GB"/>
          <w:color w:val="000000"/>
        </w:rPr>
        <w:t>Preserve the other complete tests</w:t>
      </w:r>
    </w:p>
    <w:p>
      <w:r>
        <w:rPr>
          <w:rFonts w:ascii="Calibri" w:hAnsi="Calibri" w:eastAsia="Hiragino Sans GB"/>
          <w:color w:val="000000"/>
        </w:rPr>
        <w:t>GSD-01: ρ=0.408 with an interval crossing zero; GSD-02: coefficient 0.021 bp and p=0.976; MBSD-01: ρ=0.150 with an interval crossing zero. Legacy NSCC-01A, 01B, and 01C had same-quarter ρ of 0.195, 0.081, and 0.414, all with intervals crossing zero. Eight completed statistical tests and two card-threshold passes remain conclusions about the legacy specifications only.</w:t>
      </w:r>
    </w:p>
    <w:p>
      <w:pPr>
        <w:pStyle w:val="Heading2"/>
      </w:pPr>
      <w:r>
        <w:rPr>
          <w:rFonts w:ascii="Calibri" w:hAnsi="Calibri" w:eastAsia="Hiragino Sans GB"/>
          <w:color w:val="000000"/>
        </w:rPr>
        <w:t>Assign cases by stage and actor</w:t>
      </w:r>
    </w:p>
    <w:p>
      <w:r>
        <w:rPr>
          <w:rFonts w:ascii="Calibri" w:hAnsi="Calibri" w:eastAsia="Hiragino Sans GB"/>
          <w:color w:val="000000"/>
        </w:rPr>
        <w:t>Retain Lehman materials as default-management evidence. They do not establish that a downgraded member has defaulted or that surviving members suffered mutualized losses. The split GSD-06 and NSCC-06 routes still require evidence for the specific loss-allocation or CNS close-out step. Treasury-market and BNY effects from the ICBC incident do not automatically establish a GSD or DTC service disruption.</w:t>
      </w:r>
    </w:p>
    <w:p>
      <w:pPr>
        <w:pStyle w:val="Heading2"/>
      </w:pPr>
      <w:r>
        <w:rPr>
          <w:rFonts w:ascii="Calibri" w:hAnsi="Calibri" w:eastAsia="Hiragino Sans GB"/>
          <w:color w:val="000000"/>
        </w:rPr>
        <w:t>Separate rule-change outcomes</w:t>
      </w:r>
    </w:p>
    <w:p>
      <w:r>
        <w:rPr>
          <w:rFonts w:ascii="Calibri" w:hAnsi="Calibri" w:eastAsia="Hiragino Sans GB"/>
          <w:color w:val="000000"/>
        </w:rPr>
        <w:t>Revised SET-01 shares the implementation event but analyzes NSCC CNS and DTC non-CNS fail rates separately. Continuous history for the specified three months before and after is still missing; two snapshots are not a substitute. First-day evidence also does not support an inevitable increase.</w:t>
      </w:r>
    </w:p>
    <w:p>
      <w:pPr>
        <w:pStyle w:val="Heading1"/>
      </w:pPr>
      <w:r>
        <w:rPr>
          <w:rFonts w:ascii="Calibri" w:hAnsi="Calibri" w:eastAsia="Hiragino Sans GB"/>
          <w:color w:val="000000"/>
        </w:rPr>
        <w:t>Monitoring and Data Linkage</w:t>
      </w:r>
    </w:p>
    <w:p>
      <w:pPr>
        <w:pStyle w:val="Heading2"/>
      </w:pPr>
      <w:r>
        <w:rPr>
          <w:rFonts w:ascii="Calibri" w:hAnsi="Calibri" w:eastAsia="Hiragino Sans GB"/>
          <w:color w:val="000000"/>
        </w:rPr>
        <w:t>Collect shared inputs once</w:t>
      </w:r>
    </w:p>
    <w:p>
      <w:r>
        <w:rPr>
          <w:rFonts w:ascii="Calibri" w:hAnsi="Calibri" w:eastAsia="Hiragino Sans GB"/>
          <w:color w:val="000000"/>
        </w:rPr>
        <w:t>Store each document, event, market series, and PQD cell once and link it to chain IDs. Reuse Cboe volume across CNS, capacity, and peak-date routes; reuse SEC FTD across CNS and peak dates; share funding and credit series across relevant businesses.</w:t>
      </w:r>
    </w:p>
    <w:p>
      <w:pPr>
        <w:pStyle w:val="Heading2"/>
      </w:pPr>
      <w:r>
        <w:rPr>
          <w:rFonts w:ascii="Calibri" w:hAnsi="Calibri" w:eastAsia="Hiragino Sans GB"/>
          <w:color w:val="000000"/>
        </w:rPr>
        <w:t>Indicators are not proof of process impact</w:t>
      </w:r>
    </w:p>
    <w:p>
      <w:r>
        <w:rPr>
          <w:rFonts w:ascii="Calibri" w:hAnsi="Calibri" w:eastAsia="Hiragino Sans GB"/>
          <w:color w:val="000000"/>
        </w:rPr>
        <w:t>Optional monitoring indicators are listed in the accompanying structured catalog. Member-credit, bank, cyber, and vendor events require a named entity, its role, relevant dependencies, and direct process evidence. KEV additions, broad credit spreads, and market-wide outages are not substitutes.</w:t>
      </w:r>
    </w:p>
    <w:p>
      <w:pPr>
        <w:pStyle w:val="Heading2"/>
      </w:pPr>
      <w:r>
        <w:rPr>
          <w:rFonts w:ascii="Calibri" w:hAnsi="Calibri" w:eastAsia="Hiragino Sans GB"/>
          <w:color w:val="000000"/>
        </w:rPr>
        <w:t>Use previously published V</w:t>
      </w:r>
    </w:p>
    <w:p>
      <w:r>
        <w:rPr>
          <w:rFonts w:ascii="Calibri" w:hAnsi="Calibri" w:eastAsia="Hiragino Sans GB"/>
          <w:color w:val="000000"/>
        </w:rPr>
        <w:t>Margin routes may examine stress shortfalls relative to IM; payment routes may examine obligations relative to qualifying liquid resources; member routes may examine concentration. PQD 4.4.3 is stress loss exceeding IM, not gross loss. Publication dates must precede the assessment time.</w:t>
      </w:r>
    </w:p>
    <w:p>
      <w:pPr>
        <w:pStyle w:val="Heading2"/>
      </w:pPr>
      <w:r>
        <w:rPr>
          <w:rFonts w:ascii="Calibri" w:hAnsi="Calibri" w:eastAsia="Hiragino Sans GB"/>
          <w:color w:val="000000"/>
        </w:rPr>
        <w:t>Preserve missing vulnerability</w:t>
      </w:r>
    </w:p>
    <w:p>
      <w:r>
        <w:rPr>
          <w:rFonts w:ascii="Calibri" w:hAnsi="Calibri" w:eastAsia="Hiragino Sans GB"/>
          <w:color w:val="000000"/>
        </w:rPr>
        <w:t>Shared-system fields 17.2/17.3 are not independent NSCC or GSD capacity measures. Missing DTC vulnerability stays missing rather than zero. A shock-only indicator is not a complete risk score.</w:t>
      </w:r>
    </w:p>
    <w:p>
      <w:pPr>
        <w:pStyle w:val="Heading1"/>
      </w:pPr>
      <w:r>
        <w:rPr>
          <w:rFonts w:ascii="Calibri" w:hAnsi="Calibri" w:eastAsia="Hiragino Sans GB"/>
          <w:color w:val="000000"/>
        </w:rPr>
        <w:t>Sources and Version Record</w:t>
      </w:r>
    </w:p>
    <w:p>
      <w:r>
        <w:rPr>
          <w:rFonts w:ascii="Calibri" w:hAnsi="Calibri" w:eastAsia="Hiragino Sans GB"/>
          <w:color w:val="000000"/>
        </w:rPr>
        <w:t>DTCC-supplied Transmission Chain Format and example: the three-step format, ten current examples, and additional candidate table.</w:t>
      </w:r>
    </w:p>
    <w:p>
      <w:r>
        <w:rPr>
          <w:rFonts w:ascii="Calibri" w:hAnsi="Calibri" w:eastAsia="Hiragino Sans GB"/>
          <w:color w:val="000000"/>
        </w:rPr>
        <w:t>Team FICC Transmission Chain Hypotheses v1 and ECS Transmission Chain Hypotheses v1: the original 22 hypotheses and data definitions.</w:t>
      </w:r>
    </w:p>
    <w:p>
      <w:r>
        <w:rPr>
          <w:rFonts w:ascii="Calibri" w:hAnsi="Calibri" w:eastAsia="Hiragino Sans GB"/>
          <w:color w:val="000000"/>
        </w:rPr>
        <w:t>chain_status_CN.csv and chain_status_EN.csv: executed tests and incomplete items as of October 16, 2026.</w:t>
      </w:r>
    </w:p>
    <w:p>
      <w:r>
        <w:rPr>
          <w:rFonts w:ascii="Calibri" w:hAnsi="Calibri" w:eastAsia="Hiragino Sans GB"/>
          <w:color w:val="000000"/>
        </w:rPr>
        <w:t>chain_registry_v3.json contains the complete catalog and legacy evidence. The additions guides list all 31 untested chains and monitoring suggestions.</w:t>
      </w:r>
    </w:p>
    <w:sectPr w:rsidR="003760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3707"/>
    <w:multiLevelType w:val="hybridMultilevel"/>
    <w:tmpl w:val="77628328"/>
    <w:lvl w:ilvl="0" w:tplc="1898BFF2">
      <w:start w:val="1"/>
      <w:numFmt w:val="bullet"/>
      <w:lvlText w:val="•"/>
      <w:lvlJc w:val="left"/>
      <w:pPr>
        <w:ind w:left="720" w:hanging="360"/>
      </w:pPr>
    </w:lvl>
    <w:lvl w:ilvl="1" w:tplc="4DB4600C">
      <w:start w:val="1"/>
      <w:numFmt w:val="bullet"/>
      <w:lvlText w:val="o"/>
      <w:lvlJc w:val="left"/>
      <w:pPr>
        <w:ind w:left="1440" w:hanging="360"/>
      </w:pPr>
    </w:lvl>
    <w:lvl w:ilvl="2" w:tplc="40F2EE88">
      <w:start w:val="1"/>
      <w:numFmt w:val="bullet"/>
      <w:lvlText w:val="▪"/>
      <w:lvlJc w:val="left"/>
      <w:pPr>
        <w:ind w:left="2160" w:hanging="360"/>
      </w:pPr>
    </w:lvl>
    <w:lvl w:ilvl="3" w:tplc="89B69B9C">
      <w:start w:val="1"/>
      <w:numFmt w:val="bullet"/>
      <w:lvlText w:val="•"/>
      <w:lvlJc w:val="left"/>
      <w:pPr>
        <w:ind w:left="2880" w:hanging="360"/>
      </w:pPr>
    </w:lvl>
    <w:lvl w:ilvl="4" w:tplc="2584A1EC">
      <w:start w:val="1"/>
      <w:numFmt w:val="bullet"/>
      <w:lvlText w:val="o"/>
      <w:lvlJc w:val="left"/>
      <w:pPr>
        <w:ind w:left="3600" w:hanging="360"/>
      </w:pPr>
    </w:lvl>
    <w:lvl w:ilvl="5" w:tplc="598A879E">
      <w:start w:val="1"/>
      <w:numFmt w:val="bullet"/>
      <w:lvlText w:val="▪"/>
      <w:lvlJc w:val="left"/>
      <w:pPr>
        <w:ind w:left="4320" w:hanging="360"/>
      </w:pPr>
    </w:lvl>
    <w:lvl w:ilvl="6" w:tplc="56FED8DA">
      <w:start w:val="1"/>
      <w:numFmt w:val="bullet"/>
      <w:lvlText w:val="•"/>
      <w:lvlJc w:val="left"/>
      <w:pPr>
        <w:ind w:left="5040" w:hanging="360"/>
      </w:pPr>
    </w:lvl>
    <w:lvl w:ilvl="7" w:tplc="9E583556">
      <w:start w:val="1"/>
      <w:numFmt w:val="bullet"/>
      <w:lvlText w:val="o"/>
      <w:lvlJc w:val="left"/>
      <w:pPr>
        <w:ind w:left="5760" w:hanging="360"/>
      </w:pPr>
    </w:lvl>
    <w:lvl w:ilvl="8" w:tplc="A8D69F56">
      <w:start w:val="1"/>
      <w:numFmt w:val="bullet"/>
      <w:lvlText w:val="▪"/>
      <w:lvlJc w:val="left"/>
      <w:pPr>
        <w:ind w:left="6480" w:hanging="360"/>
      </w:pPr>
    </w:lvl>
  </w:abstractNum>
  <w:abstractNum w:abstractNumId="1" w15:restartNumberingAfterBreak="0">
    <w:nsid w:val="63810E2E"/>
    <w:multiLevelType w:val="hybridMultilevel"/>
    <w:tmpl w:val="3AE02AFE"/>
    <w:lvl w:ilvl="0" w:tplc="A12CAC80">
      <w:start w:val="1"/>
      <w:numFmt w:val="decimal"/>
      <w:lvlText w:val="%1."/>
      <w:lvlJc w:val="left"/>
      <w:pPr>
        <w:ind w:left="720" w:hanging="360"/>
      </w:pPr>
    </w:lvl>
    <w:lvl w:ilvl="1" w:tplc="2C588662">
      <w:start w:val="1"/>
      <w:numFmt w:val="lowerLetter"/>
      <w:lvlText w:val="%2."/>
      <w:lvlJc w:val="left"/>
      <w:pPr>
        <w:ind w:left="1440" w:hanging="360"/>
      </w:pPr>
    </w:lvl>
    <w:lvl w:ilvl="2" w:tplc="D876C796">
      <w:start w:val="1"/>
      <w:numFmt w:val="lowerRoman"/>
      <w:lvlText w:val="%3."/>
      <w:lvlJc w:val="left"/>
      <w:pPr>
        <w:ind w:left="2160" w:hanging="360"/>
      </w:pPr>
    </w:lvl>
    <w:lvl w:ilvl="3" w:tplc="50565370">
      <w:start w:val="1"/>
      <w:numFmt w:val="decimal"/>
      <w:lvlText w:val="%4."/>
      <w:lvlJc w:val="left"/>
      <w:pPr>
        <w:ind w:left="2880" w:hanging="360"/>
      </w:pPr>
    </w:lvl>
    <w:lvl w:ilvl="4" w:tplc="62C0F230">
      <w:start w:val="1"/>
      <w:numFmt w:val="lowerLetter"/>
      <w:lvlText w:val="%5."/>
      <w:lvlJc w:val="left"/>
      <w:pPr>
        <w:ind w:left="3600" w:hanging="360"/>
      </w:pPr>
    </w:lvl>
    <w:lvl w:ilvl="5" w:tplc="B8A891C8">
      <w:start w:val="1"/>
      <w:numFmt w:val="lowerRoman"/>
      <w:lvlText w:val="%6."/>
      <w:lvlJc w:val="left"/>
      <w:pPr>
        <w:ind w:left="4320" w:hanging="360"/>
      </w:pPr>
    </w:lvl>
    <w:lvl w:ilvl="6" w:tplc="156E6A30">
      <w:start w:val="1"/>
      <w:numFmt w:val="decimal"/>
      <w:lvlText w:val="%7."/>
      <w:lvlJc w:val="left"/>
      <w:pPr>
        <w:ind w:left="5040" w:hanging="360"/>
      </w:pPr>
    </w:lvl>
    <w:lvl w:ilvl="7" w:tplc="09C65C14">
      <w:start w:val="1"/>
      <w:numFmt w:val="lowerLetter"/>
      <w:lvlText w:val="%8."/>
      <w:lvlJc w:val="left"/>
      <w:pPr>
        <w:ind w:left="5760" w:hanging="360"/>
      </w:pPr>
    </w:lvl>
    <w:lvl w:ilvl="8" w:tplc="080034CC">
      <w:start w:val="1"/>
      <w:numFmt w:val="lowerRoman"/>
      <w:lvlText w:val="%9."/>
      <w:lvlJc w:val="left"/>
      <w:pPr>
        <w:ind w:left="6480" w:hanging="360"/>
      </w:pPr>
    </w:lvl>
  </w:abstractNum>
  <w:num w:numId="1" w16cid:durableId="162765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60D9"/>
    <w:rsid w:val="003760D9"/>
    <w:rsid w:val="009E5C92"/>
    <w:rsid w:val="00F6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E51A46"/>
  <w15:docId w15:val="{5E28CDDC-693B-0B46-AFEC-2B7B3095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Transmission Chain Catalog</dc:title>
  <dc:description>Claude Docs node/1e7741e0-7e9d@10 docx-w6</dc:description>
  <cp:lastModifiedBy>Olivia Cai</cp:lastModifiedBy>
  <cp:revision>11</cp:revision>
  <dcterms:created xsi:type="dcterms:W3CDTF">2026-10-16T15:12:00Z</dcterms:created>
  <dcterms:modified xsi:type="dcterms:W3CDTF">2026-10-16T15:13:00Z</dcterms:modified>
  <dc:subject>Complete supplied reference coverage with retained team extensions</dc:subject>
  <dc:creator>Capstone project team</dc:creator>
</cp:coreProperties>
</file>