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Hiragino Sans GB"/>
          <w:b/>
          <w:color w:val="000000"/>
          <w:sz w:val="44"/>
        </w:rPr>
        <w:t>DTCC Project Workflow and Business Impact Assessment</w:t>
      </w:r>
    </w:p>
    <w:p>
      <w:pPr>
        <w:spacing w:after="160" w:line="269" w:lineRule="auto"/>
      </w:pPr>
      <w:r>
        <w:rPr>
          <w:rFonts w:ascii="Arial" w:hAnsi="Arial" w:eastAsia="Hiragino Sans GB"/>
          <w:b w:val="0"/>
          <w:color w:val="000000"/>
          <w:sz w:val="22"/>
        </w:rPr>
        <w:t>Data processing model validation and business specific transmission</w:t>
      </w:r>
    </w:p>
    <w:p>
      <w:pPr>
        <w:spacing w:after="200" w:line="269" w:lineRule="auto"/>
      </w:pPr>
      <w:r>
        <w:rPr>
          <w:rFonts w:ascii="Arial" w:hAnsi="Arial" w:eastAsia="Hiragino Sans GB"/>
          <w:b w:val="0"/>
          <w:color w:val="000000"/>
          <w:sz w:val="18"/>
        </w:rPr>
        <w:t>October 15, 2026</w:t>
      </w:r>
    </w:p>
    <w:p>
      <w:pPr>
        <w:pStyle w:val="Heading1"/>
        <w:spacing w:before="0" w:after="160"/>
      </w:pPr>
      <w:r>
        <w:rPr>
          <w:rFonts w:ascii="Arial" w:hAnsi="Arial" w:eastAsia="Hiragino Sans GB"/>
          <w:b/>
          <w:color w:val="000000"/>
          <w:sz w:val="30"/>
        </w:rPr>
        <w:t>01 Project purpose and delivery boundary</w:t>
      </w:r>
    </w:p>
    <w:p>
      <w:pPr>
        <w:spacing w:after="120" w:line="269" w:lineRule="auto"/>
      </w:pPr>
      <w:r>
        <w:rPr>
          <w:rFonts w:ascii="Arial" w:hAnsi="Arial" w:eastAsia="Hiragino Sans GB"/>
          <w:b w:val="0"/>
          <w:color w:val="000000"/>
          <w:sz w:val="21"/>
        </w:rPr>
        <w:t>We are building a risk-intelligence workflow that explains how external events may affect different DTCC businesses. Public news, market series and business disclosures are the inputs. The intended output is an evidence-backed event-by-business assessment: the potential transmission route, the outcome to monitor and the facts that remain unknown.</w:t>
      </w:r>
    </w:p>
    <w:p>
      <w:pPr>
        <w:spacing w:after="120" w:line="269" w:lineRule="auto"/>
      </w:pPr>
      <w:r>
        <w:rPr>
          <w:rFonts w:ascii="Arial" w:hAnsi="Arial" w:eastAsia="Hiragino Sans GB"/>
          <w:b w:val="0"/>
          <w:color w:val="000000"/>
          <w:sz w:val="21"/>
        </w:rPr>
        <w:t>A headline should not immediately become the same risk score for every business. We first establish the event, check its connection to a specific business, asset, member or provider, and separate the external shock, business exposure, internal vulnerability and observed business response. Models and statistical tests constrain those judgments; they do not replace business mechanisms or event evidence.</w:t>
      </w:r>
    </w:p>
    <w:p>
      <w:pPr>
        <w:spacing w:after="120" w:line="269" w:lineRule="auto"/>
      </w:pPr>
      <w:r>
        <w:rPr>
          <w:rFonts w:ascii="Arial" w:hAnsi="Arial" w:eastAsia="Hiragino Sans GB"/>
          <w:b w:val="0"/>
          <w:color w:val="000000"/>
          <w:sz w:val="21"/>
        </w:rPr>
        <w:t>Prepared October 15, 2026. Model and PQD tests still use frozen observations through 2026Q2. The public-data refresh and shared database were updated and verified in the cloud on October 14. The preparation date does not mean all data extend through October 15 or that models were retrained today.</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Stage</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Work already completed</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What remains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Public data</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Collection prototype, shared database, provenance, source mappings for ten businesses and daily GitHub workflow</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Manual checks for dynamic disclosure directories and some webpages</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Business logic</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Nine FICC transmission chains; business scope and data requirements for ten lines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Event-level exposure, workload and service-quality evidence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Training and testing</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Ridge comparisons, risk-family expansion, event screening, PQD associations and supplemental tests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Stable performance on genuinely new periods and causal identification</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Impact assessment</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Interpretable monitoring framework and candidate indicators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Reliable cross-business calibration and automated event attribution</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Read the overall workflow first, then the supporting data and models, and finally the cross-business comparison and event example.</w:t>
      </w:r>
    </w:p>
    <w:p>
      <w:r>
        <w:br w:type="page"/>
      </w:r>
    </w:p>
    <w:p>
      <w:pPr>
        <w:pStyle w:val="Heading1"/>
        <w:spacing w:before="0" w:after="160"/>
      </w:pPr>
      <w:r>
        <w:rPr>
          <w:rFonts w:ascii="Arial" w:hAnsi="Arial" w:eastAsia="Hiragino Sans GB"/>
          <w:b/>
          <w:color w:val="000000"/>
          <w:sz w:val="30"/>
        </w:rPr>
        <w:t>02 End to end workflow</w:t>
      </w:r>
    </w:p>
    <w:p>
      <w:pPr>
        <w:spacing w:after="80"/>
        <w:jc w:val="center"/>
      </w:pPr>
      <w:r>
        <w:drawing>
          <wp:inline xmlns:a="http://schemas.openxmlformats.org/drawingml/2006/main" xmlns:pic="http://schemas.openxmlformats.org/drawingml/2006/picture">
            <wp:extent cx="6080760" cy="8019001"/>
            <wp:docPr id="1" name="Picture 1" descr="End-to-end workflow from public data to business assessment"/>
            <wp:cNvGraphicFramePr>
              <a:graphicFrameLocks noChangeAspect="1"/>
            </wp:cNvGraphicFramePr>
            <a:graphic>
              <a:graphicData uri="http://schemas.openxmlformats.org/drawingml/2006/picture">
                <pic:pic>
                  <pic:nvPicPr>
                    <pic:cNvPr id="0" name="Workflow_EN.png"/>
                    <pic:cNvPicPr/>
                  </pic:nvPicPr>
                  <pic:blipFill>
                    <a:blip r:embed="rId9"/>
                    <a:stretch>
                      <a:fillRect/>
                    </a:stretch>
                  </pic:blipFill>
                  <pic:spPr>
                    <a:xfrm>
                      <a:off x="0" y="0"/>
                      <a:ext cx="6080760" cy="8019001"/>
                    </a:xfrm>
                    <a:prstGeom prst="rect"/>
                  </pic:spPr>
                </pic:pic>
              </a:graphicData>
            </a:graphic>
          </wp:inline>
        </w:drawing>
      </w:r>
    </w:p>
    <w:p>
      <w:pPr>
        <w:spacing w:after="60" w:line="269" w:lineRule="auto"/>
      </w:pPr>
      <w:r>
        <w:rPr>
          <w:rFonts w:ascii="Arial" w:hAnsi="Arial" w:eastAsia="Hiragino Sans GB"/>
          <w:b w:val="0"/>
          <w:color w:val="000000"/>
          <w:sz w:val="18"/>
        </w:rPr>
        <w:t>Blue denotes existing data or research steps. Dashed gray denotes assessment modules still requiring integration or validation. Tests have been run; that does not mean the indicators, transmission pathways or risk scores have passed validation.</w:t>
      </w:r>
    </w:p>
    <w:p>
      <w:r>
        <w:br w:type="page"/>
      </w:r>
    </w:p>
    <w:p>
      <w:pPr>
        <w:pStyle w:val="Heading1"/>
        <w:spacing w:before="0" w:after="160"/>
      </w:pPr>
      <w:r>
        <w:rPr>
          <w:rFonts w:ascii="Arial" w:hAnsi="Arial" w:eastAsia="Hiragino Sans GB"/>
          <w:b/>
          <w:color w:val="000000"/>
          <w:sz w:val="30"/>
        </w:rPr>
        <w:t>03 Data inputs and processing</w:t>
      </w:r>
    </w:p>
    <w:p>
      <w:pPr>
        <w:spacing w:after="120" w:line="269" w:lineRule="auto"/>
      </w:pPr>
      <w:r>
        <w:rPr>
          <w:rFonts w:ascii="Arial" w:hAnsi="Arial" w:eastAsia="Hiragino Sans GB"/>
          <w:b w:val="0"/>
          <w:color w:val="000000"/>
          <w:sz w:val="21"/>
        </w:rPr>
        <w:t>We separate four types of input and preserve their actual frequencies. News describes what happened; markets describe changes in the external environment; business outcomes describe the response; risk buffers describe capacity before the shock. These layers cannot substitute for one another. [P1–P4]</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Layer</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Inputs used or collected</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Processed output</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Public information</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Federal Reserve, SEC, CFTC, ECB and BIS; DTCC notices; ESMA, FCA and Federal Register</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Titles, summaries, sources and times; events and business tags awaiting review</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External markets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FRED funding rates, Treasury yields, VIX and credit spreads; industry and public technology-event inputs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Economically defined funding, rates, credit, equity and other channel features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Business responses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PQD and financial disclosures, FICC daily/monthly activity, ECS/ITP monthly snapshots, underwriting and RDS reports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Outcome series separated by entity, service, period and unit</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Internal state</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Already-public margin, payment obligations, liquidity resources and member concentration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Business-specific vulnerability candidates; unavailable fields remain missing</w:t>
            </w:r>
          </w:p>
        </w:tc>
      </w:tr>
    </w:tbl>
    <w:p>
      <w:pPr>
        <w:spacing w:after="80" w:line="269" w:lineRule="auto"/>
      </w:pPr>
      <w:r>
        <w:rPr>
          <w:rFonts w:ascii="Arial" w:hAnsi="Arial" w:eastAsia="Hiragino Sans GB"/>
          <w:b w:val="0"/>
          <w:color w:val="000000"/>
          <w:sz w:val="2"/>
        </w:rPr>
      </w:r>
    </w:p>
    <w:p>
      <w:pPr>
        <w:pStyle w:val="Heading2"/>
        <w:spacing w:before="160" w:after="100"/>
      </w:pPr>
      <w:r>
        <w:rPr>
          <w:rFonts w:ascii="Arial" w:hAnsi="Arial" w:eastAsia="Hiragino Sans GB"/>
          <w:b/>
          <w:color w:val="000000"/>
          <w:sz w:val="23"/>
        </w:rPr>
        <w:t>Cleaning and storage rules</w:t>
      </w:r>
    </w:p>
    <w:p>
      <w:pPr>
        <w:spacing w:after="100" w:line="269" w:lineRule="auto"/>
      </w:pPr>
      <w:r>
        <w:rPr>
          <w:rFonts w:ascii="Arial" w:hAnsi="Arial" w:eastAsia="Hiragino Sans GB"/>
          <w:b w:val="0"/>
          <w:color w:val="000000"/>
          <w:sz w:val="21"/>
        </w:rPr>
        <w:t>Fetch each shared source once and link it to multiple businesses. Document deduplication and event consolidation are separate: one canonical URL usually identifies one document; different reports should share an event ID only after matching the entity, time and event facts, not merely keywords.</w:t>
      </w:r>
    </w:p>
    <w:p>
      <w:pPr>
        <w:spacing w:after="100" w:line="269" w:lineRule="auto"/>
      </w:pPr>
      <w:r>
        <w:rPr>
          <w:rFonts w:ascii="Arial" w:hAnsi="Arial" w:eastAsia="Hiragino Sans GB"/>
          <w:b w:val="0"/>
          <w:color w:val="000000"/>
          <w:sz w:val="21"/>
        </w:rPr>
        <w:t>Keep publication, event, effective, observation, first-collection and revision times separate. A date-only source must not receive an invented UTC timestamp. Missing is not zero; quarterly values do not become daily business labels through forward filling.</w:t>
      </w:r>
    </w:p>
    <w:p>
      <w:pPr>
        <w:spacing w:after="100" w:line="269" w:lineRule="auto"/>
      </w:pPr>
      <w:r>
        <w:rPr>
          <w:rFonts w:ascii="Arial" w:hAnsi="Arial" w:eastAsia="Hiragino Sans GB"/>
          <w:b w:val="0"/>
          <w:color w:val="000000"/>
          <w:sz w:val="21"/>
        </w:rPr>
        <w:t>Standardize monetary units and distinguish quarterly flows from cumulative financial totals. Align calendar quarters before calculating changes. Preserve raw values, definitions, cells/pages, URLs and hashes. Revisions create new versions rather than erase evidence.</w:t>
      </w:r>
    </w:p>
    <w:p>
      <w:pPr>
        <w:pStyle w:val="Heading2"/>
        <w:spacing w:before="160" w:after="100"/>
      </w:pPr>
      <w:r>
        <w:rPr>
          <w:rFonts w:ascii="Arial" w:hAnsi="Arial" w:eastAsia="Hiragino Sans GB"/>
          <w:b/>
          <w:color w:val="000000"/>
          <w:sz w:val="23"/>
        </w:rPr>
        <w:t>Information availability</w:t>
      </w:r>
    </w:p>
    <w:p>
      <w:pPr>
        <w:spacing w:after="100" w:line="269" w:lineRule="auto"/>
      </w:pPr>
      <w:r>
        <w:rPr>
          <w:rFonts w:ascii="Arial" w:hAnsi="Arial" w:eastAsia="Hiragino Sans GB"/>
          <w:b w:val="0"/>
          <w:color w:val="000000"/>
          <w:sz w:val="21"/>
        </w:rPr>
        <w:t>A daily feature can use only information already public at assessment time. A complete quarterly maximum is known only after quarter-end; it cannot be inserted into an event-day forecast within that quarter.</w:t>
      </w:r>
    </w:p>
    <w:p>
      <w:r>
        <w:br w:type="page"/>
      </w:r>
    </w:p>
    <w:p>
      <w:pPr>
        <w:pStyle w:val="Heading1"/>
        <w:spacing w:before="0" w:after="160"/>
      </w:pPr>
      <w:r>
        <w:rPr>
          <w:rFonts w:ascii="Arial" w:hAnsi="Arial" w:eastAsia="Hiragino Sans GB"/>
          <w:b/>
          <w:color w:val="000000"/>
          <w:sz w:val="30"/>
        </w:rPr>
        <w:t>04 Logic chains and transmission pathways</w:t>
      </w:r>
    </w:p>
    <w:p>
      <w:pPr>
        <w:spacing w:after="120" w:line="269" w:lineRule="auto"/>
      </w:pPr>
      <w:r>
        <w:rPr>
          <w:rFonts w:ascii="Arial" w:hAnsi="Arial" w:eastAsia="Hiragino Sans GB"/>
          <w:b w:val="0"/>
          <w:color w:val="000000"/>
          <w:sz w:val="21"/>
        </w:rPr>
        <w:t>A logic chain explains why a relationship is plausible. A transmission pathway identifies the specific objects and operational steps through which a shock could change an outcome. Use: event → risk channel → affected member or asset → service process → observable outcome. Attach evidence and gaps to every arrow. Define this logic before feature selection and training; do not create a causal story after seeing a correlation.</w:t>
      </w:r>
    </w:p>
    <w:p>
      <w:pPr>
        <w:spacing w:after="120" w:line="269" w:lineRule="auto"/>
      </w:pPr>
      <w:r>
        <w:rPr>
          <w:rFonts w:ascii="Arial" w:hAnsi="Arial" w:eastAsia="Hiragino Sans GB"/>
          <w:b w:val="0"/>
          <w:color w:val="000000"/>
          <w:sz w:val="21"/>
        </w:rPr>
        <w:t>For example, repo funding pressure may make financing harder for a relevant member, increase margin or settlement-payment pressure, and, if payment delay or default occurs, increase GSD contingency-liquidity needs. A market spread supports only the first step. Membership, payment capacity and actual resource demands require separate evidence. [S1, P1]</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Existing FICC chain</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Business and intermediate route</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Outcome to verify</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1 Treasury volatility</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 repricing → positions and liquidation exposure → margin response</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Margin, calls and stress exposure; not automatically a loss</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2 Repo funding pressure</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 member financing → margin and settlement payments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Payment obligations, funding sources and coverage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3 Institution deterioration</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GSD/MBSD: verify clearing relationship → ability to perform</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Actual exposure, failed payments and default-management evidence</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4 Agency MBS changes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 prices, duration, convexity and prepayment → MBS exposure</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MBS-specific signals and margin response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5 Rule changes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 and others: scope/effective date → access and processing changes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Activity, implementation workload and readiness</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6 Activity/member growth</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GSD/MBSD: scale and concentration → capacity/resource needs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Volumes, concentration, quality and resources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7 Critical service disruption</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GSD/MBSD: verify dependency → processing or settlement disruption</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Availability, latency, backlog and recovery time</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8 MBS data/notice problems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 data or pool notices → matching and delivery</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Corrections, unmatched items, timeliness and fails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9 Clearing competition</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 customer adoption and alternatives → pricing/share/scale</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Actual migration, market share and revenue evidence</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These are nine mechanism hypotheses, not nine successfully trained models. Growth, rule changes and competitor news are not inherently losses.</w:t>
      </w:r>
    </w:p>
    <w:p>
      <w:r>
        <w:br w:type="page"/>
      </w:r>
    </w:p>
    <w:p>
      <w:pPr>
        <w:pStyle w:val="Heading1"/>
        <w:spacing w:before="0" w:after="160"/>
      </w:pPr>
      <w:r>
        <w:rPr>
          <w:rFonts w:ascii="Arial" w:hAnsi="Arial" w:eastAsia="Hiragino Sans GB"/>
          <w:b/>
          <w:color w:val="000000"/>
          <w:sz w:val="30"/>
        </w:rPr>
        <w:t>05 How the historical models were trained</w:t>
      </w:r>
    </w:p>
    <w:p>
      <w:pPr>
        <w:spacing w:after="120" w:line="269" w:lineRule="auto"/>
      </w:pPr>
      <w:r>
        <w:rPr>
          <w:rFonts w:ascii="Arial" w:hAnsi="Arial" w:eastAsia="Hiragino Sans GB"/>
          <w:b w:val="0"/>
          <w:color w:val="000000"/>
          <w:sz w:val="21"/>
        </w:rPr>
        <w:t>The first-stage models examine business-metric associations; they are not news-text classifiers. We trained separate Ridge regressions by entity and target. Ridge is a linear model with coefficient shrinkage, used to reduce instability from small samples and correlated features. It tests whether risk proxies add information, not whether a news item caused a loss. [P2, S3]</w:t>
      </w:r>
    </w:p>
    <w:p>
      <w:pPr>
        <w:spacing w:after="120" w:line="269" w:lineRule="auto"/>
      </w:pPr>
      <w:r>
        <w:rPr>
          <w:rFonts w:ascii="Arial" w:hAnsi="Arial" w:eastAsia="Hiragino Sans GB"/>
          <w:b w:val="0"/>
          <w:color w:val="000000"/>
          <w:sz w:val="21"/>
        </w:rPr>
        <w:t>The baseline uses the previous quarter’s business change and quarter-of-year controls. The augmented model adds six risk proxies: volatility change, rate repricing, credit-condition change, funding spread, regulatory-announcement activity and monetary-policy-announcement activity. Counts measure communication activity rather than severity.</w:t>
      </w:r>
    </w:p>
    <w:p>
      <w:pPr>
        <w:spacing w:after="120" w:line="269" w:lineRule="auto"/>
      </w:pPr>
      <w:r>
        <w:rPr>
          <w:rFonts w:ascii="Arial" w:hAnsi="Arial" w:eastAsia="Hiragino Sans GB"/>
          <w:b w:val="0"/>
          <w:color w:val="000000"/>
          <w:sz w:val="21"/>
        </w:rPr>
        <w:t>There are 13 entity–target series: revenue growth and margin changes for FICC, NSCC and DTC, plus clearing trade-side and notional growth for GSD and MBSD. NSCC and DTC are legal-entity measures; they must not be pooled into invented standalone ECS revenue.</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Step</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Implementation</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Purpose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Define targets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Observed quarterly growth or percentage-point changes; no fabricated missing targets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Ask a specific observable question</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Time split</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Training ends 2025Q2; original holdout is 2025Q3–2026Q2</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Preserve temporal order</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Tune parameters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Four ordered validation windows inside training; alpha candidates 1, 10, 100</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Keep holdout errors out of tuning</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Fit preprocessing</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Scaling and necessary lag-control imputation fitted within each training fold</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Prevent future-information leakage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Compare fairly</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Augmented and baseline models use the same target and periods; evaluate MAE</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Measure incremental information</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Five of 13 targets had lower holdout mean absolute error (MAE), but each target had only 2–4 usable test quarters. Current-vintage histories and same-quarter risk features make this a retrospective conditional-association experiment, not a verified real-time forecasting backtest. Later periods already examined cannot become a new blind test set.</w:t>
      </w:r>
    </w:p>
    <w:p>
      <w:pPr>
        <w:spacing w:after="120" w:line="269" w:lineRule="auto"/>
      </w:pPr>
      <w:r>
        <w:rPr>
          <w:rFonts w:ascii="Arial" w:hAnsi="Arial" w:eastAsia="Hiragino Sans GB"/>
          <w:b w:val="0"/>
          <w:color w:val="000000"/>
          <w:sz w:val="21"/>
        </w:rPr>
        <w:t>Event-level modeling would require reviewed event–business labels, exposure and vulnerability available at the time, defined outcome windows and more frequent business results. A validated news-impact classifier or loss predictor covering all ten businesses has not yet been trained.</w:t>
      </w:r>
    </w:p>
    <w:p>
      <w:r>
        <w:br w:type="page"/>
      </w:r>
    </w:p>
    <w:p>
      <w:pPr>
        <w:pStyle w:val="Heading1"/>
        <w:spacing w:before="0" w:after="160"/>
      </w:pPr>
      <w:r>
        <w:rPr>
          <w:rFonts w:ascii="Arial" w:hAnsi="Arial" w:eastAsia="Hiragino Sans GB"/>
          <w:b/>
          <w:color w:val="000000"/>
          <w:sz w:val="30"/>
        </w:rPr>
        <w:t>06 What the validation establishes</w:t>
      </w:r>
    </w:p>
    <w:p>
      <w:pPr>
        <w:spacing w:after="120" w:line="269" w:lineRule="auto"/>
      </w:pPr>
      <w:r>
        <w:rPr>
          <w:rFonts w:ascii="Arial" w:hAnsi="Arial" w:eastAsia="Hiragino Sans GB"/>
          <w:b w:val="0"/>
          <w:color w:val="000000"/>
          <w:sz w:val="21"/>
        </w:rPr>
        <w:t>Event tests ask whether an indicator responds during known stress windows. Business-association tests ask whether it co-moves with the corresponding business outcome. A market alarm is not evidence of actual business damage. [P3–P5]</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Study</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Verified result</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Interpretation</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12-family expansion</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20 features; 482 same/next-quarter associations; none pass exploratory FDR 5%</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Broader coverage, without stable established relationships</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Daily event screening</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Four of seven candidates pass the original event gate</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Detection in selected windows, not business-impact validation</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Original next-quarter PQD test</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No GSD/MBSD candidate passes both gates; two NSCC funding candidates pass only initial screening</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NSCC intervals cross zero and BH does not pass</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Supplemental response tests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882 records; 48 full-sample ordinary-BH passes, but zero in the earlier sample</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Post-result extension with instability; ordinary p-values do not fully handle serial dependence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Shock × vulnerability</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NSCC adjusted-funding example: selection rho 0.430; later rho -0.143</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The product has not shown a stable advantage</w:t>
            </w:r>
          </w:p>
        </w:tc>
      </w:tr>
    </w:tbl>
    <w:p>
      <w:pPr>
        <w:spacing w:after="80" w:line="269" w:lineRule="auto"/>
      </w:pPr>
      <w:r>
        <w:rPr>
          <w:rFonts w:ascii="Arial" w:hAnsi="Arial" w:eastAsia="Hiragino Sans GB"/>
          <w:b w:val="0"/>
          <w:color w:val="000000"/>
          <w:sz w:val="2"/>
        </w:rPr>
      </w:r>
    </w:p>
    <w:p>
      <w:pPr>
        <w:pStyle w:val="Heading2"/>
        <w:spacing w:before="160" w:after="100"/>
      </w:pPr>
      <w:r>
        <w:rPr>
          <w:rFonts w:ascii="Arial" w:hAnsi="Arial" w:eastAsia="Hiragino Sans GB"/>
          <w:b/>
          <w:color w:val="000000"/>
          <w:sz w:val="23"/>
        </w:rPr>
        <w:t>Controls against misleading conclusions</w:t>
      </w:r>
    </w:p>
    <w:p>
      <w:pPr>
        <w:spacing w:after="100" w:line="269" w:lineRule="auto"/>
      </w:pPr>
      <w:r>
        <w:rPr>
          <w:rFonts w:ascii="Arial" w:hAnsi="Arial" w:eastAsia="Hiragino Sans GB"/>
          <w:b w:val="0"/>
          <w:color w:val="000000"/>
          <w:sz w:val="21"/>
        </w:rPr>
        <w:t>The original daily threshold is the 90th percentile of 252 preceding valid observations, with at least 126 values, excluding today. Quarterly stress uses the prespecified maximum with at least 45 valid days. Non-designated-event alarms are only a false-alarm proxy because event labels are incomplete.</w:t>
      </w:r>
    </w:p>
    <w:p>
      <w:pPr>
        <w:spacing w:after="100" w:line="269" w:lineRule="auto"/>
      </w:pPr>
      <w:r>
        <w:rPr>
          <w:rFonts w:ascii="Arial" w:hAnsi="Arial" w:eastAsia="Hiragino Sans GB"/>
          <w:b w:val="0"/>
          <w:color w:val="000000"/>
          <w:sz w:val="21"/>
        </w:rPr>
        <w:t>Same-quarter and next-quarter relationships are separate. The former is closer to contemporaneous response; the latter examines persistence or lead relationships. Spearman ranks, BH adjustment, four-quarter block bootstrap, differences and sample splits assess robustness; none identifies causality.</w:t>
      </w:r>
    </w:p>
    <w:p>
      <w:pPr>
        <w:spacing w:after="100" w:line="269" w:lineRule="auto"/>
      </w:pPr>
      <w:r>
        <w:rPr>
          <w:rFonts w:ascii="Arial" w:hAnsi="Arial" w:eastAsia="Hiragino Sans GB"/>
          <w:b w:val="0"/>
          <w:color w:val="000000"/>
          <w:sz w:val="21"/>
        </w:rPr>
        <w:t>Original windows and gates were fixed before this analysis, after the historical events were already public; they were not preregistered at event time. Supplemental tests were designed after reviewing earlier results and must not be described as an independent validation because they look better.</w:t>
      </w:r>
    </w:p>
    <w:p>
      <w:r>
        <w:br w:type="page"/>
      </w:r>
    </w:p>
    <w:p>
      <w:pPr>
        <w:pStyle w:val="Heading1"/>
        <w:spacing w:before="0" w:after="160"/>
      </w:pPr>
      <w:r>
        <w:rPr>
          <w:rFonts w:ascii="Arial" w:hAnsi="Arial" w:eastAsia="Hiragino Sans GB"/>
          <w:b/>
          <w:color w:val="000000"/>
          <w:sz w:val="30"/>
        </w:rPr>
        <w:t>07 Separate business response from vulnerability</w:t>
      </w:r>
    </w:p>
    <w:p>
      <w:pPr>
        <w:spacing w:after="120" w:line="269" w:lineRule="auto"/>
      </w:pPr>
      <w:r>
        <w:rPr>
          <w:rFonts w:ascii="Arial" w:hAnsi="Arial" w:eastAsia="Hiragino Sans GB"/>
          <w:b w:val="0"/>
          <w:color w:val="000000"/>
          <w:sz w:val="21"/>
        </w:rPr>
        <w:t>A response is a change in demand, workload or service performance after a shock. Vulnerability describes buffers and capacity beforehand. Higher margin can reflect risk management, scale or model changes. It does not automatically mean worse performance or successful risk control. [P3, P5]</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Measure</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Use</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What it does not establish</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6.1.1 quarter-end IM and its change</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Margin demand and scale response</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Not an event-day loss; activity/rules can change it</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6.6.1 average VM; 6.7.1 peak daily VM</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Quarterly payment flow and peak burden; inspect peak/average too</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Not DTCC revenue, realized loss or service failure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6.8.1 peak daily IM call</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Largest aggregate deficit over deposited collateral and actual calls, including intraday</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Not the largest increase in total margin required</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4.4.3 / 6.1.1</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Stress loss beyond IM relative to quarter-end IM; a vulnerability candidate</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Not total gross stress loss; T12m/quarter-end timing can differ</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Stress payments / quantified resources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Liquidity-vulnerability candidate; retain cash/commitment subset</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Resources are not all cash; a cross-date ratio above one is not an actual shortfall</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18.2.2 top-five open-position share</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Member-concentration candidate</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Not market share or observed member default</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Use the latest disclosure already public at assessment time, not automatically quarter t−1. For example, the 2026Q1 PQD listing date is May 28, 2026, so its availability cannot be assumed at the start of Q2. Listing dates remain proxies for first availability; original historical vintages are not fully verified.</w:t>
      </w:r>
    </w:p>
    <w:p>
      <w:pPr>
        <w:spacing w:after="120" w:line="269" w:lineRule="auto"/>
      </w:pPr>
      <w:r>
        <w:rPr>
          <w:rFonts w:ascii="Arial" w:hAnsi="Arial" w:eastAsia="Hiragino Sans GB"/>
          <w:b w:val="0"/>
          <w:color w:val="000000"/>
          <w:sz w:val="21"/>
        </w:rPr>
        <w:t>ITP, RDS, Asset Services, DAS, DDA, Data Services and Consulting require measures such as delays, errors, capacity, data quality, provider dependence or customer concentration. CCP margin ratios cannot substitute for their missing vulnerabilities.</w:t>
      </w:r>
    </w:p>
    <w:p>
      <w:r>
        <w:br w:type="page"/>
      </w:r>
    </w:p>
    <w:p>
      <w:pPr>
        <w:pStyle w:val="Heading1"/>
        <w:spacing w:before="0" w:after="160"/>
      </w:pPr>
      <w:r>
        <w:rPr>
          <w:rFonts w:ascii="Arial" w:hAnsi="Arial" w:eastAsia="Hiragino Sans GB"/>
          <w:b/>
          <w:color w:val="000000"/>
          <w:sz w:val="30"/>
        </w:rPr>
        <w:t>08 Assess one event differently by business</w:t>
      </w:r>
    </w:p>
    <w:p>
      <w:pPr>
        <w:spacing w:after="120" w:line="269" w:lineRule="auto"/>
      </w:pPr>
      <w:r>
        <w:rPr>
          <w:rFonts w:ascii="Arial" w:hAnsi="Arial" w:eastAsia="Hiragino Sans GB"/>
          <w:b w:val="0"/>
          <w:color w:val="000000"/>
          <w:sz w:val="21"/>
        </w:rPr>
        <w:t>First represent the event as a vector of channel shocks S rather than a universal severity number. A banking event can affect rates, credit and funding differently; each channel requires evidence. Exposure E determines whether the channel connects to the business. Vulnerability V describes capacity to absorb the shock, conditional on exposure.</w:t>
      </w:r>
    </w:p>
    <w:p>
      <w:pPr>
        <w:spacing w:after="120" w:line="269" w:lineRule="auto"/>
      </w:pPr>
      <w:r>
        <w:rPr>
          <w:rFonts w:ascii="Arial" w:hAnsi="Arial" w:eastAsia="Hiragino Sans GB"/>
          <w:b w:val="0"/>
          <w:color w:val="000000"/>
          <w:sz w:val="21"/>
        </w:rPr>
        <w:t>Where scope, evidence and common scales are sufficient, a candidate channel-level priority is P(e,b,c)=100×S(e,c)×E(e,b,c)×V(b,c; a). Here e is the event, b the business, c the channel and a the latest state public by assessment time. This is a framework to test, not a fitted probability model. S×E can represent the business-specific external shock, preserving the original shock×vulnerability framework. Do not multiply by E again if exposure is already embedded in the shock.</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Component</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Question</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Current rule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Relevance and exposure gate</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Does the event involve the business’s assets, members, geography, customers, systems or providers?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Separate verified, plausibly relevant, insufficient evidence and not applicable; unknown is not zero</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External shock 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How unusual, directional and persistent is the channel movement?</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Use prespecified measures and past-only scales; article counts are not severity</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Vulnerability V</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What known pre-event buffer or operational weakness matters?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Use business-specific, already-available fields; no score if a required input is missing</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Outcome vector</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Financial burden, margin/liquidity, service quality or strategic opportunity?</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Report directions, magnitudes, horizons and units separately</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Evidence quality</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What supports each arrow and the actual outcome?</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Report evidence status, coverage and uncertainty separately from pressure</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A 0–100 range does not make scores comparable. Within-business percentiles describe relative unusualness, not equal economic losses. Cross-business ranking requires calibrated exposure definitions, vulnerability scales and outcome anchors. For now, report business-specific measures, directions and evidence rather than force a ranking of all ten.</w:t>
      </w:r>
    </w:p>
    <w:p>
      <w:pPr>
        <w:spacing w:after="120" w:line="269" w:lineRule="auto"/>
      </w:pPr>
      <w:r>
        <w:rPr>
          <w:rFonts w:ascii="Arial" w:hAnsi="Arial" w:eastAsia="Hiragino Sans GB"/>
          <w:b w:val="0"/>
          <w:color w:val="000000"/>
          <w:sz w:val="21"/>
        </w:rPr>
        <w:t>Consolidate multiple reports into an event and check overlapping pathways before aggregation. Do not assign channel weights directly from correlations or repeatedly select the highest full-sample association.</w:t>
      </w:r>
    </w:p>
    <w:p>
      <w:r>
        <w:br w:type="page"/>
      </w:r>
    </w:p>
    <w:p>
      <w:pPr>
        <w:pStyle w:val="Heading1"/>
        <w:spacing w:before="0" w:after="160"/>
      </w:pPr>
      <w:r>
        <w:rPr>
          <w:rFonts w:ascii="Arial" w:hAnsi="Arial" w:eastAsia="Hiragino Sans GB"/>
          <w:b/>
          <w:color w:val="000000"/>
          <w:sz w:val="30"/>
        </w:rPr>
        <w:t>09 Business specific pathways and measures Part one</w:t>
      </w:r>
    </w:p>
    <w:p>
      <w:pPr>
        <w:spacing w:after="120" w:line="269" w:lineRule="auto"/>
      </w:pPr>
      <w:r>
        <w:rPr>
          <w:rFonts w:ascii="Arial" w:hAnsi="Arial" w:eastAsia="Hiragino Sans GB"/>
          <w:b w:val="0"/>
          <w:color w:val="000000"/>
          <w:sz w:val="21"/>
        </w:rPr>
        <w:t>These are mechanism and data-requirement comparisons, not established event impacts. Official business scope supports interpretation; event relevance and consequences need separate evidence. [P1, P4, S1, S4, S5]</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Business and scope</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Typical pathway</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Outcomes and vulnerabilities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FICC fixed income</w:t>
              <w:br/>
              <w:t>GSD/MBSD separate</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Treasury/repo or agency MBS shock → positions, financing and payments → clearing resources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Outcomes: margin, calls, payment burden, fails and volume. Vulnerability: resources and concentration; MBSD also needs MBS exposure.</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ECS equity clearing/settlement</w:t>
              <w:br/>
              <w:t>NSCC/DTC separate</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Equity/ETF activity, volatility or settlement-rule change → payments and securities delivery</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NSCC margin/activity; DTC fails/delays. Define clearing and settlement vulnerability separately; entity financials are not pure ECS results.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RDS repository and derivatives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Rule/field change or trading activity → reporting, validation and lifecycle processing</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Rejections, corrections, timeliness and uptime. Vulnerability: data quality and customer/jurisdiction/system concentration; public aggregates are activity proxies.</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WIS wealth and investment</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Fund flows, insurance/private-market change → subscription/redemption and settlement processing</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Volumes, rejects, cash/instruction backlog and product revenue. Vulnerability: channel/customer concentration and capacity; industry assets are not WIS volume.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ITP institutional processing</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T+1, a trading surge or SSI errors → allocation, matching, affirmation and deadlines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Match/affirmation rates, exceptions, latency and backlog. Vulnerability: manual processes, SSI quality and connectivity; CCP margin is inapplicable.</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Revenue or volume growth can create commercial opportunity and operational workload at the same time. Record these directions separately.</w:t>
      </w:r>
    </w:p>
    <w:p>
      <w:r>
        <w:br w:type="page"/>
      </w:r>
    </w:p>
    <w:p>
      <w:pPr>
        <w:pStyle w:val="Heading1"/>
        <w:spacing w:before="0" w:after="160"/>
      </w:pPr>
      <w:r>
        <w:rPr>
          <w:rFonts w:ascii="Arial" w:hAnsi="Arial" w:eastAsia="Hiragino Sans GB"/>
          <w:b/>
          <w:color w:val="000000"/>
          <w:sz w:val="30"/>
        </w:rPr>
        <w:t>10 Business specific pathways and measures Part two</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Business and scope</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Typical pathway</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Outcomes and vulnerabilities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Asset Services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Issuance, corporate actions, tax or custody change → eligibility, records, payments and notices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Processing volume, deadline compliance, payment/tax errors and reconciliation. Vulnerability: issuer/agent concentration and backlog; underwriting value is not revenue.</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DAS DTC digital asset solutions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Tokenized-securities rules/network change → conversion and connection to traditional settlement</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Tokenized securities volume, conversion/redemption fails, reconciliation and uptime. Vulnerability: chain/custody/interfaces; BTC/ETH do not measure these securities’ exposure.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DDA digital asset technology</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Vulnerability, interoperability or provider issue → platform/API and smart-contract workflow</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Errors, latency, interruption and retention. Vulnerability: component, chain and provider concentration; a public CVE does not prove exposure.</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Data Services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Upstream source or data-rule change → product processing, APIs and delivery</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Completeness, errors/revisions, delay, uptime and retention. Vulnerability: upstream dependence and validation capacity; market volume is not data sales.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Consulting</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Regulatory deadlines, T+1 or digital adoption → client readiness and advisory demand</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Orders, backlog, delivery time, utilization and profit. Vulnerability: client concentration/staff capacity; regulatory news may be opportunity rather than loss.</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Public information does not supply equally strong supervised-learning labels for all ten businesses. Historical FICC, NSCC and DTC financials and selected operations are available, but most other lines lack continuous independent revenue, quality, capacity, dependency and exposure measures. The table identifies requested fields, not internal data already obtained.</w:t>
      </w:r>
    </w:p>
    <w:p>
      <w:pPr>
        <w:spacing w:after="120" w:line="269" w:lineRule="auto"/>
      </w:pPr>
      <w:r>
        <w:rPr>
          <w:rFonts w:ascii="Arial" w:hAnsi="Arial" w:eastAsia="Hiragino Sans GB"/>
          <w:b w:val="0"/>
          <w:color w:val="000000"/>
          <w:sz w:val="21"/>
        </w:rPr>
        <w:t>Prioritize approved aggregate business outcomes and exposure, then test alignment with event time. Where actual labels are unavailable, retain mechanisms and evidence cards; do not substitute another entity’s measures.</w:t>
      </w:r>
    </w:p>
    <w:p>
      <w:r>
        <w:br w:type="page"/>
      </w:r>
    </w:p>
    <w:p>
      <w:pPr>
        <w:pStyle w:val="Heading1"/>
        <w:spacing w:before="0" w:after="160"/>
      </w:pPr>
      <w:r>
        <w:rPr>
          <w:rFonts w:ascii="Arial" w:hAnsi="Arial" w:eastAsia="Hiragino Sans GB"/>
          <w:b/>
          <w:color w:val="000000"/>
          <w:sz w:val="30"/>
        </w:rPr>
        <w:t>11 One historical event with different business implications</w:t>
      </w:r>
    </w:p>
    <w:p>
      <w:pPr>
        <w:spacing w:after="120" w:line="269" w:lineRule="auto"/>
      </w:pPr>
      <w:r>
        <w:rPr>
          <w:rFonts w:ascii="Arial" w:hAnsi="Arial" w:eastAsia="Hiragino Sans GB"/>
          <w:b w:val="0"/>
          <w:color w:val="000000"/>
          <w:sz w:val="21"/>
        </w:rPr>
        <w:t>Consider SVB-related banking stress in March 2023. Our fixed research window is March 8–17, not the only defensible window. These are observed market summaries from the frozen inputs, not DTCC business losses. [P3]</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Candidate channel</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Observed window peak</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Original historical threshold</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Absolute daily 10-year yield change</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23 bp</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Alarm on 50% of eight valid days</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20-day Baa spread widening</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41 bp</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Alarm on 50% of eight valid days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Raw SOFR−EFFR spread</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0 bp</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Can alarm against its own negative historical baseline; not evidence of severe repo funding scarcity</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VIX</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26.52</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Does not cross the original rolling 90th-percentile threshold in this window; not proof of no equity risk</w:t>
            </w:r>
          </w:p>
        </w:tc>
      </w:tr>
    </w:tbl>
    <w:p>
      <w:pPr>
        <w:spacing w:after="80" w:line="269" w:lineRule="auto"/>
      </w:pPr>
      <w:r>
        <w:rPr>
          <w:rFonts w:ascii="Arial" w:hAnsi="Arial" w:eastAsia="Hiragino Sans GB"/>
          <w:b w:val="0"/>
          <w:color w:val="000000"/>
          <w:sz w:val="2"/>
        </w:rPr>
      </w:r>
    </w:p>
    <w:p>
      <w:pPr>
        <w:spacing w:after="120" w:line="269" w:lineRule="auto"/>
      </w:pPr>
      <w:r>
        <w:rPr>
          <w:rFonts w:ascii="Arial" w:hAnsi="Arial" w:eastAsia="Hiragino Sans GB"/>
          <w:b w:val="0"/>
          <w:color w:val="000000"/>
          <w:sz w:val="21"/>
        </w:rPr>
        <w:t>One event can register strongly in rates and credit changes without equivalent intensity in the raw funding spread or selected VIX threshold. A bank failure does not establish the same funding crisis for every business.</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Business</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Route to investigate</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Current evidence boundary</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Treasury repricing → margin and member payments; examine funding separately</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Relevant channel; event-day positions/calls are missing, so no attributed loss</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Rates → MBS duration/convexity and prices → margin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Plausible mechanism; MBS-specific signals/exposure are missing; no identical GSD weight</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ECS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Equity activity and payments → NSCC clearing/DTC settlement</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Need equity and business outcomes; Treasury indicators do not establish ECS harm</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ITP and RDS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Volatility/trade adjustments → processing or reporting workload</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Need exceptions, backlog or reporting-quality evidence; volume alone is not failure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Other six lines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Check their own assets, processes, customers or platform dependencies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Retain unresolved relevance where event-level results are absent; no automatic zero or high score</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Quarterly peaks and T12m PQD measures cannot isolate the SVB event day. Same-quarter changes can include other events, scale and model adjustments.</w:t>
      </w:r>
    </w:p>
    <w:p>
      <w:r>
        <w:br w:type="page"/>
      </w:r>
    </w:p>
    <w:p>
      <w:pPr>
        <w:pStyle w:val="Heading1"/>
        <w:spacing w:before="0" w:after="160"/>
      </w:pPr>
      <w:r>
        <w:rPr>
          <w:rFonts w:ascii="Arial" w:hAnsi="Arial" w:eastAsia="Hiragino Sans GB"/>
          <w:b/>
          <w:color w:val="000000"/>
          <w:sz w:val="30"/>
        </w:rPr>
        <w:t>12 Report comparable outcomes and evidence</w:t>
      </w:r>
    </w:p>
    <w:p>
      <w:pPr>
        <w:spacing w:after="120" w:line="269" w:lineRule="auto"/>
      </w:pPr>
      <w:r>
        <w:rPr>
          <w:rFonts w:ascii="Arial" w:hAnsi="Arial" w:eastAsia="Hiragino Sans GB"/>
          <w:b w:val="0"/>
          <w:color w:val="000000"/>
          <w:sz w:val="21"/>
        </w:rPr>
        <w:t>Each event–business record should retain the event ID, business/entity, channel, evidence for every step, actual exposure, vulnerability available at assessment time, outcome dimension, direction, units, horizon, baseline, data vintage and open questions. Distinguish observed fact, mechanism inference, model estimate and not yet observed; do not invent confidence probabilities.</w:t>
      </w:r>
    </w:p>
    <w:p>
      <w:pPr>
        <w:spacing w:after="120" w:line="269" w:lineRule="auto"/>
      </w:pPr>
      <w:r>
        <w:rPr>
          <w:rFonts w:ascii="Arial" w:hAnsi="Arial" w:eastAsia="Hiragino Sans GB"/>
          <w:b w:val="0"/>
          <w:color w:val="000000"/>
          <w:sz w:val="21"/>
        </w:rPr>
        <w:t>Start with changes relative to that business’s baseline: margin growth, percentage-point changes in failure rates, latency, or peak calls divided by a known scale. If a reliable conditional model exists, also report observed minus baseline-estimated change. That residual is not a causal event effect. Incompatible units cannot be added.</w:t>
      </w:r>
    </w:p>
    <w:tbl>
      <w:tblPr>
        <w:tblW w:type="auto" w:w="0"/>
        <w:jc w:val="center"/>
        <w:tblLayout w:type="fixed"/>
        <w:tblLook w:firstColumn="1" w:firstRow="1" w:lastColumn="0" w:lastRow="0" w:noHBand="0" w:noVBand="1" w:val="04A0"/>
      </w:tblPr>
      <w:tblGrid>
        <w:gridCol w:w="2376"/>
        <w:gridCol w:w="936"/>
        <w:gridCol w:w="936"/>
        <w:gridCol w:w="936"/>
        <w:gridCol w:w="3211"/>
      </w:tblGrid>
      <w:tr>
        <w:trPr>
          <w:cantSplit/>
          <w:tblHeader/>
        </w:trPr>
        <w:tc>
          <w:tcPr>
            <w:tcW w:type="dxa" w:w="2376"/>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Hypothetical business</w:t>
            </w:r>
          </w:p>
        </w:tc>
        <w:tc>
          <w:tcPr>
            <w:tcW w:type="dxa" w:w="936"/>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color w:val="000000"/>
                <w:sz w:val="18"/>
              </w:rPr>
              <w:t>S</w:t>
            </w:r>
          </w:p>
        </w:tc>
        <w:tc>
          <w:tcPr>
            <w:tcW w:type="dxa" w:w="936"/>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color w:val="000000"/>
                <w:sz w:val="18"/>
              </w:rPr>
              <w:t>E</w:t>
            </w:r>
          </w:p>
        </w:tc>
        <w:tc>
          <w:tcPr>
            <w:tcW w:type="dxa" w:w="936"/>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color w:val="000000"/>
                <w:sz w:val="18"/>
              </w:rPr>
              <w:t>V</w:t>
            </w:r>
          </w:p>
        </w:tc>
        <w:tc>
          <w:tcPr>
            <w:tcW w:type="dxa" w:w="321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color w:val="000000"/>
                <w:sz w:val="18"/>
              </w:rPr>
              <w:t>100×S×E×V</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0.80</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0.90</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0.60</w:t>
            </w:r>
          </w:p>
        </w:tc>
        <w:tc>
          <w:tcPr>
            <w:tcW w:type="dxa" w:w="321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43.2</w:t>
            </w:r>
          </w:p>
        </w:tc>
      </w:tr>
      <w:tr>
        <w:trPr>
          <w:cantSplit/>
        </w:trPr>
        <w:tc>
          <w:tcPr>
            <w:tcW w:type="dxa" w:w="2376"/>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w:t>
            </w:r>
          </w:p>
        </w:tc>
        <w:tc>
          <w:tcPr>
            <w:tcW w:type="dxa" w:w="936"/>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0.80</w:t>
            </w:r>
          </w:p>
        </w:tc>
        <w:tc>
          <w:tcPr>
            <w:tcW w:type="dxa" w:w="936"/>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0.70</w:t>
            </w:r>
          </w:p>
        </w:tc>
        <w:tc>
          <w:tcPr>
            <w:tcW w:type="dxa" w:w="936"/>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0.80</w:t>
            </w:r>
          </w:p>
        </w:tc>
        <w:tc>
          <w:tcPr>
            <w:tcW w:type="dxa" w:w="321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44.8</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ECS NSCC</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0.80</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0.40</w:t>
            </w:r>
          </w:p>
        </w:tc>
        <w:tc>
          <w:tcPr>
            <w:tcW w:type="dxa" w:w="9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0.50</w:t>
            </w:r>
          </w:p>
        </w:tc>
        <w:tc>
          <w:tcPr>
            <w:tcW w:type="dxa" w:w="321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jc w:val="center"/>
            </w:pPr>
            <w:r>
              <w:rPr>
                <w:rFonts w:ascii="Arial" w:hAnsi="Arial" w:eastAsia="Hiragino Sans GB"/>
                <w:b w:val="0"/>
                <w:color w:val="000000"/>
                <w:sz w:val="18"/>
              </w:rPr>
              <w:t>16.0</w:t>
            </w:r>
          </w:p>
        </w:tc>
      </w:tr>
    </w:tbl>
    <w:p>
      <w:pPr>
        <w:spacing w:after="80" w:line="269" w:lineRule="auto"/>
      </w:pPr>
      <w:r>
        <w:rPr>
          <w:rFonts w:ascii="Arial" w:hAnsi="Arial" w:eastAsia="Hiragino Sans GB"/>
          <w:b w:val="0"/>
          <w:color w:val="000000"/>
          <w:sz w:val="2"/>
        </w:rPr>
      </w:r>
    </w:p>
    <w:p>
      <w:pPr>
        <w:pStyle w:val="Heading2"/>
        <w:spacing w:before="160" w:after="100"/>
      </w:pPr>
      <w:r>
        <w:rPr>
          <w:rFonts w:ascii="Arial" w:hAnsi="Arial" w:eastAsia="Hiragino Sans GB"/>
          <w:b/>
          <w:color w:val="000000"/>
          <w:sz w:val="23"/>
        </w:rPr>
        <w:t>Illustrative arithmetic only</w:t>
      </w:r>
    </w:p>
    <w:p>
      <w:pPr>
        <w:spacing w:after="100" w:line="269" w:lineRule="auto"/>
      </w:pPr>
      <w:r>
        <w:rPr>
          <w:rFonts w:ascii="Arial" w:hAnsi="Arial" w:eastAsia="Hiragino Sans GB"/>
          <w:b w:val="0"/>
          <w:color w:val="000000"/>
          <w:sz w:val="21"/>
        </w:rPr>
        <w:t>Assume a common rate-channel shock S=0.80 and hypothetical E/V values defined on a common scale. These are invented teaching inputs, not actual DTCC observations or fitted parameters. They only show why one event can produce different candidate priorities.</w:t>
      </w:r>
    </w:p>
    <w:p>
      <w:pPr>
        <w:spacing w:after="120" w:line="269" w:lineRule="auto"/>
      </w:pPr>
      <w:r>
        <w:rPr>
          <w:rFonts w:ascii="Arial" w:hAnsi="Arial" w:eastAsia="Hiragino Sans GB"/>
          <w:b w:val="0"/>
          <w:color w:val="000000"/>
          <w:sz w:val="21"/>
        </w:rPr>
        <w:t>Under these assumptions, MBSD’s lower exposure is outweighed by higher vulnerability. This is framework arithmetic only: it does not establish that actual MBSD risk exceeds GSD risk, and 44.8 is not a 44.8% loss probability. Missing real E or V should produce “not scored.”</w:t>
      </w:r>
    </w:p>
    <w:p>
      <w:pPr>
        <w:spacing w:after="120" w:line="269" w:lineRule="auto"/>
      </w:pPr>
      <w:r>
        <w:rPr>
          <w:rFonts w:ascii="Arial" w:hAnsi="Arial" w:eastAsia="Hiragino Sans GB"/>
          <w:b w:val="0"/>
          <w:color w:val="000000"/>
          <w:sz w:val="21"/>
        </w:rPr>
        <w:t>A practical card should say, for example, “margin demand may increase; event-day business evidence is insufficient; member exposure needs verification,” rather than show only a total score. Financial burden, operational pressure, service quality and commercial opportunity belong in separate fields.</w:t>
      </w:r>
    </w:p>
    <w:p>
      <w:r>
        <w:br w:type="page"/>
      </w:r>
    </w:p>
    <w:p>
      <w:pPr>
        <w:pStyle w:val="Heading1"/>
        <w:spacing w:before="0" w:after="160"/>
      </w:pPr>
      <w:r>
        <w:rPr>
          <w:rFonts w:ascii="Arial" w:hAnsi="Arial" w:eastAsia="Hiragino Sans GB"/>
          <w:b/>
          <w:color w:val="000000"/>
          <w:sz w:val="30"/>
        </w:rPr>
        <w:t>13 Implementation sequence and evidence index</w:t>
      </w:r>
    </w:p>
    <w:p>
      <w:pPr>
        <w:pStyle w:val="Heading2"/>
        <w:spacing w:before="160" w:after="100"/>
      </w:pPr>
      <w:r>
        <w:rPr>
          <w:rFonts w:ascii="Arial" w:hAnsi="Arial" w:eastAsia="Hiragino Sans GB"/>
          <w:b/>
          <w:color w:val="000000"/>
          <w:sz w:val="23"/>
        </w:rPr>
        <w:t>Next implementation steps</w:t>
      </w:r>
    </w:p>
    <w:p>
      <w:pPr>
        <w:spacing w:after="100" w:line="269" w:lineRule="auto"/>
      </w:pPr>
      <w:r>
        <w:rPr>
          <w:rFonts w:ascii="Arial" w:hAnsi="Arial" w:eastAsia="Hiragino Sans GB"/>
          <w:b w:val="0"/>
          <w:color w:val="000000"/>
          <w:sz w:val="21"/>
        </w:rPr>
        <w:t>First maintain the database/daily collection and add event IDs and reviewed business relevance. Next obtain approved aggregate exposure, service-quality and business-outcome histories for each line, preserving versions actually available at the time.</w:t>
      </w:r>
    </w:p>
    <w:p>
      <w:pPr>
        <w:spacing w:after="100" w:line="269" w:lineRule="auto"/>
      </w:pPr>
      <w:r>
        <w:rPr>
          <w:rFonts w:ascii="Arial" w:hAnsi="Arial" w:eastAsia="Hiragino Sans GB"/>
          <w:b w:val="0"/>
          <w:color w:val="000000"/>
          <w:sz w:val="21"/>
        </w:rPr>
        <w:t>Then freeze outcomes, windows and gates. Use genuinely new periods for chronological comparisons of baseline, external-only, vulnerability-only, additive and interaction models. Establish stable incremental value before choosing weights or a common cross-business scale. Quantify only supported pathways; retain qualitative evidence and gaps for the rest.</w:t>
      </w:r>
    </w:p>
    <w:p>
      <w:pPr>
        <w:spacing w:after="100" w:line="269" w:lineRule="auto"/>
      </w:pPr>
      <w:r>
        <w:rPr>
          <w:rFonts w:ascii="Arial" w:hAnsi="Arial" w:eastAsia="Hiragino Sans GB"/>
          <w:b w:val="0"/>
          <w:color w:val="000000"/>
          <w:sz w:val="21"/>
        </w:rPr>
        <w:t>Daily refresh and research training are different jobs. GitHub updates the data and republishes the complete package; it does not automatically retrain models or turn new headlines into confirmed impacts.</w:t>
      </w:r>
    </w:p>
    <w:p>
      <w:pPr>
        <w:pStyle w:val="Heading2"/>
        <w:spacing w:before="160" w:after="100"/>
      </w:pPr>
      <w:r>
        <w:rPr>
          <w:rFonts w:ascii="Arial" w:hAnsi="Arial" w:eastAsia="Hiragino Sans GB"/>
          <w:b/>
          <w:color w:val="000000"/>
          <w:sz w:val="23"/>
        </w:rPr>
        <w:t>Local evidence files</w:t>
      </w:r>
    </w:p>
    <w:p>
      <w:pPr>
        <w:spacing w:after="100" w:line="269" w:lineRule="auto"/>
      </w:pPr>
      <w:r>
        <w:rPr>
          <w:rFonts w:ascii="Arial" w:hAnsi="Arial" w:eastAsia="Hiragino Sans GB"/>
          <w:b w:val="0"/>
          <w:color w:val="000000"/>
          <w:sz w:val="18"/>
        </w:rPr>
        <w:t>[P1] reports/FICC_九条逻辑链_中英对照.docx; data_refresh_2026_10_14/business_requirements.json.</w:t>
      </w:r>
    </w:p>
    <w:p>
      <w:pPr>
        <w:spacing w:after="100" w:line="269" w:lineRule="auto"/>
      </w:pPr>
      <w:r>
        <w:rPr>
          <w:rFonts w:ascii="Arial" w:hAnsi="Arial" w:eastAsia="Hiragino Sans GB"/>
          <w:b w:val="0"/>
          <w:color w:val="000000"/>
          <w:sz w:val="18"/>
        </w:rPr>
        <w:t>[P2] risk_business_ml/models/model_manifest.json; results/model_comparison.csv; Analysis_Results_and_Usage_Guide_EN.md.</w:t>
      </w:r>
    </w:p>
    <w:p>
      <w:pPr>
        <w:spacing w:after="100" w:line="269" w:lineRule="auto"/>
      </w:pPr>
      <w:r>
        <w:rPr>
          <w:rFonts w:ascii="Arial" w:hAnsi="Arial" w:eastAsia="Hiragino Sans GB"/>
          <w:b w:val="0"/>
          <w:color w:val="000000"/>
          <w:sz w:val="18"/>
        </w:rPr>
        <w:t>[P3] risk_business_ml/event_vulnerability_tests_2026_10_06/analysis_plan.json; results/event_detail.csv, event_screen.csv, pqd_lagged_spearman.csv and interaction_vs_persistence_baseline.csv.</w:t>
      </w:r>
    </w:p>
    <w:p>
      <w:pPr>
        <w:spacing w:after="100" w:line="269" w:lineRule="auto"/>
      </w:pPr>
      <w:r>
        <w:rPr>
          <w:rFonts w:ascii="Arial" w:hAnsi="Arial" w:eastAsia="Hiragino Sans GB"/>
          <w:b w:val="0"/>
          <w:color w:val="000000"/>
          <w:sz w:val="18"/>
        </w:rPr>
        <w:t>[P4] risk_business_ml/risk_category_expansion/results/expanded_analysis_summary.json; data/risk_taxonomy.csv.</w:t>
      </w:r>
    </w:p>
    <w:p>
      <w:pPr>
        <w:spacing w:after="100" w:line="269" w:lineRule="auto"/>
      </w:pPr>
      <w:r>
        <w:rPr>
          <w:rFonts w:ascii="Arial" w:hAnsi="Arial" w:eastAsia="Hiragino Sans GB"/>
          <w:b w:val="0"/>
          <w:color w:val="000000"/>
          <w:sz w:val="18"/>
        </w:rPr>
        <w:t>[P5] risk_business_ml/feedback_revision_report_2026_10_06/results/analysis_summary.json; report_content.json; data/response_cell_evidence.csv.</w:t>
      </w:r>
    </w:p>
    <w:p>
      <w:pPr>
        <w:spacing w:after="100" w:line="269" w:lineRule="auto"/>
      </w:pPr>
      <w:r>
        <w:rPr>
          <w:rFonts w:ascii="Arial" w:hAnsi="Arial" w:eastAsia="Hiragino Sans GB"/>
          <w:b w:val="0"/>
          <w:color w:val="000000"/>
          <w:sz w:val="18"/>
        </w:rPr>
        <w:t>[P6] capstone_database/schema.sql, update.py and sources.json; repository .github/workflows/daily-data.yml. Relative paths use Capstone_Project as root.</w:t>
      </w:r>
    </w:p>
    <w:p>
      <w:pPr>
        <w:pStyle w:val="Heading2"/>
        <w:spacing w:before="160" w:after="100"/>
      </w:pPr>
      <w:r>
        <w:rPr>
          <w:rFonts w:ascii="Arial" w:hAnsi="Arial" w:eastAsia="Hiragino Sans GB"/>
          <w:b/>
          <w:color w:val="000000"/>
          <w:sz w:val="23"/>
        </w:rPr>
        <w:t>Official business and methods references</w:t>
      </w:r>
    </w:p>
    <w:p>
      <w:pPr>
        <w:spacing w:after="60"/>
      </w:pPr>
      <w:hyperlink r:id="rId10">
        <w:r>
          <w:rPr>
            <w:color w:val="254E77"/>
            <w:sz w:val="18"/>
          </w:rPr>
          <w:t>[S1] DTCC Clearing and Settlement Services</w:t>
        </w:r>
      </w:hyperlink>
    </w:p>
    <w:p>
      <w:pPr>
        <w:spacing w:after="60"/>
      </w:pPr>
      <w:hyperlink r:id="rId11">
        <w:r>
          <w:rPr>
            <w:color w:val="254E77"/>
            <w:sz w:val="18"/>
          </w:rPr>
          <w:t>[S2] CPMI IOSCO Public Quantitative Disclosure Standards</w:t>
        </w:r>
      </w:hyperlink>
    </w:p>
    <w:p>
      <w:pPr>
        <w:spacing w:after="60"/>
      </w:pPr>
      <w:hyperlink r:id="rId12">
        <w:r>
          <w:rPr>
            <w:color w:val="254E77"/>
            <w:sz w:val="18"/>
          </w:rPr>
          <w:t>[S3] scikit learn Ridge documentation</w:t>
        </w:r>
      </w:hyperlink>
    </w:p>
    <w:p>
      <w:pPr>
        <w:spacing w:after="60"/>
      </w:pPr>
      <w:hyperlink r:id="rId13">
        <w:r>
          <w:rPr>
            <w:color w:val="254E77"/>
            <w:sz w:val="18"/>
          </w:rPr>
          <w:t>[S4] DTCC Trade Processing Solutions</w:t>
        </w:r>
      </w:hyperlink>
    </w:p>
    <w:p>
      <w:pPr>
        <w:spacing w:after="60"/>
      </w:pPr>
      <w:hyperlink r:id="rId14">
        <w:r>
          <w:rPr>
            <w:color w:val="254E77"/>
            <w:sz w:val="18"/>
          </w:rPr>
          <w:t>[S5] DTCC Repository and Derivatives Services</w:t>
        </w:r>
      </w:hyperlink>
    </w:p>
    <w:p>
      <w:pPr>
        <w:spacing w:after="60"/>
      </w:pPr>
      <w:hyperlink r:id="rId15">
        <w:r>
          <w:rPr>
            <w:color w:val="254E77"/>
            <w:sz w:val="18"/>
          </w:rPr>
          <w:t>[S6] DTCC Asset Services</w:t>
        </w:r>
      </w:hyperlink>
    </w:p>
    <w:p>
      <w:pPr>
        <w:spacing w:after="60" w:line="269" w:lineRule="auto"/>
      </w:pPr>
      <w:r>
        <w:rPr>
          <w:rFonts w:ascii="Arial" w:hAnsi="Arial" w:eastAsia="Hiragino Sans GB"/>
          <w:b w:val="0"/>
          <w:color w:val="000000"/>
          <w:sz w:val="18"/>
        </w:rPr>
        <w:t>Figures above were checked against existing artifacts. Preparing this report did not retrain models or reselect results.</w:t>
      </w:r>
    </w:p>
    <w:p>
      <w:r>
        <w:br w:type="page"/>
      </w:r>
    </w:p>
    <w:p>
      <w:pPr>
        <w:pStyle w:val="Heading1"/>
        <w:spacing w:before="0" w:after="160"/>
      </w:pPr>
      <w:r>
        <w:rPr>
          <w:rFonts w:ascii="Arial" w:hAnsi="Arial" w:eastAsia="Hiragino Sans GB"/>
          <w:b/>
          <w:color w:val="000000"/>
          <w:sz w:val="30"/>
        </w:rPr>
        <w:t>14 Abbreviations and terminology</w:t>
      </w:r>
    </w:p>
    <w:tbl>
      <w:tblPr>
        <w:tblW w:type="auto" w:w="0"/>
        <w:jc w:val="center"/>
        <w:tblLayout w:type="fixed"/>
        <w:tblLook w:firstColumn="1" w:firstRow="1" w:lastColumn="0" w:lastRow="0" w:noHBand="0" w:noVBand="1" w:val="04A0"/>
      </w:tblPr>
      <w:tblGrid>
        <w:gridCol w:w="2045"/>
        <w:gridCol w:w="3931"/>
        <w:gridCol w:w="3859"/>
      </w:tblGrid>
      <w:tr>
        <w:trPr>
          <w:cantSplit/>
          <w:tblHeader/>
        </w:trPr>
        <w:tc>
          <w:tcPr>
            <w:tcW w:type="dxa" w:w="2045"/>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Term</w:t>
            </w:r>
          </w:p>
        </w:tc>
        <w:tc>
          <w:tcPr>
            <w:tcW w:type="dxa" w:w="3931"/>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Full name</w:t>
            </w:r>
          </w:p>
        </w:tc>
        <w:tc>
          <w:tcPr>
            <w:tcW w:type="dxa" w:w="3859"/>
            <w:vAlign w:val="center"/>
            <w:shd w:fill="E5EBF2"/>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color w:val="000000"/>
                <w:sz w:val="18"/>
              </w:rPr>
              <w:t>Meaning in this report</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DTCC</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Depository Trust and Clearing Corporation</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Group</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FICC</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Fixed Income Clearing Corporation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Fixed-income CCP</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GSD</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Government Securities Division</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Government securities clearing</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MBSD</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Mortgage Backed Securities Division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Agency MBS clearing</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ECS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Equity Clearing and Settlement</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Business-line scope</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NSCC</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National Securities Clearing Corporation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Equity clearing entity</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Depository Trust Company</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Settlement/custody entity</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RDS</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Repository and Derivatives Services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Repository/derivatives business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WIS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Wealth and Investment Solutions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Wealth/fund services</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ITP</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Institutional Trade Processing</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Trade-processing business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DAS</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 Digital Asset Solutions</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 digital-securities service</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DDA</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DTCC Digital Assets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Digital-asset technology business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FRED</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Federal Reserve Economic Data</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Market data platform</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PQD</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Public Quantitative Disclosures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Quantitative disclosure</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CCP</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Central Counterparty</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Central counterparty</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IM / VM</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Initial Margin / Variation Margin</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Margin/payment measures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SOFR</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Secured Overnight Financing Rate</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Secured overnight benchmark</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EFFR</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Effective Federal Funds Rate</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Federal funds benchmark</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VIX</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Cboe Volatility Index</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Equity implied volatility</w:t>
            </w:r>
          </w:p>
        </w:tc>
      </w:tr>
      <w:tr>
        <w:trPr>
          <w:cantSplit/>
        </w:trPr>
        <w:tc>
          <w:tcPr>
            <w:tcW w:type="dxa" w:w="2045"/>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MBS / SSI</w:t>
            </w:r>
          </w:p>
        </w:tc>
        <w:tc>
          <w:tcPr>
            <w:tcW w:type="dxa" w:w="3931"/>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Mortgage Backed Securities / Standing Settlement Instructions</w:t>
            </w:r>
          </w:p>
        </w:tc>
        <w:tc>
          <w:tcPr>
            <w:tcW w:type="dxa" w:w="3859"/>
            <w:vAlign w:val="center"/>
            <w:shd w:fill="F7F9FC"/>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Asset / settlement instructions</w:t>
            </w:r>
          </w:p>
        </w:tc>
      </w:tr>
      <w:tr>
        <w:trPr>
          <w:cantSplit/>
        </w:trPr>
        <w:tc>
          <w:tcPr>
            <w:tcW w:type="dxa" w:w="204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MAE / BH</w:t>
            </w:r>
          </w:p>
        </w:tc>
        <w:tc>
          <w:tcPr>
            <w:tcW w:type="dxa" w:w="39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Mean Absolute Error / Benjamini Hochberg</w:t>
            </w:r>
          </w:p>
        </w:tc>
        <w:tc>
          <w:tcPr>
            <w:tcW w:type="dxa" w:w="385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before="0" w:line="252" w:lineRule="auto"/>
            </w:pPr>
            <w:r>
              <w:rPr>
                <w:rFonts w:ascii="Arial" w:hAnsi="Arial" w:eastAsia="Hiragino Sans GB"/>
                <w:b w:val="0"/>
                <w:color w:val="000000"/>
                <w:sz w:val="18"/>
              </w:rPr>
              <w:t>Prediction error / test adjustment</w:t>
            </w:r>
          </w:p>
        </w:tc>
      </w:tr>
    </w:tbl>
    <w:p>
      <w:pPr>
        <w:spacing w:after="80" w:line="269" w:lineRule="auto"/>
      </w:pPr>
      <w:r>
        <w:rPr>
          <w:rFonts w:ascii="Arial" w:hAnsi="Arial" w:eastAsia="Hiragino Sans GB"/>
          <w:b w:val="0"/>
          <w:color w:val="000000"/>
          <w:sz w:val="2"/>
        </w:rPr>
      </w:r>
    </w:p>
    <w:p>
      <w:pPr>
        <w:spacing w:after="60" w:line="269" w:lineRule="auto"/>
      </w:pPr>
      <w:r>
        <w:rPr>
          <w:rFonts w:ascii="Arial" w:hAnsi="Arial" w:eastAsia="Hiragino Sans GB"/>
          <w:b w:val="0"/>
          <w:color w:val="000000"/>
          <w:sz w:val="18"/>
        </w:rPr>
        <w:t>Ten businesses, twelve risk families, nine FICC logic chains and seven market indicators describe different classification levels.</w:t>
      </w:r>
    </w:p>
    <w:sectPr w:rsidR="00FC693F" w:rsidRPr="0006063C" w:rsidSect="00034616">
      <w:footerReference w:type="default" r:id="rId16"/>
      <w:pgSz w:w="11909" w:h="16834"/>
      <w:pgMar w:top="893" w:right="1037" w:bottom="893"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Hiragino Sans GB"/>
        <w:b w:val="0"/>
        <w:color w:val="000000"/>
        <w:sz w:val="16"/>
      </w:rPr>
      <w:t xml:space="preserve">Capstone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Hiragino Sans G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dtcc.com/products-and-services/clearing-settlement-services" TargetMode="External"/><Relationship Id="rId11" Type="http://schemas.openxmlformats.org/officeDocument/2006/relationships/hyperlink" Target="https://www.bis.org/publications/public-quantitative-disclosure-standards-central-counterparties" TargetMode="External"/><Relationship Id="rId12" Type="http://schemas.openxmlformats.org/officeDocument/2006/relationships/hyperlink" Target="https://scikit-learn.org/stable/modules/generated/sklearn.linear_model.Ridge.html" TargetMode="External"/><Relationship Id="rId13" Type="http://schemas.openxmlformats.org/officeDocument/2006/relationships/hyperlink" Target="https://www.dtcc.com/products-and-services/trade-processing-solutions" TargetMode="External"/><Relationship Id="rId14" Type="http://schemas.openxmlformats.org/officeDocument/2006/relationships/hyperlink" Target="https://www.dtcc.com/products-and-services/repository-derivatives-services" TargetMode="External"/><Relationship Id="rId15" Type="http://schemas.openxmlformats.org/officeDocument/2006/relationships/hyperlink" Target="https://www.dtcc.com/products-and-services/asset-services"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DTCC Project Workflow and Business Impact Assessment</dc:title>
  <dc:subject>Data processing model validation and transmission pathways</dc:subject>
  <dc:creator>Capstone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