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FICC and ECS Chain Screening</w:t>
      </w:r>
    </w:p>
    <w:p>
      <w:pPr/>
      <w:r>
        <w:t xml:space="preserve">Oct 21, 2026</w:t>
      </w:r>
      <w:r>
        <w:t xml:space="preserve"> · </w:t>
      </w:r>
      <w:r>
        <w:t xml:space="preserve">@Olivia</w:t>
      </w:r>
    </w:p>
    <w:p>
      <w:pPr/>
      <w:r>
        <w:t>Our FICC and ECS chains are organized into 16 cards containing 31 confirmed component chains. "Archive" means set aside for later, not deleted.</w:t>
      </w:r>
    </w:p>
    <w:p>
      <w:pPr>
        <w:pStyle w:val="Heading2"/>
      </w:pPr>
      <w:r>
        <w:t xml:space="preserve">Screening criteria</w:t>
      </w:r>
    </w:p>
    <w:p>
      <w:pPr/>
      <w:r>
        <w:t xml:space="preserve">A chain stays only if it passes all five checks.</w:t>
      </w:r>
    </w:p>
    <w:p>
      <w:pPr>
        <w:pStyle w:val="ListParagraph"/>
        <w:numPr>
          <w:ilvl w:val="0"/>
          <w:numId w:val="2"/>
        </w:numPr>
      </w:pPr>
      <w:r>
        <w:t xml:space="preserve">The rule it relies on can be found in the public rulebook.</w:t>
      </w:r>
    </w:p>
    <w:p>
      <w:pPr>
        <w:pStyle w:val="ListParagraph"/>
        <w:numPr>
          <w:ilvl w:val="0"/>
          <w:numId w:val="2"/>
        </w:numPr>
      </w:pPr>
      <w:r>
        <w:t xml:space="preserve">The trigger is an outside event, not an internal operation.</w:t>
      </w:r>
    </w:p>
    <w:p>
      <w:pPr>
        <w:pStyle w:val="ListParagraph"/>
        <w:numPr>
          <w:ilvl w:val="0"/>
          <w:numId w:val="2"/>
        </w:numPr>
      </w:pPr>
      <w:r>
        <w:t xml:space="preserve">The trigger can be seen in news or public data.</w:t>
      </w:r>
    </w:p>
    <w:p>
      <w:pPr>
        <w:pStyle w:val="ListParagraph"/>
        <w:numPr>
          <w:ilvl w:val="0"/>
          <w:numId w:val="2"/>
        </w:numPr>
      </w:pPr>
      <w:r>
        <w:t xml:space="preserve">If it happens, it has a real impact on DTCC.</w:t>
      </w:r>
    </w:p>
    <w:p>
      <w:pPr>
        <w:pStyle w:val="ListParagraph"/>
        <w:numPr>
          <w:ilvl w:val="0"/>
          <w:numId w:val="2"/>
        </w:numPr>
      </w:pPr>
      <w:r>
        <w:t xml:space="preserve">It does not duplicate another chain's process.</w:t>
      </w:r>
    </w:p>
    <w:p>
      <w:pPr>
        <w:pStyle w:val="Heading2"/>
      </w:pPr>
      <w:r>
        <w:t xml:space="preserve">Decision per chain</w:t>
      </w:r>
    </w:p>
    <w:tbl>
      <w:tblPr>
        <w:tblStyle w:val="TableGrid"/>
        <w:tblW w:w="0" w:type="auto"/>
        <w:tblLayout w:type="fixed"/>
        <w:tblLook w:val="04A0" w:firstRow="1" w:lastRow="0" w:firstColumn="0" w:lastColumn="0" w:noHBand="0" w:noVBand="1"/>
      </w:tblPr>
      <w:tblGrid>
        <w:gridCol w:w="1410"/>
        <w:gridCol w:w="2757"/>
        <w:gridCol w:w="1813"/>
        <w:gridCol w:w="3380"/>
      </w:tblGrid>
      <w:tr>
        <w:trPr>
          <w:tblHeader/>
          <w:cantSplit/>
        </w:trPr>
        <w:tc>
          <w:tcPr>
            <w:tcW w:w="1410" w:type="dxa"/>
            <w:shd w:val="clear" w:color="auto" w:fill="F2F2F2"/>
          </w:tcPr>
          <w:p>
            <w:pPr/>
            <w:r>
              <w:t xml:space="preserve">ID</w:t>
            </w:r>
          </w:p>
        </w:tc>
        <w:tc>
          <w:tcPr>
            <w:tcW w:w="2757" w:type="dxa"/>
            <w:shd w:val="clear" w:color="auto" w:fill="F2F2F2"/>
          </w:tcPr>
          <w:p>
            <w:pPr/>
            <w:r>
              <w:t xml:space="preserve">Chain</w:t>
            </w:r>
          </w:p>
        </w:tc>
        <w:tc>
          <w:tcPr>
            <w:tcW w:w="1813" w:type="dxa"/>
            <w:shd w:val="clear" w:color="auto" w:fill="F2F2F2"/>
          </w:tcPr>
          <w:p>
            <w:pPr/>
            <w:r>
              <w:t xml:space="preserve">Decision</w:t>
            </w:r>
          </w:p>
        </w:tc>
        <w:tc>
          <w:tcPr>
            <w:tcW w:w="3380" w:type="dxa"/>
            <w:shd w:val="clear" w:color="auto" w:fill="F2F2F2"/>
          </w:tcPr>
          <w:p>
            <w:pPr/>
            <w:r>
              <w:t xml:space="preserve">Reason</w:t>
            </w:r>
          </w:p>
        </w:tc>
      </w:tr>
      <w:tr>
        <w:trPr>
          <w:cantSplit/>
        </w:trPr>
        <w:tc>
          <w:tcPr>
            <w:tcW w:w="1410" w:type="dxa"/>
          </w:tcPr>
          <w:p>
            <w:pPr/>
            <w:r>
              <w:t xml:space="preserve">FICC-GSD-01</w:t>
            </w:r>
          </w:p>
        </w:tc>
        <w:tc>
          <w:tcPr>
            <w:tcW w:w="2757" w:type="dxa"/>
          </w:tcPr>
          <w:p>
            <w:pPr/>
            <w:r>
              <w:t xml:space="preserve">Treasury volatility → GSD margin</w:t>
            </w:r>
          </w:p>
        </w:tc>
        <w:tc>
          <w:tcPr>
            <w:tcW w:w="1813" w:type="dxa"/>
          </w:tcPr>
          <w:p>
            <w:pPr/>
            <w:r>
              <w:t xml:space="preserve">Keep (core)</w:t>
            </w:r>
          </w:p>
        </w:tc>
        <w:tc>
          <w:tcPr>
            <w:tcW w:w="3380" w:type="dxa"/>
          </w:tcPr>
          <w:p>
            <w:pPr/>
            <w:r>
              <w:t xml:space="preserve">Tested, Medium</w:t>
            </w:r>
          </w:p>
        </w:tc>
      </w:tr>
      <w:tr>
        <w:trPr>
          <w:cantSplit/>
        </w:trPr>
        <w:tc>
          <w:tcPr>
            <w:tcW w:w="1410" w:type="dxa"/>
          </w:tcPr>
          <w:p>
            <w:pPr/>
            <w:r>
              <w:t xml:space="preserve">FICC-GSD-02</w:t>
            </w:r>
          </w:p>
        </w:tc>
        <w:tc>
          <w:tcPr>
            <w:tcW w:w="2757" w:type="dxa"/>
          </w:tcPr>
          <w:p>
            <w:pPr/>
            <w:r>
              <w:t xml:space="preserve">Repo funding pressure → GSD settlement liquidity</w:t>
            </w:r>
          </w:p>
        </w:tc>
        <w:tc>
          <w:tcPr>
            <w:tcW w:w="1813" w:type="dxa"/>
          </w:tcPr>
          <w:p>
            <w:pPr/>
            <w:r>
              <w:t xml:space="preserve">Keep (core)</w:t>
            </w:r>
          </w:p>
        </w:tc>
        <w:tc>
          <w:tcPr>
            <w:tcW w:w="3380" w:type="dxa"/>
          </w:tcPr>
          <w:p>
            <w:pPr/>
            <w:r>
              <w:t xml:space="preserve">Tested, Medium; vulnerability field still to verify</w:t>
            </w:r>
          </w:p>
        </w:tc>
      </w:tr>
      <w:tr>
        <w:trPr>
          <w:cantSplit/>
        </w:trPr>
        <w:tc>
          <w:tcPr>
            <w:tcW w:w="1410" w:type="dxa"/>
          </w:tcPr>
          <w:p>
            <w:pPr/>
            <w:r>
              <w:t xml:space="preserve">FICC-GSD-03</w:t>
            </w:r>
          </w:p>
        </w:tc>
        <w:tc>
          <w:tcPr>
            <w:tcW w:w="2757" w:type="dxa"/>
          </w:tcPr>
          <w:p>
            <w:pPr/>
            <w:r>
              <w:t xml:space="preserve">Treasury clearing mandate deadlines → onboarding</w:t>
            </w:r>
          </w:p>
        </w:tc>
        <w:tc>
          <w:tcPr>
            <w:tcW w:w="1813" w:type="dxa"/>
          </w:tcPr>
          <w:p>
            <w:pPr/>
            <w:r>
              <w:t xml:space="preserve">Keep (core)</w:t>
            </w:r>
          </w:p>
        </w:tc>
        <w:tc>
          <w:tcPr>
            <w:tcW w:w="3380" w:type="dxa"/>
          </w:tcPr>
          <w:p>
            <w:pPr/>
            <w:r>
              <w:t xml:space="preserve">Low, event-scored; Dec 31 deadline is close</w:t>
            </w:r>
          </w:p>
        </w:tc>
      </w:tr>
      <w:tr>
        <w:trPr>
          <w:cantSplit/>
        </w:trPr>
        <w:tc>
          <w:tcPr>
            <w:tcW w:w="1410" w:type="dxa"/>
          </w:tcPr>
          <w:p>
            <w:pPr/>
            <w:r>
              <w:t xml:space="preserve">FICC-MBSD-01</w:t>
            </w:r>
          </w:p>
        </w:tc>
        <w:tc>
          <w:tcPr>
            <w:tcW w:w="2757" w:type="dxa"/>
          </w:tcPr>
          <w:p>
            <w:pPr/>
            <w:r>
              <w:t xml:space="preserve">MBS spread shock → MBSD margin</w:t>
            </w:r>
          </w:p>
        </w:tc>
        <w:tc>
          <w:tcPr>
            <w:tcW w:w="1813" w:type="dxa"/>
          </w:tcPr>
          <w:p>
            <w:pPr/>
            <w:r>
              <w:t xml:space="preserve">Keep (core)</w:t>
            </w:r>
          </w:p>
        </w:tc>
        <w:tc>
          <w:tcPr>
            <w:tcW w:w="3380" w:type="dxa"/>
          </w:tcPr>
          <w:p>
            <w:pPr/>
            <w:r>
              <w:t xml:space="preserve">Tested, Medium</w:t>
            </w:r>
          </w:p>
        </w:tc>
      </w:tr>
      <w:tr>
        <w:trPr>
          <w:cantSplit/>
        </w:trPr>
        <w:tc>
          <w:tcPr>
            <w:tcW w:w="1410" w:type="dxa"/>
          </w:tcPr>
          <w:p>
            <w:pPr/>
            <w:r>
              <w:t xml:space="preserve">ECS-NSCC-01</w:t>
            </w:r>
          </w:p>
        </w:tc>
        <w:tc>
          <w:tcPr>
            <w:tcW w:w="2757" w:type="dxa"/>
          </w:tcPr>
          <w:p>
            <w:pPr/>
            <w:r>
              <w:t xml:space="preserve">Equity selloff → NSCC variation margin</w:t>
            </w:r>
          </w:p>
        </w:tc>
        <w:tc>
          <w:tcPr>
            <w:tcW w:w="1813" w:type="dxa"/>
          </w:tcPr>
          <w:p>
            <w:pPr/>
            <w:r>
              <w:t xml:space="preserve">Keep (core)</w:t>
            </w:r>
          </w:p>
        </w:tc>
        <w:tc>
          <w:tcPr>
            <w:tcW w:w="3380" w:type="dxa"/>
          </w:tcPr>
          <w:p>
            <w:pPr/>
            <w:r>
              <w:t xml:space="preserve">Medium; combined with NSCC-02 into the "NSCC liquidity" card</w:t>
            </w:r>
          </w:p>
        </w:tc>
      </w:tr>
      <w:tr>
        <w:trPr>
          <w:cantSplit/>
        </w:trPr>
        <w:tc>
          <w:tcPr>
            <w:tcW w:w="1410" w:type="dxa"/>
          </w:tcPr>
          <w:p>
            <w:pPr/>
            <w:r>
              <w:t xml:space="preserve">ECS-NSCC-02</w:t>
            </w:r>
          </w:p>
        </w:tc>
        <w:tc>
          <w:tcPr>
            <w:tcW w:w="2757" w:type="dxa"/>
          </w:tcPr>
          <w:p>
            <w:pPr/>
            <w:r>
              <w:t xml:space="preserve">Funding squeeze → NSCC liquidity</w:t>
            </w:r>
          </w:p>
        </w:tc>
        <w:tc>
          <w:tcPr>
            <w:tcW w:w="1813" w:type="dxa"/>
          </w:tcPr>
          <w:p>
            <w:pPr/>
            <w:r>
              <w:t xml:space="preserve">Keep (core)</w:t>
            </w:r>
          </w:p>
        </w:tc>
        <w:tc>
          <w:tcPr>
            <w:tcW w:w="3380" w:type="dxa"/>
          </w:tcPr>
          <w:p>
            <w:pPr/>
            <w:r>
              <w:t xml:space="preserve">Medium; same card as above</w:t>
            </w:r>
          </w:p>
        </w:tc>
      </w:tr>
      <w:tr>
        <w:trPr>
          <w:cantSplit/>
        </w:trPr>
        <w:tc>
          <w:tcPr>
            <w:tcW w:w="1410" w:type="dxa"/>
          </w:tcPr>
          <w:p>
            <w:pPr/>
            <w:r>
              <w:t xml:space="preserve">ECS-NSCC-03</w:t>
            </w:r>
          </w:p>
        </w:tc>
        <w:tc>
          <w:tcPr>
            <w:tcW w:w="2757" w:type="dxa"/>
          </w:tcPr>
          <w:p>
            <w:pPr/>
            <w:r>
              <w:t xml:space="preserve">Volume surge → settlement fails</w:t>
            </w:r>
          </w:p>
        </w:tc>
        <w:tc>
          <w:tcPr>
            <w:tcW w:w="1813" w:type="dxa"/>
          </w:tcPr>
          <w:p>
            <w:pPr/>
            <w:r>
              <w:t xml:space="preserve">Keep (core)</w:t>
            </w:r>
          </w:p>
        </w:tc>
        <w:tc>
          <w:tcPr>
            <w:tcW w:w="3380" w:type="dxa"/>
          </w:tcPr>
          <w:p>
            <w:pPr/>
            <w:r>
              <w:t xml:space="preserve">Medium; no vulnerability data, shock score only</w:t>
            </w:r>
          </w:p>
        </w:tc>
      </w:tr>
      <w:tr>
        <w:trPr>
          <w:cantSplit/>
        </w:trPr>
        <w:tc>
          <w:tcPr>
            <w:tcW w:w="1410" w:type="dxa"/>
          </w:tcPr>
          <w:p>
            <w:pPr/>
            <w:r>
              <w:t xml:space="preserve">ECS-SET-01</w:t>
            </w:r>
          </w:p>
        </w:tc>
        <w:tc>
          <w:tcPr>
            <w:tcW w:w="2757" w:type="dxa"/>
          </w:tcPr>
          <w:p>
            <w:pPr/>
            <w:r>
              <w:t xml:space="preserve">Shorter settlement cycle → settlement fails</w:t>
            </w:r>
          </w:p>
        </w:tc>
        <w:tc>
          <w:tcPr>
            <w:tcW w:w="1813" w:type="dxa"/>
          </w:tcPr>
          <w:p>
            <w:pPr/>
            <w:r>
              <w:t xml:space="preserve">Keep (core)</w:t>
            </w:r>
          </w:p>
        </w:tc>
        <w:tc>
          <w:tcPr>
            <w:tcW w:w="3380" w:type="dxa"/>
          </w:tcPr>
          <w:p>
            <w:pPr/>
            <w:r>
              <w:t xml:space="preserve">Low, event-scored</w:t>
            </w:r>
          </w:p>
        </w:tc>
      </w:tr>
      <w:tr>
        <w:trPr>
          <w:cantSplit/>
        </w:trPr>
        <w:tc>
          <w:tcPr>
            <w:tcW w:w="1410" w:type="dxa"/>
          </w:tcPr>
          <w:p>
            <w:pPr/>
            <w:r>
              <w:t xml:space="preserve">FICC-GSD-04</w:t>
            </w:r>
          </w:p>
        </w:tc>
        <w:tc>
          <w:tcPr>
            <w:tcW w:w="2757" w:type="dxa"/>
          </w:tcPr>
          <w:p>
            <w:pPr/>
            <w:r>
              <w:t xml:space="preserve">Member credit deterioration → default management</w:t>
            </w:r>
          </w:p>
        </w:tc>
        <w:tc>
          <w:tcPr>
            <w:tcW w:w="1813" w:type="dxa"/>
          </w:tcPr>
          <w:p>
            <w:pPr/>
            <w:r>
              <w:t xml:space="preserve">New card: Member stress / default</w:t>
            </w:r>
          </w:p>
        </w:tc>
        <w:tc>
          <w:tcPr>
            <w:tcW w:w="3380" w:type="dxa"/>
          </w:tcPr>
          <w:p>
            <w:pPr/>
            <w:r>
              <w:t xml:space="preserve">Base chain for the card, Medium</w:t>
            </w:r>
          </w:p>
        </w:tc>
      </w:tr>
      <w:tr>
        <w:trPr>
          <w:cantSplit/>
        </w:trPr>
        <w:tc>
          <w:tcPr>
            <w:tcW w:w="1410" w:type="dxa"/>
          </w:tcPr>
          <w:p>
            <w:pPr/>
            <w:r>
              <w:t xml:space="preserve">ECS-NSCC-04</w:t>
            </w:r>
          </w:p>
        </w:tc>
        <w:tc>
          <w:tcPr>
            <w:tcW w:w="2757" w:type="dxa"/>
          </w:tcPr>
          <w:p>
            <w:pPr/>
            <w:r>
              <w:t xml:space="preserve">Concentrated member positions → higher requirements</w:t>
            </w:r>
          </w:p>
        </w:tc>
        <w:tc>
          <w:tcPr>
            <w:tcW w:w="1813" w:type="dxa"/>
          </w:tcPr>
          <w:p>
            <w:pPr/>
            <w:r>
              <w:t xml:space="preserve">New card: Member stress / default</w:t>
            </w:r>
          </w:p>
        </w:tc>
        <w:tc>
          <w:tcPr>
            <w:tcW w:w="3380" w:type="dxa"/>
          </w:tcPr>
          <w:p>
            <w:pPr/>
            <w:r>
              <w:t xml:space="preserve">Early stage of the same escalation</w:t>
            </w:r>
          </w:p>
        </w:tc>
      </w:tr>
      <w:tr>
        <w:trPr>
          <w:cantSplit/>
        </w:trPr>
        <w:tc>
          <w:tcPr>
            <w:tcW w:w="1410" w:type="dxa"/>
          </w:tcPr>
          <w:p>
            <w:pPr/>
            <w:r>
              <w:t xml:space="preserve">FICC-MBSD-03</w:t>
            </w:r>
          </w:p>
        </w:tc>
        <w:tc>
          <w:tcPr>
            <w:tcW w:w="2757" w:type="dxa"/>
          </w:tcPr>
          <w:p>
            <w:pPr/>
            <w:r>
              <w:t xml:space="preserve">Watch List</w:t>
            </w:r>
          </w:p>
        </w:tc>
        <w:tc>
          <w:tcPr>
            <w:tcW w:w="1813" w:type="dxa"/>
          </w:tcPr>
          <w:p>
            <w:pPr/>
            <w:r>
              <w:t xml:space="preserve">New card: Member stress / default</w:t>
            </w:r>
          </w:p>
        </w:tc>
        <w:tc>
          <w:tcPr>
            <w:tcW w:w="3380" w:type="dxa"/>
          </w:tcPr>
          <w:p>
            <w:pPr/>
            <w:r>
              <w:t xml:space="preserve">Early stage on the MBSD side</w:t>
            </w:r>
          </w:p>
        </w:tc>
      </w:tr>
      <w:tr>
        <w:trPr>
          <w:cantSplit/>
        </w:trPr>
        <w:tc>
          <w:tcPr>
            <w:tcW w:w="1410" w:type="dxa"/>
          </w:tcPr>
          <w:p>
            <w:pPr/>
            <w:r>
              <w:t xml:space="preserve">FICC-GSD-05</w:t>
            </w:r>
          </w:p>
        </w:tc>
        <w:tc>
          <w:tcPr>
            <w:tcW w:w="2757" w:type="dxa"/>
          </w:tcPr>
          <w:p>
            <w:pPr/>
            <w:r>
              <w:t xml:space="preserve">GCF Repo collateral allocation</w:t>
            </w:r>
          </w:p>
        </w:tc>
        <w:tc>
          <w:tcPr>
            <w:tcW w:w="1813" w:type="dxa"/>
          </w:tcPr>
          <w:p>
            <w:pPr/>
            <w:r>
              <w:t xml:space="preserve">Merge into GSD-02</w:t>
            </w:r>
          </w:p>
        </w:tc>
        <w:tc>
          <w:tcPr>
            <w:tcW w:w="3380" w:type="dxa"/>
          </w:tcPr>
          <w:p>
            <w:pPr/>
            <w:r>
              <w:t xml:space="preserve">Same repo funding and settlement liquidity process</w:t>
            </w:r>
          </w:p>
        </w:tc>
      </w:tr>
      <w:tr>
        <w:trPr>
          <w:cantSplit/>
        </w:trPr>
        <w:tc>
          <w:tcPr>
            <w:tcW w:w="1410" w:type="dxa"/>
          </w:tcPr>
          <w:p>
            <w:pPr/>
            <w:r>
              <w:t xml:space="preserve">FICC-GSD-07</w:t>
            </w:r>
          </w:p>
        </w:tc>
        <w:tc>
          <w:tcPr>
            <w:tcW w:w="2757" w:type="dxa"/>
          </w:tcPr>
          <w:p>
            <w:pPr/>
            <w:r>
              <w:t xml:space="preserve">Money market funds pull back from repo</w:t>
            </w:r>
          </w:p>
        </w:tc>
        <w:tc>
          <w:tcPr>
            <w:tcW w:w="1813" w:type="dxa"/>
          </w:tcPr>
          <w:p>
            <w:pPr/>
            <w:r>
              <w:t xml:space="preserve">Merge into GSD-02</w:t>
            </w:r>
          </w:p>
        </w:tc>
        <w:tc>
          <w:tcPr>
            <w:tcW w:w="3380" w:type="dxa"/>
          </w:tcPr>
          <w:p>
            <w:pPr/>
            <w:r>
              <w:t xml:space="preserve">Same process; added as another trigger</w:t>
            </w:r>
          </w:p>
        </w:tc>
      </w:tr>
      <w:tr>
        <w:trPr>
          <w:cantSplit/>
        </w:trPr>
        <w:tc>
          <w:tcPr>
            <w:tcW w:w="1410" w:type="dxa"/>
          </w:tcPr>
          <w:p>
            <w:pPr/>
            <w:r>
              <w:t xml:space="preserve">FICC-GSD-09</w:t>
            </w:r>
          </w:p>
        </w:tc>
        <w:tc>
          <w:tcPr>
            <w:tcW w:w="2757" w:type="dxa"/>
          </w:tcPr>
          <w:p>
            <w:pPr/>
            <w:r>
              <w:t xml:space="preserve">Cross-margining</w:t>
            </w:r>
          </w:p>
        </w:tc>
        <w:tc>
          <w:tcPr>
            <w:tcW w:w="1813" w:type="dxa"/>
          </w:tcPr>
          <w:p>
            <w:pPr/>
            <w:r>
              <w:t xml:space="preserve">Merge into GSD-01</w:t>
            </w:r>
          </w:p>
        </w:tc>
        <w:tc>
          <w:tcPr>
            <w:tcW w:w="3380" w:type="dxa"/>
          </w:tcPr>
          <w:p>
            <w:pPr/>
            <w:r>
              <w:t xml:space="preserve">Same GSD margin process</w:t>
            </w:r>
          </w:p>
        </w:tc>
      </w:tr>
      <w:tr>
        <w:trPr>
          <w:cantSplit/>
        </w:trPr>
        <w:tc>
          <w:tcPr>
            <w:tcW w:w="1410" w:type="dxa"/>
          </w:tcPr>
          <w:p>
            <w:pPr/>
            <w:r>
              <w:t xml:space="preserve">FICC-MBSD-06</w:t>
            </w:r>
          </w:p>
        </w:tc>
        <w:tc>
          <w:tcPr>
            <w:tcW w:w="2757" w:type="dxa"/>
          </w:tcPr>
          <w:p>
            <w:pPr/>
            <w:r>
              <w:t xml:space="preserve">Forward TBA pipeline builds</w:t>
            </w:r>
          </w:p>
        </w:tc>
        <w:tc>
          <w:tcPr>
            <w:tcW w:w="1813" w:type="dxa"/>
          </w:tcPr>
          <w:p>
            <w:pPr/>
            <w:r>
              <w:t xml:space="preserve">Merge into MBSD-01</w:t>
            </w:r>
          </w:p>
        </w:tc>
        <w:tc>
          <w:tcPr>
            <w:tcW w:w="3380" w:type="dxa"/>
          </w:tcPr>
          <w:p>
            <w:pPr/>
            <w:r>
              <w:t xml:space="preserve">Same MBSD margin process</w:t>
            </w:r>
          </w:p>
        </w:tc>
      </w:tr>
      <w:tr>
        <w:trPr>
          <w:cantSplit/>
        </w:trPr>
        <w:tc>
          <w:tcPr>
            <w:tcW w:w="1410" w:type="dxa"/>
          </w:tcPr>
          <w:p>
            <w:pPr/>
            <w:r>
              <w:t xml:space="preserve">ECS-NSCC-05</w:t>
            </w:r>
          </w:p>
        </w:tc>
        <w:tc>
          <w:tcPr>
            <w:tcW w:w="2757" w:type="dxa"/>
          </w:tcPr>
          <w:p>
            <w:pPr/>
            <w:r>
              <w:t xml:space="preserve">Supplemental Liquidity Deposits</w:t>
            </w:r>
          </w:p>
        </w:tc>
        <w:tc>
          <w:tcPr>
            <w:tcW w:w="1813" w:type="dxa"/>
          </w:tcPr>
          <w:p>
            <w:pPr/>
            <w:r>
              <w:t xml:space="preserve">Merge into "NSCC liquidity"</w:t>
            </w:r>
          </w:p>
        </w:tc>
        <w:tc>
          <w:tcPr>
            <w:tcW w:w="3380" w:type="dxa"/>
          </w:tcPr>
          <w:p>
            <w:pPr/>
            <w:r>
              <w:t xml:space="preserve">Same NSCC liquidity process; adds the specific tool</w:t>
            </w:r>
          </w:p>
        </w:tc>
      </w:tr>
      <w:tr>
        <w:trPr>
          <w:cantSplit/>
        </w:trPr>
        <w:tc>
          <w:tcPr>
            <w:tcW w:w="1410" w:type="dxa"/>
          </w:tcPr>
          <w:p>
            <w:pPr/>
            <w:r>
              <w:t xml:space="preserve">FICC-MBSD-04</w:t>
            </w:r>
          </w:p>
        </w:tc>
        <w:tc>
          <w:tcPr>
            <w:tcW w:w="2757" w:type="dxa"/>
          </w:tcPr>
          <w:p>
            <w:pPr/>
            <w:r>
              <w:t xml:space="preserve">Market-wide disruption</w:t>
            </w:r>
          </w:p>
        </w:tc>
        <w:tc>
          <w:tcPr>
            <w:tcW w:w="1813" w:type="dxa"/>
          </w:tcPr>
          <w:p>
            <w:pPr/>
            <w:r>
              <w:t xml:space="preserve">New card: Market disruption</w:t>
            </w:r>
          </w:p>
        </w:tc>
        <w:tc>
          <w:tcPr>
            <w:tcW w:w="3380" w:type="dxa"/>
          </w:tcPr>
          <w:p>
            <w:pPr/>
            <w:r>
              <w:t xml:space="preserve">One event hits FICC and DTC</w:t>
            </w:r>
          </w:p>
        </w:tc>
      </w:tr>
      <w:tr>
        <w:trPr>
          <w:cantSplit/>
        </w:trPr>
        <w:tc>
          <w:tcPr>
            <w:tcW w:w="1410" w:type="dxa"/>
          </w:tcPr>
          <w:p>
            <w:pPr/>
            <w:r>
              <w:t xml:space="preserve">ECS-DTC-03</w:t>
            </w:r>
          </w:p>
        </w:tc>
        <w:tc>
          <w:tcPr>
            <w:tcW w:w="2757" w:type="dxa"/>
          </w:tcPr>
          <w:p>
            <w:pPr/>
            <w:r>
              <w:t xml:space="preserve">Market-wide disruption</w:t>
            </w:r>
          </w:p>
        </w:tc>
        <w:tc>
          <w:tcPr>
            <w:tcW w:w="1813" w:type="dxa"/>
          </w:tcPr>
          <w:p>
            <w:pPr/>
            <w:r>
              <w:t xml:space="preserve">New card: Market disruption</w:t>
            </w:r>
          </w:p>
        </w:tc>
        <w:tc>
          <w:tcPr>
            <w:tcW w:w="3380" w:type="dxa"/>
          </w:tcPr>
          <w:p>
            <w:pPr/>
            <w:r>
              <w:t xml:space="preserve">Same as above</w:t>
            </w:r>
          </w:p>
        </w:tc>
      </w:tr>
      <w:tr>
        <w:trPr>
          <w:cantSplit/>
        </w:trPr>
        <w:tc>
          <w:tcPr>
            <w:tcW w:w="1410" w:type="dxa"/>
          </w:tcPr>
          <w:p>
            <w:pPr/>
            <w:r>
              <w:t xml:space="preserve">ECS-NSCC-07</w:t>
            </w:r>
          </w:p>
        </w:tc>
        <w:tc>
          <w:tcPr>
            <w:tcW w:w="2757" w:type="dxa"/>
          </w:tcPr>
          <w:p>
            <w:pPr/>
            <w:r>
              <w:t xml:space="preserve">Settling bank problem</w:t>
            </w:r>
          </w:p>
        </w:tc>
        <w:tc>
          <w:tcPr>
            <w:tcW w:w="1813" w:type="dxa"/>
          </w:tcPr>
          <w:p>
            <w:pPr/>
            <w:r>
              <w:t xml:space="preserve">New card: Settling bank</w:t>
            </w:r>
          </w:p>
        </w:tc>
        <w:tc>
          <w:tcPr>
            <w:tcW w:w="3380" w:type="dxa"/>
          </w:tcPr>
          <w:p>
            <w:pPr/>
            <w:r>
              <w:t xml:space="preserve">One event hits NSCC, FICC and DTC</w:t>
            </w:r>
          </w:p>
        </w:tc>
      </w:tr>
      <w:tr>
        <w:trPr>
          <w:cantSplit/>
        </w:trPr>
        <w:tc>
          <w:tcPr>
            <w:tcW w:w="1410" w:type="dxa"/>
          </w:tcPr>
          <w:p>
            <w:pPr/>
            <w:r>
              <w:t xml:space="preserve">FICC-MBSD-05</w:t>
            </w:r>
          </w:p>
        </w:tc>
        <w:tc>
          <w:tcPr>
            <w:tcW w:w="2757" w:type="dxa"/>
          </w:tcPr>
          <w:p>
            <w:pPr/>
            <w:r>
              <w:t xml:space="preserve">Participant system disruption</w:t>
            </w:r>
          </w:p>
        </w:tc>
        <w:tc>
          <w:tcPr>
            <w:tcW w:w="1813" w:type="dxa"/>
          </w:tcPr>
          <w:p>
            <w:pPr/>
            <w:r>
              <w:t xml:space="preserve">New card: Cyber / system event</w:t>
            </w:r>
          </w:p>
        </w:tc>
        <w:tc>
          <w:tcPr>
            <w:tcW w:w="3380" w:type="dxa"/>
          </w:tcPr>
          <w:p>
            <w:pPr/>
            <w:r>
              <w:t xml:space="preserve">One type of event hits several entities</w:t>
            </w:r>
          </w:p>
        </w:tc>
      </w:tr>
      <w:tr>
        <w:trPr>
          <w:cantSplit/>
        </w:trPr>
        <w:tc>
          <w:tcPr>
            <w:tcW w:w="1410" w:type="dxa"/>
          </w:tcPr>
          <w:p>
            <w:pPr/>
            <w:r>
              <w:t xml:space="preserve">FICC-MBSD-09</w:t>
            </w:r>
          </w:p>
        </w:tc>
        <w:tc>
          <w:tcPr>
            <w:tcW w:w="2757" w:type="dxa"/>
          </w:tcPr>
          <w:p>
            <w:pPr/>
            <w:r>
              <w:t xml:space="preserve">EPN cybersecurity</w:t>
            </w:r>
          </w:p>
        </w:tc>
        <w:tc>
          <w:tcPr>
            <w:tcW w:w="1813" w:type="dxa"/>
          </w:tcPr>
          <w:p>
            <w:pPr/>
            <w:r>
              <w:t xml:space="preserve">New card: Cyber / system event</w:t>
            </w:r>
          </w:p>
        </w:tc>
        <w:tc>
          <w:tcPr>
            <w:tcW w:w="3380" w:type="dxa"/>
          </w:tcPr>
          <w:p>
            <w:pPr/>
            <w:r>
              <w:t xml:space="preserve">Same as above</w:t>
            </w:r>
          </w:p>
        </w:tc>
      </w:tr>
      <w:tr>
        <w:trPr>
          <w:cantSplit/>
        </w:trPr>
        <w:tc>
          <w:tcPr>
            <w:tcW w:w="1410" w:type="dxa"/>
          </w:tcPr>
          <w:p>
            <w:pPr/>
            <w:r>
              <w:t xml:space="preserve">FICC-GSD-11</w:t>
            </w:r>
          </w:p>
        </w:tc>
        <w:tc>
          <w:tcPr>
            <w:tcW w:w="2757" w:type="dxa"/>
          </w:tcPr>
          <w:p>
            <w:pPr/>
            <w:r>
              <w:t xml:space="preserve">Agent-cleared customer (e.g. hedge fund) stress</w:t>
            </w:r>
          </w:p>
        </w:tc>
        <w:tc>
          <w:tcPr>
            <w:tcW w:w="1813" w:type="dxa"/>
          </w:tcPr>
          <w:p>
            <w:pPr/>
            <w:r>
              <w:t xml:space="preserve">Keep (Low watch)</w:t>
            </w:r>
          </w:p>
        </w:tc>
        <w:tc>
          <w:tcPr>
            <w:tcW w:w="3380" w:type="dxa"/>
          </w:tcPr>
          <w:p>
            <w:pPr/>
            <w:r>
              <w:t xml:space="preserve">Outside event, visible in news, linked to the Treasury basis trade</w:t>
            </w:r>
          </w:p>
        </w:tc>
      </w:tr>
      <w:tr>
        <w:trPr>
          <w:cantSplit/>
        </w:trPr>
        <w:tc>
          <w:tcPr>
            <w:tcW w:w="1410" w:type="dxa"/>
          </w:tcPr>
          <w:p>
            <w:pPr/>
            <w:r>
              <w:t xml:space="preserve">FICC-MBSD-02</w:t>
            </w:r>
          </w:p>
        </w:tc>
        <w:tc>
          <w:tcPr>
            <w:tcW w:w="2757" w:type="dxa"/>
          </w:tcPr>
          <w:p>
            <w:pPr/>
            <w:r>
              <w:t xml:space="preserve">Pool delivery fails</w:t>
            </w:r>
          </w:p>
        </w:tc>
        <w:tc>
          <w:tcPr>
            <w:tcW w:w="1813" w:type="dxa"/>
          </w:tcPr>
          <w:p>
            <w:pPr/>
            <w:r>
              <w:t xml:space="preserve">Keep (Low watch)</w:t>
            </w:r>
          </w:p>
        </w:tc>
        <w:tc>
          <w:tcPr>
            <w:tcW w:w="3380" w:type="dxa"/>
          </w:tcPr>
          <w:p>
            <w:pPr/>
            <w:r>
              <w:t xml:space="preserve">Can occur every monthly settlement cycle; hits core MBSD settlement</w:t>
            </w:r>
          </w:p>
        </w:tc>
      </w:tr>
      <w:tr>
        <w:trPr>
          <w:cantSplit/>
        </w:trPr>
        <w:tc>
          <w:tcPr>
            <w:tcW w:w="1410" w:type="dxa"/>
          </w:tcPr>
          <w:p>
            <w:pPr/>
            <w:r>
              <w:t xml:space="preserve">ECS-NSCC-08</w:t>
            </w:r>
          </w:p>
        </w:tc>
        <w:tc>
          <w:tcPr>
            <w:tcW w:w="2757" w:type="dxa"/>
          </w:tcPr>
          <w:p>
            <w:pPr/>
            <w:r>
              <w:t xml:space="preserve">Broker failure → ACATS transfers</w:t>
            </w:r>
          </w:p>
        </w:tc>
        <w:tc>
          <w:tcPr>
            <w:tcW w:w="1813" w:type="dxa"/>
          </w:tcPr>
          <w:p>
            <w:pPr/>
            <w:r>
              <w:t xml:space="preserve">Keep (Low watch)</w:t>
            </w:r>
          </w:p>
        </w:tc>
        <w:tc>
          <w:tcPr>
            <w:tcW w:w="3380" w:type="dxa"/>
          </w:tcPr>
          <w:p>
            <w:pPr/>
            <w:r>
              <w:t xml:space="preserve">A broker failure is a clear outside event</w:t>
            </w:r>
          </w:p>
        </w:tc>
      </w:tr>
      <w:tr>
        <w:trPr>
          <w:cantSplit/>
        </w:trPr>
        <w:tc>
          <w:tcPr>
            <w:tcW w:w="1410" w:type="dxa"/>
          </w:tcPr>
          <w:p>
            <w:pPr/>
            <w:r>
              <w:t xml:space="preserve">ECS-NSCC-09</w:t>
            </w:r>
          </w:p>
        </w:tc>
        <w:tc>
          <w:tcPr>
            <w:tcW w:w="2757" w:type="dxa"/>
          </w:tcPr>
          <w:p>
            <w:pPr/>
            <w:r>
              <w:t xml:space="preserve">Securities financing (SFT) stress</w:t>
            </w:r>
          </w:p>
        </w:tc>
        <w:tc>
          <w:tcPr>
            <w:tcW w:w="1813" w:type="dxa"/>
          </w:tcPr>
          <w:p>
            <w:pPr/>
            <w:r>
              <w:t xml:space="preserve">Keep (Low watch)</w:t>
            </w:r>
          </w:p>
        </w:tc>
        <w:tc>
          <w:tcPr>
            <w:tcW w:w="3380" w:type="dxa"/>
          </w:tcPr>
          <w:p>
            <w:pPr/>
            <w:r>
              <w:t xml:space="preserve">Repo and stock-loan stress is visible; service launched in 2022</w:t>
            </w:r>
          </w:p>
        </w:tc>
      </w:tr>
      <w:tr>
        <w:trPr>
          <w:cantSplit/>
        </w:trPr>
        <w:tc>
          <w:tcPr>
            <w:tcW w:w="1410" w:type="dxa"/>
          </w:tcPr>
          <w:p>
            <w:pPr/>
            <w:r>
              <w:t xml:space="preserve">ECS-DTC-01</w:t>
            </w:r>
          </w:p>
        </w:tc>
        <w:tc>
          <w:tcPr>
            <w:tcW w:w="2757" w:type="dxa"/>
          </w:tcPr>
          <w:p>
            <w:pPr/>
            <w:r>
              <w:t xml:space="preserve">Commercial paper funding stress → MMI settlement</w:t>
            </w:r>
          </w:p>
        </w:tc>
        <w:tc>
          <w:tcPr>
            <w:tcW w:w="1813" w:type="dxa"/>
          </w:tcPr>
          <w:p>
            <w:pPr/>
            <w:r>
              <w:t xml:space="preserve">Keep (Low watch)</w:t>
            </w:r>
          </w:p>
        </w:tc>
        <w:tc>
          <w:tcPr>
            <w:tcW w:w="3380" w:type="dxa"/>
          </w:tcPr>
          <w:p>
            <w:pPr/>
            <w:r>
              <w:t xml:space="preserve">Public spread data can track it</w:t>
            </w:r>
          </w:p>
        </w:tc>
      </w:tr>
      <w:tr>
        <w:trPr>
          <w:cantSplit/>
        </w:trPr>
        <w:tc>
          <w:tcPr>
            <w:tcW w:w="1410" w:type="dxa"/>
          </w:tcPr>
          <w:p>
            <w:pPr/>
            <w:r>
              <w:t xml:space="preserve">ECS-NSCC-10</w:t>
            </w:r>
          </w:p>
        </w:tc>
        <w:tc>
          <w:tcPr>
            <w:tcW w:w="2757" w:type="dxa"/>
          </w:tcPr>
          <w:p>
            <w:pPr/>
            <w:r>
              <w:t xml:space="preserve">Envelope Settlement Service</w:t>
            </w:r>
          </w:p>
        </w:tc>
        <w:tc>
          <w:tcPr>
            <w:tcW w:w="1813" w:type="dxa"/>
          </w:tcPr>
          <w:p>
            <w:pPr/>
            <w:r>
              <w:t xml:space="preserve">Archive</w:t>
            </w:r>
          </w:p>
        </w:tc>
        <w:tc>
          <w:tcPr>
            <w:tcW w:w="3380" w:type="dxa"/>
          </w:tcPr>
          <w:p>
            <w:pPr/>
            <w:r>
              <w:t xml:space="preserve">Physical, back-office trigger; small business</w:t>
            </w:r>
          </w:p>
        </w:tc>
      </w:tr>
      <w:tr>
        <w:trPr>
          <w:cantSplit/>
        </w:trPr>
        <w:tc>
          <w:tcPr>
            <w:tcW w:w="1410" w:type="dxa"/>
          </w:tcPr>
          <w:p>
            <w:pPr/>
            <w:r>
              <w:t xml:space="preserve">FICC-MBSD-08</w:t>
            </w:r>
          </w:p>
        </w:tc>
        <w:tc>
          <w:tcPr>
            <w:tcW w:w="2757" w:type="dxa"/>
          </w:tcPr>
          <w:p>
            <w:pPr/>
            <w:r>
              <w:t xml:space="preserve">EPN message delays</w:t>
            </w:r>
          </w:p>
        </w:tc>
        <w:tc>
          <w:tcPr>
            <w:tcW w:w="1813" w:type="dxa"/>
          </w:tcPr>
          <w:p>
            <w:pPr/>
            <w:r>
              <w:t xml:space="preserve">Archive</w:t>
            </w:r>
          </w:p>
        </w:tc>
        <w:tc>
          <w:tcPr>
            <w:tcW w:w="3380" w:type="dxa"/>
          </w:tcPr>
          <w:p>
            <w:pPr/>
            <w:r>
              <w:t xml:space="preserve">Trigger is internal or member operations, not an outside event</w:t>
            </w:r>
          </w:p>
        </w:tc>
      </w:tr>
      <w:tr>
        <w:trPr>
          <w:cantSplit/>
        </w:trPr>
        <w:tc>
          <w:tcPr>
            <w:tcW w:w="1410" w:type="dxa"/>
          </w:tcPr>
          <w:p>
            <w:pPr/>
            <w:r>
              <w:t xml:space="preserve">FICC-MBSD-07</w:t>
            </w:r>
          </w:p>
        </w:tc>
        <w:tc>
          <w:tcPr>
            <w:tcW w:w="2757" w:type="dxa"/>
          </w:tcPr>
          <w:p>
            <w:pPr/>
            <w:r>
              <w:t xml:space="preserve">MBS options expiry</w:t>
            </w:r>
          </w:p>
        </w:tc>
        <w:tc>
          <w:tcPr>
            <w:tcW w:w="1813" w:type="dxa"/>
          </w:tcPr>
          <w:p>
            <w:pPr/>
            <w:r>
              <w:t xml:space="preserve">Archive</w:t>
            </w:r>
          </w:p>
        </w:tc>
        <w:tc>
          <w:tcPr>
            <w:tcW w:w="3380" w:type="dxa"/>
          </w:tcPr>
          <w:p>
            <w:pPr/>
            <w:r>
              <w:t xml:space="preserve">Niche; no public open-interest data; rarely in news</w:t>
            </w:r>
          </w:p>
        </w:tc>
      </w:tr>
      <w:tr>
        <w:trPr>
          <w:cantSplit/>
        </w:trPr>
        <w:tc>
          <w:tcPr>
            <w:tcW w:w="1410" w:type="dxa"/>
          </w:tcPr>
          <w:p>
            <w:pPr/>
            <w:r>
              <w:t xml:space="preserve">ECS-NSCC-12</w:t>
            </w:r>
          </w:p>
        </w:tc>
        <w:tc>
          <w:tcPr>
            <w:tcW w:w="2757" w:type="dxa"/>
          </w:tcPr>
          <w:p>
            <w:pPr/>
            <w:r>
              <w:t xml:space="preserve">International Links</w:t>
            </w:r>
          </w:p>
        </w:tc>
        <w:tc>
          <w:tcPr>
            <w:tcW w:w="1813" w:type="dxa"/>
          </w:tcPr>
          <w:p>
            <w:pPr/>
            <w:r>
              <w:t xml:space="preserve">Archive</w:t>
            </w:r>
          </w:p>
        </w:tc>
        <w:tc>
          <w:tcPr>
            <w:tcW w:w="3380" w:type="dxa"/>
          </w:tcPr>
          <w:p>
            <w:pPr/>
            <w:r>
              <w:t xml:space="preserve">Small business; rarely in news</w:t>
            </w:r>
          </w:p>
        </w:tc>
      </w:tr>
      <w:tr>
        <w:trPr>
          <w:cantSplit/>
        </w:trPr>
        <w:tc>
          <w:tcPr>
            <w:tcW w:w="1410" w:type="dxa"/>
          </w:tcPr>
          <w:p>
            <w:pPr/>
            <w:r>
              <w:t xml:space="preserve">ECS-DTC-04</w:t>
            </w:r>
          </w:p>
        </w:tc>
        <w:tc>
          <w:tcPr>
            <w:tcW w:w="2757" w:type="dxa"/>
          </w:tcPr>
          <w:p>
            <w:pPr/>
            <w:r>
              <w:t xml:space="preserve">Canadian-Link</w:t>
            </w:r>
          </w:p>
        </w:tc>
        <w:tc>
          <w:tcPr>
            <w:tcW w:w="1813" w:type="dxa"/>
          </w:tcPr>
          <w:p>
            <w:pPr/>
            <w:r>
              <w:t xml:space="preserve">Archive</w:t>
            </w:r>
          </w:p>
        </w:tc>
        <w:tc>
          <w:tcPr>
            <w:tcW w:w="3380" w:type="dxa"/>
          </w:tcPr>
          <w:p>
            <w:pPr/>
            <w:r>
              <w:t xml:space="preserve">Same as above</w:t>
            </w:r>
          </w:p>
        </w:tc>
      </w:tr>
      <w:tr>
        <w:trPr>
          <w:cantSplit/>
        </w:trPr>
        <w:tc>
          <w:tcPr>
            <w:tcW w:w="1410" w:type="dxa"/>
          </w:tcPr>
          <w:p>
            <w:pPr/>
            <w:r>
              <w:t xml:space="preserve">FICC-GSD-10</w:t>
            </w:r>
          </w:p>
        </w:tc>
        <w:tc>
          <w:tcPr>
            <w:tcW w:w="2757" w:type="dxa"/>
          </w:tcPr>
          <w:p>
            <w:pPr/>
            <w:r>
              <w:t xml:space="preserve">Treasury auction settlement</w:t>
            </w:r>
          </w:p>
        </w:tc>
        <w:tc>
          <w:tcPr>
            <w:tcW w:w="1813" w:type="dxa"/>
          </w:tcPr>
          <w:p>
            <w:pPr/>
            <w:r>
              <w:t xml:space="preserve">Archive</w:t>
            </w:r>
          </w:p>
        </w:tc>
        <w:tc>
          <w:tcPr>
            <w:tcW w:w="3380" w:type="dxa"/>
          </w:tcPr>
          <w:p>
            <w:pPr/>
            <w:r>
              <w:t xml:space="preserve">Routine business; the tested link reflects volume, not risk</w:t>
            </w:r>
          </w:p>
        </w:tc>
      </w:tr>
      <w:tr>
        <w:trPr>
          <w:cantSplit/>
        </w:trPr>
        <w:tc>
          <w:tcPr>
            <w:tcW w:w="1410" w:type="dxa"/>
          </w:tcPr>
          <w:p>
            <w:pPr/>
            <w:r>
              <w:t xml:space="preserve">ECS-DTC-06</w:t>
            </w:r>
          </w:p>
        </w:tc>
        <w:tc>
          <w:tcPr>
            <w:tcW w:w="2757" w:type="dxa"/>
          </w:tcPr>
          <w:p>
            <w:pPr/>
            <w:r>
              <w:t xml:space="preserve">Net Debit Cap and Collateral Monitor</w:t>
            </w:r>
          </w:p>
        </w:tc>
        <w:tc>
          <w:tcPr>
            <w:tcW w:w="1813" w:type="dxa"/>
          </w:tcPr>
          <w:p>
            <w:pPr/>
            <w:r>
              <w:t xml:space="preserve">Archive</w:t>
            </w:r>
          </w:p>
        </w:tc>
        <w:tc>
          <w:tcPr>
            <w:tcW w:w="3380" w:type="dxa"/>
          </w:tcPr>
          <w:p>
            <w:pPr/>
            <w:r>
              <w:t xml:space="preserve">Intraday internal control with no public outcome data; triggers already covered by the liquidity cards</w:t>
            </w:r>
          </w:p>
        </w:tc>
      </w:tr>
      <w:tr>
        <w:trPr>
          <w:cantSplit/>
        </w:trPr>
        <w:tc>
          <w:tcPr>
            <w:tcW w:w="1410" w:type="dxa"/>
          </w:tcPr>
          <w:p>
            <w:pPr/>
            <w:r>
              <w:t xml:space="preserve">FICC-GSD-06, ECS-NSCC-06</w:t>
            </w:r>
          </w:p>
        </w:tc>
        <w:tc>
          <w:tcPr>
            <w:tcW w:w="2757" w:type="dxa"/>
          </w:tcPr>
          <w:p>
            <w:pPr/>
            <w:r>
              <w:t xml:space="preserve">Loss allocation; default close-out</w:t>
            </w:r>
          </w:p>
        </w:tc>
        <w:tc>
          <w:tcPr>
            <w:tcW w:w="1813" w:type="dxa"/>
          </w:tcPr>
          <w:p>
            <w:r>
              <w:t>Include in Member stress / default</w:t>
            </w:r>
          </w:p>
        </w:tc>
        <w:tc>
          <w:tcPr>
            <w:tcW w:w="3380" w:type="dxa"/>
          </w:tcPr>
          <w:p>
            <w:r>
              <w:t>Assignment confirmed by the team on October 27, 2026.</w:t>
            </w:r>
          </w:p>
        </w:tc>
      </w:tr>
      <w:tr>
        <w:trPr>
          <w:cantSplit/>
        </w:trPr>
        <w:tc>
          <w:tcPr>
            <w:tcW w:w="1410" w:type="dxa"/>
          </w:tcPr>
          <w:p>
            <w:pPr/>
            <w:r>
              <w:t xml:space="preserve">FICC-GSD-08, ECS-DTC-02</w:t>
            </w:r>
          </w:p>
        </w:tc>
        <w:tc>
          <w:tcPr>
            <w:tcW w:w="2757" w:type="dxa"/>
          </w:tcPr>
          <w:p>
            <w:pPr/>
            <w:r>
              <w:t xml:space="preserve">Clearing bank; settling bank</w:t>
            </w:r>
          </w:p>
        </w:tc>
        <w:tc>
          <w:tcPr>
            <w:tcW w:w="1813" w:type="dxa"/>
          </w:tcPr>
          <w:p>
            <w:r>
              <w:t>Include in Settling bank</w:t>
            </w:r>
          </w:p>
        </w:tc>
        <w:tc>
          <w:tcPr>
            <w:tcW w:w="3380" w:type="dxa"/>
          </w:tcPr>
          <w:p>
            <w:r>
              <w:t>Assignment confirmed by the team on October 27, 2026.</w:t>
            </w:r>
          </w:p>
        </w:tc>
      </w:tr>
      <w:tr>
        <w:trPr>
          <w:cantSplit/>
        </w:trPr>
        <w:tc>
          <w:tcPr>
            <w:tcW w:w="1410" w:type="dxa"/>
          </w:tcPr>
          <w:p>
            <w:pPr/>
            <w:r>
              <w:t xml:space="preserve">ECS-DTC-05</w:t>
            </w:r>
          </w:p>
        </w:tc>
        <w:tc>
          <w:tcPr>
            <w:tcW w:w="2757" w:type="dxa"/>
          </w:tcPr>
          <w:p>
            <w:pPr/>
            <w:r>
              <w:t xml:space="preserve">Participant system disruption</w:t>
            </w:r>
          </w:p>
        </w:tc>
        <w:tc>
          <w:tcPr>
            <w:tcW w:w="1813" w:type="dxa"/>
          </w:tcPr>
          <w:p>
            <w:r>
              <w:t>Include in Cyber / system event</w:t>
            </w:r>
          </w:p>
        </w:tc>
        <w:tc>
          <w:tcPr>
            <w:tcW w:w="3380" w:type="dxa"/>
          </w:tcPr>
          <w:p>
            <w:r>
              <w:t>Assignment confirmed by the team on October 27, 2026.</w:t>
            </w:r>
          </w:p>
        </w:tc>
      </w:tr>
    </w:tbl>
    <w:p>
      <w:pPr>
        <w:pStyle w:val="Heading2"/>
      </w:pPr>
      <w:r>
        <w:t xml:space="preserve">Resulting cards</w:t>
      </w:r>
    </w:p>
    <w:tbl>
      <w:tblPr>
        <w:tblStyle w:val="TableGrid"/>
        <w:tblW w:w="0" w:type="auto"/>
        <w:tblLayout w:type="fixed"/>
        <w:tblLook w:val="04A0" w:firstRow="1" w:lastRow="0" w:firstColumn="0" w:lastColumn="0" w:noHBand="0" w:noVBand="1"/>
      </w:tblPr>
      <w:tblGrid>
        <w:gridCol w:w="1939"/>
        <w:gridCol w:w="6350"/>
        <w:gridCol w:w="1069"/>
      </w:tblGrid>
      <w:tr>
        <w:trPr>
          <w:tblHeader/>
        </w:trPr>
        <w:tc>
          <w:tcPr>
            <w:tcW w:w="1939" w:type="dxa"/>
            <w:shd w:val="clear" w:color="auto" w:fill="F2F2F2"/>
          </w:tcPr>
          <w:p>
            <w:pPr/>
            <w:r>
              <w:t xml:space="preserve">Group</w:t>
            </w:r>
          </w:p>
        </w:tc>
        <w:tc>
          <w:tcPr>
            <w:tcW w:w="6350" w:type="dxa"/>
            <w:shd w:val="clear" w:color="auto" w:fill="F2F2F2"/>
          </w:tcPr>
          <w:p>
            <w:pPr/>
            <w:r>
              <w:t xml:space="preserve">Cards</w:t>
            </w:r>
          </w:p>
        </w:tc>
        <w:tc>
          <w:tcPr>
            <w:tcW w:w="1069" w:type="dxa"/>
            <w:shd w:val="clear" w:color="auto" w:fill="F2F2F2"/>
          </w:tcPr>
          <w:p>
            <w:pPr/>
            <w:r>
              <w:t xml:space="preserve">Count</w:t>
            </w:r>
          </w:p>
        </w:tc>
      </w:tr>
      <w:tr>
        <w:tc>
          <w:tcPr>
            <w:tcW w:w="1939" w:type="dxa"/>
          </w:tcPr>
          <w:p>
            <w:pPr/>
            <w:r>
              <w:t xml:space="preserve">FICC core</w:t>
            </w:r>
          </w:p>
        </w:tc>
        <w:tc>
          <w:tcPr>
            <w:tcW w:w="6350" w:type="dxa"/>
          </w:tcPr>
          <w:p>
            <w:pPr/>
            <w:r>
              <w:t xml:space="preserve">GSD-01, GSD-02, GSD-03, MBSD-01</w:t>
            </w:r>
          </w:p>
        </w:tc>
        <w:tc>
          <w:tcPr>
            <w:tcW w:w="1069" w:type="dxa"/>
          </w:tcPr>
          <w:p>
            <w:pPr/>
            <w:r>
              <w:t xml:space="preserve">4</w:t>
            </w:r>
          </w:p>
        </w:tc>
      </w:tr>
      <w:tr>
        <w:tc>
          <w:tcPr>
            <w:tcW w:w="1939" w:type="dxa"/>
          </w:tcPr>
          <w:p>
            <w:pPr/>
            <w:r>
              <w:t xml:space="preserve">ECS core</w:t>
            </w:r>
          </w:p>
        </w:tc>
        <w:tc>
          <w:tcPr>
            <w:tcW w:w="6350" w:type="dxa"/>
          </w:tcPr>
          <w:p>
            <w:pPr/>
            <w:r>
              <w:t xml:space="preserve">NSCC liquidity, NSCC-03, SET-01</w:t>
            </w:r>
          </w:p>
        </w:tc>
        <w:tc>
          <w:tcPr>
            <w:tcW w:w="1069" w:type="dxa"/>
          </w:tcPr>
          <w:p>
            <w:pPr/>
            <w:r>
              <w:t xml:space="preserve">3</w:t>
            </w:r>
          </w:p>
        </w:tc>
      </w:tr>
      <w:tr>
        <w:tc>
          <w:tcPr>
            <w:tcW w:w="1939" w:type="dxa"/>
          </w:tcPr>
          <w:p>
            <w:pPr/>
            <w:r>
              <w:t xml:space="preserve">Cross-entity</w:t>
            </w:r>
          </w:p>
        </w:tc>
        <w:tc>
          <w:tcPr>
            <w:tcW w:w="6350" w:type="dxa"/>
          </w:tcPr>
          <w:p>
            <w:pPr/>
            <w:r>
              <w:t xml:space="preserve">Member stress / default, Market disruption, Settling bank, Cyber / system event</w:t>
            </w:r>
          </w:p>
        </w:tc>
        <w:tc>
          <w:tcPr>
            <w:tcW w:w="1069" w:type="dxa"/>
          </w:tcPr>
          <w:p>
            <w:pPr/>
            <w:r>
              <w:t xml:space="preserve">4</w:t>
            </w:r>
          </w:p>
        </w:tc>
      </w:tr>
      <w:tr>
        <w:tc>
          <w:tcPr>
            <w:tcW w:w="1939" w:type="dxa"/>
          </w:tcPr>
          <w:p>
            <w:pPr/>
            <w:r>
              <w:t xml:space="preserve">Low watch</w:t>
            </w:r>
          </w:p>
        </w:tc>
        <w:tc>
          <w:tcPr>
            <w:tcW w:w="6350" w:type="dxa"/>
          </w:tcPr>
          <w:p>
            <w:pPr/>
            <w:r>
              <w:t xml:space="preserve">GSD-11, MBSD-02, NSCC-08, NSCC-09, DTC-01</w:t>
            </w:r>
          </w:p>
        </w:tc>
        <w:tc>
          <w:tcPr>
            <w:tcW w:w="1069" w:type="dxa"/>
          </w:tcPr>
          <w:p>
            <w:pPr/>
            <w:r>
              <w:t xml:space="preserve">5</w:t>
            </w:r>
          </w:p>
        </w:tc>
      </w:tr>
    </w:tbl>
    <w:p>
      <w:pPr/>
      <w:r>
        <w:t>The five previously pending chain assignments are included in the confirmed card mapping. David's team can rate each card's relevance (high, medium, low). Relevance is used for screening and display only, not in the score.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FICC and ECS Chain Screening (Draft)</dc:title>
  <dc:description>Claude Docs node/a63779b7-4970@6 docx-w7</dc:description>
  <cp:revision>6</cp:revision>
</cp:coreProperties>
</file>