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170CB" w14:textId="7E720C0A" w:rsidR="00380CC4" w:rsidRPr="005733C9" w:rsidRDefault="005733C9" w:rsidP="00380CC4">
      <w:pPr>
        <w:jc w:val="center"/>
        <w:rPr>
          <w:rFonts w:ascii="宋体" w:hAnsi="宋体"/>
          <w:b/>
          <w:color w:val="FF6600"/>
          <w:sz w:val="32"/>
          <w:szCs w:val="32"/>
        </w:rPr>
      </w:pPr>
      <w:r w:rsidRPr="005733C9">
        <w:rPr>
          <w:rFonts w:ascii="宋体" w:hAnsi="宋体" w:hint="eastAsia"/>
          <w:b/>
          <w:sz w:val="32"/>
          <w:szCs w:val="32"/>
        </w:rPr>
        <w:t>智能手机支持的</w:t>
      </w:r>
      <w:r>
        <w:rPr>
          <w:rFonts w:ascii="宋体" w:hAnsi="宋体" w:hint="eastAsia"/>
          <w:b/>
          <w:sz w:val="32"/>
          <w:szCs w:val="32"/>
        </w:rPr>
        <w:t>基于建模的探究性学习</w:t>
      </w:r>
      <w:r w:rsidRPr="005733C9">
        <w:rPr>
          <w:rFonts w:ascii="宋体" w:hAnsi="宋体" w:hint="eastAsia"/>
          <w:b/>
          <w:sz w:val="32"/>
          <w:szCs w:val="32"/>
        </w:rPr>
        <w:t>促进科学建模能力</w:t>
      </w:r>
      <w:r>
        <w:rPr>
          <w:rFonts w:ascii="宋体" w:hAnsi="宋体" w:hint="eastAsia"/>
          <w:b/>
          <w:sz w:val="32"/>
          <w:szCs w:val="32"/>
        </w:rPr>
        <w:t>培养</w:t>
      </w:r>
    </w:p>
    <w:p w14:paraId="0AC0E627" w14:textId="1E0E4C31" w:rsidR="00380CC4" w:rsidRDefault="00380CC4" w:rsidP="00380CC4">
      <w:pPr>
        <w:jc w:val="center"/>
        <w:rPr>
          <w:rFonts w:ascii="楷体_GB2312" w:eastAsia="楷体_GB2312" w:hAnsi="宋体"/>
          <w:b/>
          <w:sz w:val="30"/>
          <w:szCs w:val="30"/>
        </w:rPr>
      </w:pPr>
      <w:r>
        <w:rPr>
          <w:rFonts w:ascii="楷体_GB2312" w:eastAsia="楷体_GB2312" w:hAnsi="宋体" w:hint="eastAsia"/>
          <w:b/>
          <w:sz w:val="30"/>
          <w:szCs w:val="30"/>
        </w:rPr>
        <w:t>——</w:t>
      </w:r>
      <w:r w:rsidR="0041239B">
        <w:rPr>
          <w:rFonts w:ascii="楷体_GB2312" w:eastAsia="楷体_GB2312" w:hAnsi="宋体" w:hint="eastAsia"/>
          <w:b/>
          <w:sz w:val="30"/>
          <w:szCs w:val="30"/>
        </w:rPr>
        <w:t>基于三校高中物理课堂</w:t>
      </w:r>
      <w:r w:rsidR="005733C9">
        <w:rPr>
          <w:rFonts w:ascii="楷体_GB2312" w:eastAsia="楷体_GB2312" w:hAnsi="宋体" w:hint="eastAsia"/>
          <w:b/>
          <w:sz w:val="30"/>
          <w:szCs w:val="30"/>
        </w:rPr>
        <w:t>探究式</w:t>
      </w:r>
      <w:r w:rsidR="00E23CA5">
        <w:rPr>
          <w:rFonts w:ascii="楷体_GB2312" w:eastAsia="楷体_GB2312" w:hAnsi="宋体" w:hint="eastAsia"/>
          <w:b/>
          <w:sz w:val="30"/>
          <w:szCs w:val="30"/>
        </w:rPr>
        <w:t>教学</w:t>
      </w:r>
      <w:r w:rsidR="0041239B">
        <w:rPr>
          <w:rFonts w:ascii="楷体_GB2312" w:eastAsia="楷体_GB2312" w:hAnsi="宋体" w:hint="eastAsia"/>
          <w:b/>
          <w:sz w:val="30"/>
          <w:szCs w:val="30"/>
        </w:rPr>
        <w:t>的实证研究</w:t>
      </w:r>
    </w:p>
    <w:tbl>
      <w:tblPr>
        <w:tblW w:w="9457" w:type="dxa"/>
        <w:jc w:val="center"/>
        <w:tblLook w:val="0000" w:firstRow="0" w:lastRow="0" w:firstColumn="0" w:lastColumn="0" w:noHBand="0" w:noVBand="0"/>
      </w:tblPr>
      <w:tblGrid>
        <w:gridCol w:w="9457"/>
      </w:tblGrid>
      <w:tr w:rsidR="00380CC4" w14:paraId="1708ADC3" w14:textId="77777777" w:rsidTr="00915638">
        <w:trPr>
          <w:trHeight w:hRule="exact" w:val="340"/>
          <w:jc w:val="center"/>
        </w:trPr>
        <w:tc>
          <w:tcPr>
            <w:tcW w:w="9457" w:type="dxa"/>
            <w:tcMar>
              <w:left w:w="0" w:type="dxa"/>
              <w:right w:w="0" w:type="dxa"/>
            </w:tcMar>
            <w:vAlign w:val="center"/>
          </w:tcPr>
          <w:p w14:paraId="254A27CF" w14:textId="474898C4" w:rsidR="00380CC4" w:rsidRDefault="0041239B" w:rsidP="00915638">
            <w:pPr>
              <w:widowControl w:val="0"/>
              <w:overflowPunct w:val="0"/>
              <w:spacing w:after="0"/>
              <w:jc w:val="center"/>
              <w:rPr>
                <w:rFonts w:ascii="宋体" w:hAnsi="宋体"/>
                <w:b/>
                <w:kern w:val="2"/>
                <w:sz w:val="24"/>
                <w:szCs w:val="24"/>
                <w:vertAlign w:val="superscript"/>
              </w:rPr>
            </w:pPr>
            <w:r>
              <w:rPr>
                <w:rFonts w:ascii="宋体" w:hAnsi="宋体" w:hint="eastAsia"/>
                <w:b/>
                <w:kern w:val="2"/>
                <w:sz w:val="24"/>
                <w:szCs w:val="24"/>
              </w:rPr>
              <w:t>李星达</w:t>
            </w:r>
            <w:r w:rsidR="00380CC4">
              <w:rPr>
                <w:rFonts w:ascii="宋体" w:hAnsi="宋体" w:hint="eastAsia"/>
                <w:b/>
                <w:kern w:val="2"/>
                <w:sz w:val="24"/>
                <w:szCs w:val="24"/>
                <w:vertAlign w:val="superscript"/>
              </w:rPr>
              <w:t>1</w:t>
            </w:r>
          </w:p>
          <w:p w14:paraId="43D03134" w14:textId="77777777" w:rsidR="005733C9" w:rsidRDefault="005733C9" w:rsidP="00915638">
            <w:pPr>
              <w:widowControl w:val="0"/>
              <w:overflowPunct w:val="0"/>
              <w:spacing w:after="0"/>
              <w:jc w:val="center"/>
              <w:rPr>
                <w:rFonts w:ascii="宋体" w:hAnsi="宋体" w:cs="宋体"/>
                <w:b/>
                <w:kern w:val="2"/>
                <w:sz w:val="24"/>
                <w:szCs w:val="28"/>
              </w:rPr>
            </w:pPr>
          </w:p>
          <w:p w14:paraId="28E5E82C" w14:textId="77777777" w:rsidR="00380CC4" w:rsidRDefault="00380CC4" w:rsidP="00915638">
            <w:pPr>
              <w:widowControl w:val="0"/>
              <w:overflowPunct w:val="0"/>
              <w:spacing w:after="0"/>
              <w:ind w:firstLineChars="155" w:firstLine="434"/>
              <w:jc w:val="center"/>
              <w:rPr>
                <w:rFonts w:ascii="仿宋_GB2312" w:eastAsia="方正仿宋简体" w:hAnsi="Times New Roman"/>
                <w:kern w:val="2"/>
                <w:sz w:val="28"/>
                <w:szCs w:val="21"/>
              </w:rPr>
            </w:pPr>
          </w:p>
        </w:tc>
      </w:tr>
      <w:tr w:rsidR="00380CC4" w14:paraId="0223B9AB" w14:textId="77777777" w:rsidTr="00915638">
        <w:trPr>
          <w:jc w:val="center"/>
        </w:trPr>
        <w:tc>
          <w:tcPr>
            <w:tcW w:w="9457" w:type="dxa"/>
            <w:tcMar>
              <w:left w:w="0" w:type="dxa"/>
              <w:right w:w="0" w:type="dxa"/>
            </w:tcMar>
            <w:vAlign w:val="center"/>
          </w:tcPr>
          <w:p w14:paraId="42FEDA25" w14:textId="068E81C7" w:rsidR="00380CC4" w:rsidRDefault="00380CC4" w:rsidP="00915638">
            <w:pPr>
              <w:widowControl w:val="0"/>
              <w:overflowPunct w:val="0"/>
              <w:adjustRightInd/>
              <w:snapToGrid/>
              <w:spacing w:after="0" w:line="300" w:lineRule="exact"/>
              <w:ind w:left="639"/>
              <w:jc w:val="center"/>
              <w:rPr>
                <w:rFonts w:ascii="宋体" w:hAnsi="宋体"/>
                <w:kern w:val="2"/>
                <w:sz w:val="21"/>
                <w:szCs w:val="21"/>
              </w:rPr>
            </w:pPr>
            <w:r>
              <w:rPr>
                <w:rFonts w:ascii="宋体" w:hAnsi="宋体" w:hint="eastAsia"/>
                <w:kern w:val="2"/>
                <w:sz w:val="21"/>
                <w:szCs w:val="21"/>
              </w:rPr>
              <w:t>(1.</w:t>
            </w:r>
            <w:r w:rsidR="0041239B">
              <w:rPr>
                <w:rFonts w:ascii="宋体" w:hAnsi="宋体" w:hint="eastAsia"/>
                <w:kern w:val="2"/>
                <w:sz w:val="21"/>
                <w:szCs w:val="21"/>
              </w:rPr>
              <w:t>北京师范大学 科学教育研究院</w:t>
            </w:r>
            <w:r>
              <w:rPr>
                <w:rFonts w:ascii="宋体" w:hAnsi="宋体" w:hint="eastAsia"/>
                <w:kern w:val="2"/>
                <w:sz w:val="21"/>
                <w:szCs w:val="21"/>
              </w:rPr>
              <w:t>，</w:t>
            </w:r>
            <w:r w:rsidR="0041239B">
              <w:rPr>
                <w:rFonts w:ascii="宋体" w:hAnsi="宋体" w:hint="eastAsia"/>
                <w:kern w:val="2"/>
                <w:sz w:val="21"/>
                <w:szCs w:val="21"/>
              </w:rPr>
              <w:t>北京</w:t>
            </w:r>
            <w:r>
              <w:rPr>
                <w:rFonts w:ascii="宋体" w:hAnsi="宋体" w:hint="eastAsia"/>
                <w:kern w:val="2"/>
                <w:sz w:val="21"/>
                <w:szCs w:val="21"/>
              </w:rPr>
              <w:t xml:space="preserve">  31001</w:t>
            </w:r>
            <w:r w:rsidR="0041239B">
              <w:rPr>
                <w:rFonts w:ascii="宋体" w:hAnsi="宋体"/>
                <w:kern w:val="2"/>
                <w:sz w:val="21"/>
                <w:szCs w:val="21"/>
              </w:rPr>
              <w:t>2</w:t>
            </w:r>
            <w:r>
              <w:rPr>
                <w:rFonts w:ascii="宋体" w:hAnsi="宋体" w:hint="eastAsia"/>
                <w:kern w:val="2"/>
                <w:sz w:val="21"/>
                <w:szCs w:val="21"/>
              </w:rPr>
              <w:t>)</w:t>
            </w:r>
          </w:p>
          <w:p w14:paraId="14704414" w14:textId="3997ADB6" w:rsidR="00380CC4" w:rsidRDefault="00380CC4" w:rsidP="0068491D">
            <w:pPr>
              <w:widowControl w:val="0"/>
              <w:overflowPunct w:val="0"/>
              <w:spacing w:after="0" w:line="300" w:lineRule="exact"/>
              <w:jc w:val="center"/>
              <w:rPr>
                <w:rFonts w:ascii="宋体" w:hAnsi="宋体" w:cs="ST Song"/>
                <w:color w:val="FF0000"/>
                <w:kern w:val="2"/>
                <w:sz w:val="18"/>
                <w:szCs w:val="18"/>
              </w:rPr>
            </w:pPr>
            <w:r>
              <w:rPr>
                <w:rFonts w:ascii="宋体" w:hAnsi="宋体" w:cs="ST Song" w:hint="eastAsia"/>
                <w:color w:val="FF0000"/>
                <w:kern w:val="2"/>
                <w:sz w:val="18"/>
                <w:szCs w:val="18"/>
              </w:rPr>
              <w:t xml:space="preserve">  </w:t>
            </w:r>
          </w:p>
          <w:p w14:paraId="6EA3C818" w14:textId="4C7EFF96" w:rsidR="00380CC4" w:rsidRPr="005733C9" w:rsidRDefault="00380CC4" w:rsidP="00915638">
            <w:pPr>
              <w:widowControl w:val="0"/>
              <w:overflowPunct w:val="0"/>
              <w:spacing w:after="0" w:line="300" w:lineRule="exact"/>
              <w:rPr>
                <w:rFonts w:ascii="楷体_GB2312" w:eastAsia="楷体_GB2312" w:hAnsi="宋体" w:cs="ST Song"/>
                <w:color w:val="FF0000"/>
                <w:sz w:val="18"/>
                <w:szCs w:val="18"/>
              </w:rPr>
            </w:pPr>
            <w:r>
              <w:rPr>
                <w:rFonts w:ascii="黑体" w:eastAsia="黑体" w:hAnsi="Times New Roman" w:cs="ST Song" w:hint="eastAsia"/>
                <w:color w:val="000000"/>
                <w:sz w:val="18"/>
                <w:szCs w:val="18"/>
              </w:rPr>
              <w:t>[</w:t>
            </w:r>
            <w:r>
              <w:rPr>
                <w:rFonts w:ascii="宋体" w:hAnsi="宋体" w:cs="ST Song" w:hint="eastAsia"/>
                <w:color w:val="000000"/>
                <w:sz w:val="18"/>
                <w:szCs w:val="18"/>
              </w:rPr>
              <w:t>摘</w:t>
            </w:r>
            <w:r>
              <w:rPr>
                <w:rFonts w:ascii="宋体" w:eastAsia="MS Gothic" w:hAnsi="MS Gothic" w:cs="MS Gothic" w:hint="eastAsia"/>
                <w:color w:val="000000"/>
                <w:sz w:val="18"/>
                <w:szCs w:val="18"/>
              </w:rPr>
              <w:t> </w:t>
            </w:r>
            <w:r>
              <w:rPr>
                <w:rFonts w:ascii="宋体" w:hAnsi="宋体" w:cs="ST Song" w:hint="eastAsia"/>
                <w:color w:val="000000"/>
                <w:sz w:val="18"/>
                <w:szCs w:val="18"/>
              </w:rPr>
              <w:t>要</w:t>
            </w:r>
            <w:r>
              <w:rPr>
                <w:rFonts w:ascii="黑体" w:eastAsia="黑体" w:hAnsi="Times New Roman" w:cs="ST Song" w:hint="eastAsia"/>
                <w:color w:val="000000"/>
                <w:sz w:val="18"/>
                <w:szCs w:val="18"/>
              </w:rPr>
              <w:t>]</w:t>
            </w:r>
            <w:r w:rsidR="005733C9" w:rsidRPr="005733C9">
              <w:rPr>
                <w:rFonts w:ascii="楷体_GB2312" w:eastAsia="楷体_GB2312" w:hAnsi="宋体" w:cs="ST Song" w:hint="eastAsia"/>
                <w:color w:val="000000" w:themeColor="text1"/>
                <w:sz w:val="18"/>
                <w:szCs w:val="18"/>
              </w:rPr>
              <w:t>科学建模能力的培养以成为科学教育的核心内容之一，智能手机的出现为科学建模能力培养提供了更多的可能性，本文通过在三校分别进行三轮智能手机支持的物理课堂项目，以期了解智能手机支持的基于建模的探究性学习能否有效的促进学生科学建模能力的培养，并挖掘学生特质与学习效果之间的关系，并通过合理提供脚手架帮助更好促进学生科学建模能力的培养。</w:t>
            </w:r>
          </w:p>
          <w:p w14:paraId="1C4024AD" w14:textId="5A984DEE" w:rsidR="00380CC4" w:rsidRDefault="00380CC4" w:rsidP="00915638">
            <w:pPr>
              <w:widowControl w:val="0"/>
              <w:spacing w:after="0" w:line="300" w:lineRule="exact"/>
              <w:jc w:val="both"/>
              <w:rPr>
                <w:rFonts w:ascii="楷体_GB2312" w:eastAsia="楷体_GB2312" w:hAnsi="Time New Roman"/>
                <w:color w:val="FF6600"/>
                <w:kern w:val="2"/>
                <w:sz w:val="18"/>
                <w:szCs w:val="18"/>
              </w:rPr>
            </w:pPr>
            <w:r>
              <w:rPr>
                <w:rFonts w:ascii="黑体" w:eastAsia="黑体" w:hAnsi="Times New Roman" w:cs="ST Song" w:hint="eastAsia"/>
                <w:color w:val="000000"/>
                <w:kern w:val="2"/>
                <w:sz w:val="18"/>
                <w:szCs w:val="18"/>
              </w:rPr>
              <w:t>[</w:t>
            </w:r>
            <w:r>
              <w:rPr>
                <w:rFonts w:ascii="宋体" w:hAnsi="宋体" w:cs="ST Song" w:hint="eastAsia"/>
                <w:color w:val="000000"/>
                <w:kern w:val="2"/>
                <w:sz w:val="18"/>
                <w:szCs w:val="18"/>
              </w:rPr>
              <w:t>关键词</w:t>
            </w:r>
            <w:r>
              <w:rPr>
                <w:rFonts w:ascii="黑体" w:eastAsia="黑体" w:hAnsi="Times New Roman" w:cs="ST Song" w:hint="eastAsia"/>
                <w:color w:val="000000"/>
                <w:kern w:val="2"/>
                <w:sz w:val="18"/>
                <w:szCs w:val="18"/>
              </w:rPr>
              <w:t>]</w:t>
            </w:r>
            <w:r w:rsidR="005733C9">
              <w:rPr>
                <w:rFonts w:ascii="黑体" w:eastAsia="黑体" w:hAnsi="Times New Roman" w:cs="ST Song" w:hint="eastAsia"/>
                <w:color w:val="000000"/>
                <w:kern w:val="2"/>
                <w:sz w:val="18"/>
                <w:szCs w:val="18"/>
              </w:rPr>
              <w:t>智能</w:t>
            </w:r>
            <w:r w:rsidR="005733C9">
              <w:rPr>
                <w:rFonts w:ascii="黑体" w:eastAsia="黑体" w:hAnsi="Times New Roman" w:hint="eastAsia"/>
                <w:color w:val="000000"/>
                <w:kern w:val="2"/>
                <w:sz w:val="18"/>
                <w:szCs w:val="18"/>
              </w:rPr>
              <w:t>手机；科学建模；探究式学习；</w:t>
            </w:r>
            <w:r>
              <w:rPr>
                <w:rFonts w:ascii="楷体_GB2312" w:eastAsia="楷体_GB2312" w:hAnsi="Time New Roman" w:hint="eastAsia"/>
                <w:kern w:val="2"/>
                <w:sz w:val="18"/>
                <w:szCs w:val="18"/>
              </w:rPr>
              <w:t xml:space="preserve"> </w:t>
            </w:r>
          </w:p>
          <w:p w14:paraId="29D5978D" w14:textId="76E0BD35" w:rsidR="00380CC4" w:rsidRPr="0068491D" w:rsidRDefault="00380CC4" w:rsidP="00915638">
            <w:pPr>
              <w:widowControl w:val="0"/>
              <w:overflowPunct w:val="0"/>
              <w:spacing w:after="0" w:line="300" w:lineRule="exact"/>
              <w:rPr>
                <w:rFonts w:ascii="Times New Roman" w:eastAsia="方正书宋简体" w:hAnsi="Times New Roman"/>
                <w:kern w:val="2"/>
                <w:sz w:val="18"/>
                <w:szCs w:val="18"/>
              </w:rPr>
            </w:pPr>
            <w:r>
              <w:rPr>
                <w:rFonts w:ascii="宋体" w:hAnsi="宋体" w:cs="ST Song" w:hint="eastAsia"/>
                <w:color w:val="000000"/>
                <w:kern w:val="2"/>
                <w:sz w:val="18"/>
                <w:szCs w:val="18"/>
              </w:rPr>
              <w:t>[中图分类号]</w:t>
            </w:r>
            <w:r>
              <w:rPr>
                <w:rFonts w:ascii="Times New Roman" w:eastAsia="方正书宋简体" w:hAnsi="Times New Roman" w:hint="eastAsia"/>
                <w:kern w:val="2"/>
                <w:sz w:val="18"/>
                <w:szCs w:val="18"/>
              </w:rPr>
              <w:t>G420</w:t>
            </w:r>
            <w:r>
              <w:rPr>
                <w:rFonts w:ascii="宋体" w:hAnsi="宋体" w:hint="eastAsia"/>
                <w:kern w:val="2"/>
                <w:sz w:val="18"/>
                <w:szCs w:val="18"/>
              </w:rPr>
              <w:t xml:space="preserve">  </w:t>
            </w:r>
            <w:r>
              <w:rPr>
                <w:rFonts w:ascii="方正楷体简体" w:eastAsia="方正楷体简体" w:hAnsi="Times New Roman" w:hint="eastAsia"/>
                <w:kern w:val="2"/>
                <w:sz w:val="18"/>
                <w:szCs w:val="18"/>
              </w:rPr>
              <w:t xml:space="preserve">     </w:t>
            </w:r>
            <w:r>
              <w:rPr>
                <w:rFonts w:ascii="宋体" w:hAnsi="宋体" w:hint="eastAsia"/>
                <w:kern w:val="2"/>
                <w:sz w:val="18"/>
                <w:szCs w:val="18"/>
              </w:rPr>
              <w:t>[</w:t>
            </w:r>
            <w:r>
              <w:rPr>
                <w:rFonts w:ascii="宋体" w:hAnsi="宋体" w:cs="ST Song" w:hint="eastAsia"/>
                <w:color w:val="000000"/>
                <w:kern w:val="2"/>
                <w:sz w:val="18"/>
                <w:szCs w:val="18"/>
              </w:rPr>
              <w:t>文献标识码]</w:t>
            </w:r>
            <w:r>
              <w:rPr>
                <w:rFonts w:ascii="Times New Roman" w:eastAsia="楷体_GB2312" w:hAnsi="Times New Roman"/>
                <w:kern w:val="2"/>
                <w:sz w:val="18"/>
                <w:szCs w:val="18"/>
              </w:rPr>
              <w:t>A</w:t>
            </w:r>
            <w:r>
              <w:rPr>
                <w:rFonts w:ascii="方正书宋简体" w:eastAsia="方正书宋简体" w:hAnsi="Times New Roman" w:hint="eastAsia"/>
                <w:kern w:val="2"/>
                <w:sz w:val="18"/>
                <w:szCs w:val="18"/>
              </w:rPr>
              <w:t xml:space="preserve">      </w:t>
            </w:r>
            <w:r>
              <w:rPr>
                <w:rFonts w:ascii="宋体" w:hAnsi="宋体" w:hint="eastAsia"/>
                <w:kern w:val="2"/>
                <w:sz w:val="18"/>
                <w:szCs w:val="18"/>
              </w:rPr>
              <w:t xml:space="preserve"> [</w:t>
            </w:r>
            <w:r>
              <w:rPr>
                <w:rFonts w:ascii="宋体" w:hAnsi="宋体" w:cs="ST Song" w:hint="eastAsia"/>
                <w:color w:val="000000"/>
                <w:kern w:val="2"/>
                <w:sz w:val="18"/>
                <w:szCs w:val="18"/>
              </w:rPr>
              <w:t>文章编号]</w:t>
            </w:r>
          </w:p>
        </w:tc>
      </w:tr>
    </w:tbl>
    <w:p w14:paraId="3603C2C0" w14:textId="1C477A85" w:rsidR="0068491D" w:rsidRDefault="005733C9" w:rsidP="005733C9">
      <w:pPr>
        <w:tabs>
          <w:tab w:val="left" w:pos="6510"/>
        </w:tabs>
        <w:rPr>
          <w:b/>
          <w:bCs/>
        </w:rPr>
      </w:pPr>
      <w:r>
        <w:rPr>
          <w:b/>
          <w:bCs/>
        </w:rPr>
        <w:tab/>
      </w:r>
    </w:p>
    <w:p w14:paraId="009CF126" w14:textId="657D5EB2" w:rsidR="00380CC4" w:rsidRPr="005733C9" w:rsidRDefault="005733C9" w:rsidP="005733C9">
      <w:pPr>
        <w:ind w:firstLineChars="200" w:firstLine="482"/>
        <w:rPr>
          <w:rFonts w:ascii="宋体" w:hAnsi="宋体" w:cs="宋体"/>
          <w:b/>
          <w:sz w:val="24"/>
          <w:szCs w:val="24"/>
        </w:rPr>
      </w:pPr>
      <w:r>
        <w:rPr>
          <w:rFonts w:ascii="宋体" w:hAnsi="宋体" w:cs="宋体" w:hint="eastAsia"/>
          <w:b/>
          <w:sz w:val="24"/>
          <w:szCs w:val="24"/>
        </w:rPr>
        <w:t>一、引言</w:t>
      </w:r>
    </w:p>
    <w:p w14:paraId="12DFAF40" w14:textId="15A6B233" w:rsidR="005733C9" w:rsidRDefault="005733C9" w:rsidP="005733C9">
      <w:pPr>
        <w:ind w:firstLineChars="200" w:firstLine="420"/>
        <w:rPr>
          <w:rFonts w:ascii="宋体" w:hAnsi="宋体" w:cs="宋体"/>
          <w:sz w:val="21"/>
          <w:szCs w:val="21"/>
        </w:rPr>
      </w:pPr>
      <w:r w:rsidRPr="005733C9">
        <w:rPr>
          <w:rFonts w:ascii="宋体" w:hAnsi="宋体" w:cs="宋体" w:hint="eastAsia"/>
          <w:sz w:val="21"/>
          <w:szCs w:val="21"/>
        </w:rPr>
        <w:t>在便携技术高度</w:t>
      </w:r>
      <w:r>
        <w:rPr>
          <w:rFonts w:ascii="宋体" w:hAnsi="宋体" w:cs="宋体" w:hint="eastAsia"/>
          <w:sz w:val="21"/>
          <w:szCs w:val="21"/>
        </w:rPr>
        <w:t>发展</w:t>
      </w:r>
      <w:r w:rsidRPr="005733C9">
        <w:rPr>
          <w:rFonts w:ascii="宋体" w:hAnsi="宋体" w:cs="宋体" w:hint="eastAsia"/>
          <w:sz w:val="21"/>
          <w:szCs w:val="21"/>
        </w:rPr>
        <w:t>的时代，</w:t>
      </w:r>
      <w:r>
        <w:rPr>
          <w:rFonts w:ascii="宋体" w:hAnsi="宋体" w:cs="宋体" w:hint="eastAsia"/>
          <w:sz w:val="21"/>
          <w:szCs w:val="21"/>
        </w:rPr>
        <w:t>各种移动设备</w:t>
      </w:r>
      <w:r w:rsidRPr="005733C9">
        <w:rPr>
          <w:rFonts w:ascii="宋体" w:hAnsi="宋体" w:cs="宋体" w:hint="eastAsia"/>
          <w:sz w:val="21"/>
          <w:szCs w:val="21"/>
        </w:rPr>
        <w:t>已被广泛引入K-12科学学习</w:t>
      </w:r>
      <w:r w:rsidRPr="005733C9">
        <w:rPr>
          <w:rFonts w:ascii="Times New Roman" w:hAnsi="Times New Roman"/>
          <w:sz w:val="21"/>
          <w:szCs w:val="21"/>
        </w:rPr>
        <w:t>(Chang, Liang</w:t>
      </w:r>
      <w:r w:rsidRPr="005733C9">
        <w:rPr>
          <w:rFonts w:ascii="Times New Roman" w:hAnsi="Times New Roman"/>
          <w:sz w:val="21"/>
          <w:szCs w:val="21"/>
        </w:rPr>
        <w:t>，</w:t>
      </w:r>
      <w:r w:rsidRPr="005733C9">
        <w:rPr>
          <w:rFonts w:ascii="Times New Roman" w:hAnsi="Times New Roman"/>
          <w:sz w:val="21"/>
          <w:szCs w:val="21"/>
        </w:rPr>
        <w:t xml:space="preserve"> &amp; Tsai, 2020;Hochberg, Becker, Louis, Klein</w:t>
      </w:r>
      <w:r w:rsidRPr="005733C9">
        <w:rPr>
          <w:rFonts w:ascii="Times New Roman" w:hAnsi="Times New Roman"/>
          <w:sz w:val="21"/>
          <w:szCs w:val="21"/>
        </w:rPr>
        <w:t>，</w:t>
      </w:r>
      <w:r w:rsidRPr="005733C9">
        <w:rPr>
          <w:rFonts w:ascii="Times New Roman" w:hAnsi="Times New Roman"/>
          <w:sz w:val="21"/>
          <w:szCs w:val="21"/>
        </w:rPr>
        <w:t xml:space="preserve"> &amp; Kuhn, 2020)</w:t>
      </w:r>
      <w:r w:rsidRPr="005733C9">
        <w:rPr>
          <w:rFonts w:ascii="宋体" w:hAnsi="宋体" w:cs="宋体" w:hint="eastAsia"/>
          <w:sz w:val="21"/>
          <w:szCs w:val="21"/>
        </w:rPr>
        <w:t>。各种先进的数字设备，如智能手机在科学教学和学习中</w:t>
      </w:r>
      <w:r>
        <w:rPr>
          <w:rFonts w:ascii="宋体" w:hAnsi="宋体" w:cs="宋体" w:hint="eastAsia"/>
          <w:sz w:val="21"/>
          <w:szCs w:val="21"/>
        </w:rPr>
        <w:t>拥有这巨大的潜力</w:t>
      </w:r>
      <w:r w:rsidRPr="005733C9">
        <w:rPr>
          <w:rFonts w:ascii="Times New Roman" w:hAnsi="Times New Roman"/>
          <w:sz w:val="21"/>
          <w:szCs w:val="21"/>
        </w:rPr>
        <w:t>(Ainsa,2013;Banister,2010;Chen, Chang</w:t>
      </w:r>
      <w:r w:rsidRPr="005733C9">
        <w:rPr>
          <w:rFonts w:ascii="Times New Roman" w:hAnsi="Times New Roman"/>
          <w:sz w:val="21"/>
          <w:szCs w:val="21"/>
        </w:rPr>
        <w:t>，</w:t>
      </w:r>
      <w:r w:rsidRPr="005733C9">
        <w:rPr>
          <w:rFonts w:ascii="Times New Roman" w:hAnsi="Times New Roman"/>
          <w:sz w:val="21"/>
          <w:szCs w:val="21"/>
        </w:rPr>
        <w:t xml:space="preserve"> &amp; Wang, 2008;Chou, Block</w:t>
      </w:r>
      <w:r w:rsidRPr="005733C9">
        <w:rPr>
          <w:rFonts w:ascii="Times New Roman" w:hAnsi="Times New Roman"/>
          <w:sz w:val="21"/>
          <w:szCs w:val="21"/>
        </w:rPr>
        <w:t>，</w:t>
      </w:r>
      <w:r w:rsidRPr="005733C9">
        <w:rPr>
          <w:rFonts w:ascii="Times New Roman" w:hAnsi="Times New Roman"/>
          <w:sz w:val="21"/>
          <w:szCs w:val="21"/>
        </w:rPr>
        <w:t xml:space="preserve"> &amp; </w:t>
      </w:r>
      <w:proofErr w:type="spellStart"/>
      <w:r w:rsidRPr="005733C9">
        <w:rPr>
          <w:rFonts w:ascii="Times New Roman" w:hAnsi="Times New Roman"/>
          <w:sz w:val="21"/>
          <w:szCs w:val="21"/>
        </w:rPr>
        <w:t>Jesness</w:t>
      </w:r>
      <w:proofErr w:type="spellEnd"/>
      <w:r w:rsidRPr="005733C9">
        <w:rPr>
          <w:rFonts w:ascii="Times New Roman" w:hAnsi="Times New Roman"/>
          <w:sz w:val="21"/>
          <w:szCs w:val="21"/>
        </w:rPr>
        <w:t>, 2012;Faloon,2017;Looi et al.</w:t>
      </w:r>
      <w:r w:rsidRPr="005733C9">
        <w:rPr>
          <w:rFonts w:ascii="Times New Roman" w:hAnsi="Times New Roman"/>
          <w:sz w:val="21"/>
          <w:szCs w:val="21"/>
        </w:rPr>
        <w:t>，</w:t>
      </w:r>
      <w:r w:rsidRPr="005733C9">
        <w:rPr>
          <w:rFonts w:ascii="Times New Roman" w:hAnsi="Times New Roman"/>
          <w:sz w:val="21"/>
          <w:szCs w:val="21"/>
        </w:rPr>
        <w:t xml:space="preserve"> 2011)</w:t>
      </w:r>
      <w:r w:rsidRPr="005733C9">
        <w:rPr>
          <w:rFonts w:ascii="宋体" w:hAnsi="宋体" w:cs="宋体" w:hint="eastAsia"/>
          <w:sz w:val="21"/>
          <w:szCs w:val="21"/>
        </w:rPr>
        <w:t>。例如，Liu</w:t>
      </w:r>
      <w:r>
        <w:rPr>
          <w:rFonts w:ascii="宋体" w:hAnsi="宋体" w:cs="宋体" w:hint="eastAsia"/>
          <w:sz w:val="21"/>
          <w:szCs w:val="21"/>
        </w:rPr>
        <w:t>等人</w:t>
      </w:r>
      <w:r w:rsidRPr="005733C9">
        <w:rPr>
          <w:rFonts w:ascii="宋体" w:hAnsi="宋体" w:cs="宋体" w:hint="eastAsia"/>
          <w:sz w:val="21"/>
          <w:szCs w:val="21"/>
        </w:rPr>
        <w:t>发现，移动设备为高中生参与物理实验室提供了一个有意义的途径。</w:t>
      </w:r>
    </w:p>
    <w:p w14:paraId="69683F25" w14:textId="6300BC3A" w:rsidR="005733C9" w:rsidRDefault="005733C9" w:rsidP="005733C9">
      <w:pPr>
        <w:ind w:firstLineChars="200" w:firstLine="420"/>
        <w:rPr>
          <w:rFonts w:ascii="宋体" w:hAnsi="宋体" w:cs="宋体"/>
          <w:sz w:val="21"/>
          <w:szCs w:val="21"/>
        </w:rPr>
      </w:pPr>
      <w:r>
        <w:rPr>
          <w:rFonts w:ascii="宋体" w:hAnsi="宋体" w:cs="宋体" w:hint="eastAsia"/>
          <w:sz w:val="21"/>
          <w:szCs w:val="21"/>
        </w:rPr>
        <w:t>科学建模是科学教育中的重要环节，但却很少在高中教育中被提及。尤其是当前的科学教育实验按照“菜谱式”的教学方法</w:t>
      </w:r>
      <w:r w:rsidRPr="005733C9">
        <w:rPr>
          <w:rFonts w:ascii="宋体" w:hAnsi="宋体" w:cs="宋体" w:hint="eastAsia"/>
          <w:sz w:val="21"/>
          <w:szCs w:val="21"/>
        </w:rPr>
        <w:t>，学生几乎完全集中在拟合实验数据到已知的理论</w:t>
      </w:r>
      <w:r>
        <w:rPr>
          <w:rFonts w:ascii="宋体" w:hAnsi="宋体" w:cs="宋体" w:hint="eastAsia"/>
          <w:sz w:val="21"/>
          <w:szCs w:val="21"/>
        </w:rPr>
        <w:t>，</w:t>
      </w:r>
      <w:r w:rsidRPr="005733C9">
        <w:rPr>
          <w:rFonts w:ascii="宋体" w:hAnsi="宋体" w:cs="宋体" w:hint="eastAsia"/>
          <w:sz w:val="21"/>
          <w:szCs w:val="21"/>
        </w:rPr>
        <w:t>很少有教师会要求学生制作出符合数据的科学模型</w:t>
      </w:r>
      <w:r>
        <w:rPr>
          <w:rFonts w:ascii="宋体" w:hAnsi="宋体" w:cs="宋体" w:hint="eastAsia"/>
          <w:sz w:val="21"/>
          <w:szCs w:val="21"/>
        </w:rPr>
        <w:t>。其次实验过程耗费了大量时间在数据收集上，并且原始的数据收集方式不仅精度低且不能与现代的科学发展相一致。</w:t>
      </w:r>
    </w:p>
    <w:p w14:paraId="60CB3E05" w14:textId="3F7D9F52" w:rsidR="005733C9" w:rsidRDefault="005733C9" w:rsidP="005733C9">
      <w:pPr>
        <w:ind w:firstLineChars="200" w:firstLine="420"/>
        <w:rPr>
          <w:rFonts w:ascii="宋体" w:hAnsi="宋体" w:cs="宋体"/>
          <w:sz w:val="21"/>
          <w:szCs w:val="21"/>
        </w:rPr>
      </w:pPr>
      <w:r w:rsidRPr="005733C9">
        <w:rPr>
          <w:rFonts w:ascii="宋体" w:hAnsi="宋体" w:cs="宋体" w:hint="eastAsia"/>
          <w:sz w:val="21"/>
          <w:szCs w:val="21"/>
        </w:rPr>
        <w:t>因此，学生在探究、解释、阐述科学问题和收集证据支持科学假设方面普遍较弱。这就需要科学教育的变革。</w:t>
      </w:r>
      <w:r>
        <w:rPr>
          <w:rFonts w:ascii="宋体" w:hAnsi="宋体" w:cs="宋体" w:hint="eastAsia"/>
          <w:sz w:val="21"/>
          <w:szCs w:val="21"/>
        </w:rPr>
        <w:t>本文采用了</w:t>
      </w:r>
      <w:r w:rsidRPr="005733C9">
        <w:rPr>
          <w:rFonts w:ascii="宋体" w:hAnsi="宋体" w:cs="宋体" w:hint="eastAsia"/>
          <w:sz w:val="21"/>
          <w:szCs w:val="21"/>
        </w:rPr>
        <w:t>智能手机支持的基于建模的探究性学习</w:t>
      </w:r>
      <w:r>
        <w:rPr>
          <w:rFonts w:ascii="宋体" w:hAnsi="宋体" w:cs="宋体" w:hint="eastAsia"/>
          <w:sz w:val="21"/>
          <w:szCs w:val="21"/>
        </w:rPr>
        <w:t>，通过两轮迭代实验，以期解决以下两个问题：</w:t>
      </w:r>
    </w:p>
    <w:p w14:paraId="63E20095" w14:textId="703D4438" w:rsidR="005733C9" w:rsidRPr="005733C9" w:rsidRDefault="005733C9" w:rsidP="005733C9">
      <w:pPr>
        <w:pStyle w:val="a7"/>
        <w:numPr>
          <w:ilvl w:val="0"/>
          <w:numId w:val="2"/>
        </w:numPr>
        <w:ind w:firstLineChars="0"/>
        <w:rPr>
          <w:rFonts w:ascii="宋体" w:hAnsi="宋体" w:cs="宋体"/>
          <w:sz w:val="21"/>
          <w:szCs w:val="21"/>
        </w:rPr>
      </w:pPr>
      <w:r w:rsidRPr="005733C9">
        <w:rPr>
          <w:rFonts w:ascii="宋体" w:hAnsi="宋体" w:cs="宋体" w:hint="eastAsia"/>
          <w:sz w:val="21"/>
          <w:szCs w:val="21"/>
        </w:rPr>
        <w:t>智能手机支持的基于建模的探究性学习是否能够促进学习者的科学建模能力？</w:t>
      </w:r>
    </w:p>
    <w:p w14:paraId="53177959" w14:textId="77777777" w:rsidR="005733C9" w:rsidRDefault="005733C9" w:rsidP="005733C9">
      <w:pPr>
        <w:pStyle w:val="a7"/>
        <w:numPr>
          <w:ilvl w:val="0"/>
          <w:numId w:val="2"/>
        </w:numPr>
        <w:ind w:firstLineChars="0"/>
        <w:rPr>
          <w:rFonts w:ascii="宋体" w:hAnsi="宋体" w:cs="宋体"/>
          <w:sz w:val="21"/>
          <w:szCs w:val="21"/>
        </w:rPr>
      </w:pPr>
      <w:r w:rsidRPr="005733C9">
        <w:rPr>
          <w:rFonts w:ascii="宋体" w:hAnsi="宋体" w:cs="宋体" w:hint="eastAsia"/>
          <w:sz w:val="21"/>
          <w:szCs w:val="21"/>
        </w:rPr>
        <w:t>智能手机支持的基于建模的探究性学习</w:t>
      </w:r>
      <w:r>
        <w:rPr>
          <w:rFonts w:ascii="宋体" w:hAnsi="宋体" w:cs="宋体" w:hint="eastAsia"/>
          <w:sz w:val="21"/>
          <w:szCs w:val="21"/>
        </w:rPr>
        <w:t>与不同学生特质有何种关系？</w:t>
      </w:r>
    </w:p>
    <w:p w14:paraId="6340232A" w14:textId="68823A20" w:rsidR="005733C9" w:rsidRPr="005733C9" w:rsidRDefault="005733C9" w:rsidP="005733C9">
      <w:pPr>
        <w:pStyle w:val="a7"/>
        <w:numPr>
          <w:ilvl w:val="0"/>
          <w:numId w:val="2"/>
        </w:numPr>
        <w:ind w:firstLineChars="0"/>
        <w:rPr>
          <w:rFonts w:ascii="宋体" w:hAnsi="宋体" w:cs="宋体"/>
          <w:sz w:val="21"/>
          <w:szCs w:val="21"/>
        </w:rPr>
      </w:pPr>
      <w:r>
        <w:rPr>
          <w:rFonts w:ascii="宋体" w:hAnsi="宋体" w:cs="宋体" w:hint="eastAsia"/>
          <w:sz w:val="21"/>
          <w:szCs w:val="21"/>
        </w:rPr>
        <w:t>不同脚手架对不同特质的学生的作用？</w:t>
      </w:r>
      <w:r w:rsidRPr="005733C9">
        <w:rPr>
          <w:rFonts w:ascii="宋体" w:hAnsi="宋体" w:cs="宋体" w:hint="eastAsia"/>
          <w:sz w:val="21"/>
          <w:szCs w:val="21"/>
        </w:rPr>
        <w:t xml:space="preserve"> </w:t>
      </w:r>
    </w:p>
    <w:p w14:paraId="335E360D" w14:textId="3BBD363A" w:rsidR="005733C9" w:rsidRPr="005733C9" w:rsidRDefault="005733C9" w:rsidP="005733C9">
      <w:pPr>
        <w:ind w:firstLineChars="200" w:firstLine="482"/>
        <w:rPr>
          <w:rFonts w:ascii="宋体" w:hAnsi="宋体" w:cs="宋体"/>
          <w:b/>
          <w:sz w:val="24"/>
          <w:szCs w:val="24"/>
        </w:rPr>
      </w:pPr>
      <w:r>
        <w:rPr>
          <w:rFonts w:ascii="宋体" w:hAnsi="宋体" w:cs="宋体" w:hint="eastAsia"/>
          <w:b/>
          <w:sz w:val="24"/>
          <w:szCs w:val="24"/>
        </w:rPr>
        <w:t>二、文献综述</w:t>
      </w:r>
    </w:p>
    <w:p w14:paraId="6F8FE6A6" w14:textId="44A3B13C" w:rsidR="00861DDB" w:rsidRPr="005733C9" w:rsidRDefault="00380CC4" w:rsidP="005733C9">
      <w:pPr>
        <w:ind w:firstLineChars="200" w:firstLine="420"/>
        <w:rPr>
          <w:rFonts w:ascii="黑体" w:eastAsia="黑体" w:hAnsi="黑体" w:cs="黑体"/>
          <w:sz w:val="21"/>
          <w:szCs w:val="21"/>
        </w:rPr>
      </w:pPr>
      <w:r>
        <w:rPr>
          <w:rFonts w:ascii="黑体" w:eastAsia="黑体" w:hAnsi="黑体" w:cs="黑体" w:hint="eastAsia"/>
          <w:sz w:val="21"/>
          <w:szCs w:val="21"/>
        </w:rPr>
        <w:t>（一）</w:t>
      </w:r>
      <w:r w:rsidR="005733C9">
        <w:rPr>
          <w:rFonts w:ascii="黑体" w:eastAsia="黑体" w:hAnsi="黑体" w:cs="黑体" w:hint="eastAsia"/>
          <w:sz w:val="21"/>
          <w:szCs w:val="21"/>
        </w:rPr>
        <w:t>科学建模</w:t>
      </w:r>
    </w:p>
    <w:p w14:paraId="62D71377" w14:textId="029410E6" w:rsidR="005733C9" w:rsidRDefault="005733C9" w:rsidP="005733C9">
      <w:pPr>
        <w:ind w:firstLineChars="200" w:firstLine="420"/>
        <w:rPr>
          <w:rFonts w:ascii="宋体" w:hAnsi="宋体" w:cs="宋体"/>
          <w:sz w:val="21"/>
          <w:szCs w:val="21"/>
        </w:rPr>
      </w:pPr>
      <w:r w:rsidRPr="005733C9">
        <w:rPr>
          <w:rFonts w:ascii="宋体" w:hAnsi="宋体" w:cs="宋体" w:hint="eastAsia"/>
          <w:sz w:val="21"/>
          <w:szCs w:val="21"/>
        </w:rPr>
        <w:t>科学模型对自然现象关键特征和原理的抽象和表示</w:t>
      </w:r>
      <w:r w:rsidRPr="005733C9">
        <w:rPr>
          <w:rFonts w:ascii="Times New Roman" w:hAnsi="Times New Roman"/>
          <w:sz w:val="21"/>
          <w:szCs w:val="21"/>
        </w:rPr>
        <w:t>（</w:t>
      </w:r>
      <w:proofErr w:type="spellStart"/>
      <w:r w:rsidRPr="005733C9">
        <w:rPr>
          <w:rFonts w:ascii="Times New Roman" w:hAnsi="Times New Roman"/>
          <w:sz w:val="21"/>
          <w:szCs w:val="21"/>
        </w:rPr>
        <w:t>Zhai</w:t>
      </w:r>
      <w:proofErr w:type="spellEnd"/>
      <w:r w:rsidRPr="005733C9">
        <w:rPr>
          <w:rFonts w:ascii="Times New Roman" w:hAnsi="Times New Roman"/>
          <w:sz w:val="21"/>
          <w:szCs w:val="21"/>
        </w:rPr>
        <w:t>，</w:t>
      </w:r>
      <w:r w:rsidRPr="005733C9">
        <w:rPr>
          <w:rFonts w:ascii="Times New Roman" w:hAnsi="Times New Roman"/>
          <w:sz w:val="21"/>
          <w:szCs w:val="21"/>
        </w:rPr>
        <w:t>2022</w:t>
      </w:r>
      <w:r w:rsidRPr="005733C9">
        <w:rPr>
          <w:rFonts w:ascii="Times New Roman" w:hAnsi="Times New Roman"/>
          <w:sz w:val="21"/>
          <w:szCs w:val="21"/>
        </w:rPr>
        <w:t>）</w:t>
      </w:r>
      <w:r>
        <w:rPr>
          <w:rFonts w:ascii="宋体" w:hAnsi="宋体" w:cs="宋体" w:hint="eastAsia"/>
          <w:sz w:val="21"/>
          <w:szCs w:val="21"/>
        </w:rPr>
        <w:t>。</w:t>
      </w:r>
      <w:r w:rsidRPr="005733C9">
        <w:rPr>
          <w:rFonts w:ascii="宋体" w:hAnsi="宋体" w:cs="宋体" w:hint="eastAsia"/>
          <w:sz w:val="21"/>
          <w:szCs w:val="21"/>
        </w:rPr>
        <w:t>研究人员认为，建模可以促进学生对科学概念、方法论过程的学习，以及对科学如何运作的意识的发展</w:t>
      </w:r>
      <w:r w:rsidRPr="005733C9">
        <w:rPr>
          <w:rFonts w:ascii="Times New Roman" w:hAnsi="Times New Roman"/>
          <w:sz w:val="21"/>
          <w:szCs w:val="21"/>
        </w:rPr>
        <w:t>(Gobert</w:t>
      </w:r>
      <w:r w:rsidRPr="005733C9">
        <w:rPr>
          <w:rFonts w:ascii="Times New Roman" w:hAnsi="Times New Roman"/>
          <w:sz w:val="21"/>
          <w:szCs w:val="21"/>
        </w:rPr>
        <w:t>，</w:t>
      </w:r>
      <w:r w:rsidRPr="005733C9">
        <w:rPr>
          <w:rFonts w:ascii="Times New Roman" w:hAnsi="Times New Roman"/>
          <w:sz w:val="21"/>
          <w:szCs w:val="21"/>
        </w:rPr>
        <w:t>2011</w:t>
      </w:r>
      <w:r w:rsidRPr="005733C9">
        <w:rPr>
          <w:rFonts w:ascii="Times New Roman" w:hAnsi="Times New Roman"/>
          <w:sz w:val="21"/>
          <w:szCs w:val="21"/>
        </w:rPr>
        <w:t>；</w:t>
      </w:r>
      <w:r w:rsidRPr="005733C9">
        <w:rPr>
          <w:rFonts w:ascii="Times New Roman" w:hAnsi="Times New Roman"/>
          <w:sz w:val="21"/>
          <w:szCs w:val="21"/>
        </w:rPr>
        <w:t>Hodson, 1993)</w:t>
      </w:r>
      <w:r w:rsidRPr="005733C9">
        <w:rPr>
          <w:rFonts w:ascii="宋体" w:hAnsi="宋体" w:cs="宋体" w:hint="eastAsia"/>
          <w:sz w:val="21"/>
          <w:szCs w:val="21"/>
        </w:rPr>
        <w:t>。</w:t>
      </w:r>
    </w:p>
    <w:p w14:paraId="708D430C" w14:textId="7516754F" w:rsidR="005733C9" w:rsidRPr="005733C9" w:rsidRDefault="005733C9" w:rsidP="005733C9">
      <w:pPr>
        <w:ind w:firstLineChars="200" w:firstLine="420"/>
        <w:rPr>
          <w:rFonts w:ascii="宋体" w:hAnsi="宋体" w:cs="宋体"/>
          <w:sz w:val="21"/>
          <w:szCs w:val="21"/>
        </w:rPr>
      </w:pPr>
      <w:r>
        <w:rPr>
          <w:rFonts w:ascii="宋体" w:hAnsi="宋体" w:cs="宋体" w:hint="eastAsia"/>
          <w:sz w:val="21"/>
          <w:szCs w:val="21"/>
        </w:rPr>
        <w:t>科学建模的理论框架将科学建模能力分为了建模实践和元知识两大部分。建模实践包括</w:t>
      </w:r>
      <w:r w:rsidRPr="005733C9">
        <w:rPr>
          <w:rFonts w:ascii="宋体" w:hAnsi="宋体" w:cs="宋体" w:hint="eastAsia"/>
          <w:sz w:val="21"/>
          <w:szCs w:val="21"/>
        </w:rPr>
        <w:t>模型构建</w:t>
      </w:r>
      <w:r w:rsidRPr="005733C9">
        <w:rPr>
          <w:rFonts w:ascii="Times New Roman" w:hAnsi="Times New Roman"/>
          <w:sz w:val="21"/>
          <w:szCs w:val="21"/>
        </w:rPr>
        <w:t xml:space="preserve">(Stratford, </w:t>
      </w:r>
      <w:proofErr w:type="spellStart"/>
      <w:r w:rsidRPr="005733C9">
        <w:rPr>
          <w:rFonts w:ascii="Times New Roman" w:hAnsi="Times New Roman"/>
          <w:sz w:val="21"/>
          <w:szCs w:val="21"/>
        </w:rPr>
        <w:t>Krajcik</w:t>
      </w:r>
      <w:proofErr w:type="spellEnd"/>
      <w:r w:rsidRPr="005733C9">
        <w:rPr>
          <w:rFonts w:ascii="Times New Roman" w:hAnsi="Times New Roman"/>
          <w:sz w:val="21"/>
          <w:szCs w:val="21"/>
        </w:rPr>
        <w:t>，</w:t>
      </w:r>
      <w:r w:rsidRPr="005733C9">
        <w:rPr>
          <w:rFonts w:ascii="Times New Roman" w:hAnsi="Times New Roman"/>
          <w:sz w:val="21"/>
          <w:szCs w:val="21"/>
        </w:rPr>
        <w:t>&amp; Soloway, 1998)</w:t>
      </w:r>
      <w:r>
        <w:rPr>
          <w:rFonts w:ascii="宋体" w:hAnsi="宋体" w:cs="宋体" w:hint="eastAsia"/>
          <w:sz w:val="21"/>
          <w:szCs w:val="21"/>
        </w:rPr>
        <w:t>；</w:t>
      </w:r>
      <w:r w:rsidRPr="005733C9">
        <w:rPr>
          <w:rFonts w:ascii="宋体" w:hAnsi="宋体" w:cs="宋体" w:hint="eastAsia"/>
          <w:sz w:val="21"/>
          <w:szCs w:val="21"/>
        </w:rPr>
        <w:t>模型使用</w:t>
      </w:r>
      <w:r w:rsidRPr="005733C9">
        <w:rPr>
          <w:rFonts w:ascii="Times New Roman" w:hAnsi="Times New Roman"/>
          <w:sz w:val="21"/>
          <w:szCs w:val="21"/>
        </w:rPr>
        <w:t>(NRC, 2012)</w:t>
      </w:r>
      <w:r>
        <w:rPr>
          <w:rFonts w:ascii="宋体" w:hAnsi="宋体" w:cs="宋体" w:hint="eastAsia"/>
          <w:sz w:val="21"/>
          <w:szCs w:val="21"/>
        </w:rPr>
        <w:t>；</w:t>
      </w:r>
      <w:r w:rsidRPr="005733C9">
        <w:rPr>
          <w:rFonts w:ascii="宋体" w:hAnsi="宋体" w:cs="宋体" w:hint="eastAsia"/>
          <w:sz w:val="21"/>
          <w:szCs w:val="21"/>
        </w:rPr>
        <w:t>模型之间的比较</w:t>
      </w:r>
      <w:r w:rsidRPr="005733C9">
        <w:rPr>
          <w:rFonts w:ascii="Times New Roman" w:hAnsi="Times New Roman"/>
          <w:sz w:val="21"/>
          <w:szCs w:val="21"/>
        </w:rPr>
        <w:t>(Penner, Giles, Lehrer</w:t>
      </w:r>
      <w:r w:rsidRPr="005733C9">
        <w:rPr>
          <w:rFonts w:ascii="Times New Roman" w:hAnsi="Times New Roman"/>
          <w:sz w:val="21"/>
          <w:szCs w:val="21"/>
        </w:rPr>
        <w:t>，</w:t>
      </w:r>
      <w:r w:rsidRPr="005733C9">
        <w:rPr>
          <w:rFonts w:ascii="Times New Roman" w:hAnsi="Times New Roman"/>
          <w:sz w:val="21"/>
          <w:szCs w:val="21"/>
        </w:rPr>
        <w:t xml:space="preserve">&amp; </w:t>
      </w:r>
      <w:proofErr w:type="spellStart"/>
      <w:r w:rsidRPr="005733C9">
        <w:rPr>
          <w:rFonts w:ascii="Times New Roman" w:hAnsi="Times New Roman"/>
          <w:sz w:val="21"/>
          <w:szCs w:val="21"/>
        </w:rPr>
        <w:t>Schauble</w:t>
      </w:r>
      <w:proofErr w:type="spellEnd"/>
      <w:r w:rsidRPr="005733C9">
        <w:rPr>
          <w:rFonts w:ascii="Times New Roman" w:hAnsi="Times New Roman"/>
          <w:sz w:val="21"/>
          <w:szCs w:val="21"/>
        </w:rPr>
        <w:t>, 1997)</w:t>
      </w:r>
      <w:r>
        <w:rPr>
          <w:rFonts w:ascii="宋体" w:hAnsi="宋体" w:cs="宋体" w:hint="eastAsia"/>
          <w:sz w:val="21"/>
          <w:szCs w:val="21"/>
        </w:rPr>
        <w:t>；</w:t>
      </w:r>
      <w:r w:rsidRPr="005733C9">
        <w:rPr>
          <w:rFonts w:ascii="宋体" w:hAnsi="宋体" w:cs="宋体" w:hint="eastAsia"/>
          <w:sz w:val="21"/>
          <w:szCs w:val="21"/>
        </w:rPr>
        <w:t>模型修正</w:t>
      </w:r>
      <w:r w:rsidRPr="005733C9">
        <w:rPr>
          <w:rFonts w:ascii="Times New Roman" w:hAnsi="Times New Roman"/>
          <w:sz w:val="21"/>
          <w:szCs w:val="21"/>
        </w:rPr>
        <w:t>(Schwarz &amp; White, 2005)</w:t>
      </w:r>
      <w:r w:rsidRPr="005733C9">
        <w:rPr>
          <w:rFonts w:ascii="宋体" w:hAnsi="宋体" w:cs="宋体" w:hint="eastAsia"/>
          <w:sz w:val="21"/>
          <w:szCs w:val="21"/>
        </w:rPr>
        <w:t>和模型验证</w:t>
      </w:r>
      <w:r>
        <w:rPr>
          <w:rFonts w:ascii="宋体" w:hAnsi="宋体" w:cs="宋体" w:hint="eastAsia"/>
          <w:sz w:val="21"/>
          <w:szCs w:val="21"/>
        </w:rPr>
        <w:t>。</w:t>
      </w:r>
      <w:r w:rsidRPr="005733C9">
        <w:rPr>
          <w:rFonts w:ascii="宋体" w:hAnsi="宋体" w:cs="宋体" w:hint="eastAsia"/>
          <w:sz w:val="21"/>
          <w:szCs w:val="21"/>
        </w:rPr>
        <w:lastRenderedPageBreak/>
        <w:t>元知识被分析为关于建模过程的元认知知识和元建模知识</w:t>
      </w:r>
      <w:r w:rsidRPr="005733C9">
        <w:rPr>
          <w:rFonts w:ascii="Times New Roman" w:hAnsi="Times New Roman"/>
          <w:sz w:val="21"/>
          <w:szCs w:val="21"/>
        </w:rPr>
        <w:t>(Schwarz &amp; White, 2005)</w:t>
      </w:r>
      <w:r w:rsidRPr="005733C9">
        <w:rPr>
          <w:rFonts w:ascii="宋体" w:hAnsi="宋体" w:cs="宋体" w:hint="eastAsia"/>
          <w:sz w:val="21"/>
          <w:szCs w:val="21"/>
        </w:rPr>
        <w:t>，前者指学生明确描述和反思建模实际过程的能力，后者指对模型的性质和目的的认识论意识。</w:t>
      </w:r>
    </w:p>
    <w:p w14:paraId="1DE165AF" w14:textId="30F3A58A" w:rsidR="00107F4A" w:rsidRDefault="00107F4A" w:rsidP="00107F4A">
      <w:pPr>
        <w:ind w:firstLineChars="200" w:firstLine="420"/>
        <w:rPr>
          <w:rFonts w:ascii="黑体" w:eastAsia="黑体" w:hAnsi="黑体" w:cs="黑体"/>
          <w:sz w:val="21"/>
          <w:szCs w:val="21"/>
        </w:rPr>
      </w:pPr>
      <w:r>
        <w:rPr>
          <w:rFonts w:ascii="黑体" w:eastAsia="黑体" w:hAnsi="黑体" w:cs="黑体" w:hint="eastAsia"/>
          <w:sz w:val="21"/>
          <w:szCs w:val="21"/>
        </w:rPr>
        <w:t>（二）</w:t>
      </w:r>
      <w:r w:rsidR="005733C9">
        <w:rPr>
          <w:rFonts w:ascii="黑体" w:eastAsia="黑体" w:hAnsi="黑体" w:cs="黑体" w:hint="eastAsia"/>
          <w:sz w:val="21"/>
          <w:szCs w:val="21"/>
        </w:rPr>
        <w:t>基于建模的教学</w:t>
      </w:r>
    </w:p>
    <w:p w14:paraId="5C2E72A0" w14:textId="29AA7EEF" w:rsidR="005733C9" w:rsidRDefault="005733C9" w:rsidP="005733C9">
      <w:pPr>
        <w:ind w:firstLineChars="200" w:firstLine="420"/>
        <w:rPr>
          <w:rFonts w:ascii="宋体" w:hAnsi="宋体" w:cs="宋体"/>
          <w:sz w:val="21"/>
          <w:szCs w:val="21"/>
        </w:rPr>
      </w:pPr>
      <w:r>
        <w:rPr>
          <w:rFonts w:ascii="宋体" w:hAnsi="宋体" w:cs="宋体" w:hint="eastAsia"/>
          <w:sz w:val="21"/>
          <w:szCs w:val="21"/>
        </w:rPr>
        <w:t>基于建模的教学是指学生在学习过程中不断构建与细化科学模型</w:t>
      </w:r>
      <w:r w:rsidRPr="005733C9">
        <w:rPr>
          <w:rFonts w:ascii="Times New Roman" w:hAnsi="Times New Roman"/>
          <w:sz w:val="21"/>
          <w:szCs w:val="21"/>
        </w:rPr>
        <w:t xml:space="preserve">(Nicolaou &amp; </w:t>
      </w:r>
      <w:proofErr w:type="spellStart"/>
      <w:r w:rsidRPr="005733C9">
        <w:rPr>
          <w:rFonts w:ascii="Times New Roman" w:hAnsi="Times New Roman"/>
          <w:sz w:val="21"/>
          <w:szCs w:val="21"/>
        </w:rPr>
        <w:t>Constannou</w:t>
      </w:r>
      <w:proofErr w:type="spellEnd"/>
      <w:r w:rsidRPr="005733C9">
        <w:rPr>
          <w:rFonts w:ascii="Times New Roman" w:hAnsi="Times New Roman"/>
          <w:sz w:val="21"/>
          <w:szCs w:val="21"/>
        </w:rPr>
        <w:t>, 2014)</w:t>
      </w:r>
      <w:r>
        <w:rPr>
          <w:rFonts w:ascii="宋体" w:hAnsi="宋体" w:cs="宋体" w:hint="eastAsia"/>
          <w:sz w:val="21"/>
          <w:szCs w:val="21"/>
        </w:rPr>
        <w:t>。</w:t>
      </w:r>
      <w:r w:rsidRPr="005733C9">
        <w:rPr>
          <w:rFonts w:ascii="宋体" w:hAnsi="宋体" w:cs="宋体" w:hint="eastAsia"/>
          <w:sz w:val="21"/>
          <w:szCs w:val="21"/>
        </w:rPr>
        <w:t>基于模型的教学可能以多种形式出现，如基于模型的探究和基于模型的推理。基于模型的教学的目的或功能是让学生参与建模实践，并发展对科学概念的理解。</w:t>
      </w:r>
    </w:p>
    <w:p w14:paraId="439AB289" w14:textId="3D2EFB0F" w:rsidR="005733C9" w:rsidRDefault="005733C9" w:rsidP="005733C9">
      <w:pPr>
        <w:ind w:firstLineChars="200" w:firstLine="420"/>
        <w:rPr>
          <w:rFonts w:ascii="宋体" w:hAnsi="宋体" w:cs="宋体"/>
          <w:sz w:val="21"/>
          <w:szCs w:val="21"/>
        </w:rPr>
      </w:pPr>
      <w:r>
        <w:rPr>
          <w:rFonts w:ascii="宋体" w:hAnsi="宋体" w:cs="宋体" w:hint="eastAsia"/>
          <w:sz w:val="21"/>
          <w:szCs w:val="21"/>
        </w:rPr>
        <w:t>基于建模的教学主要有三个特征：1</w:t>
      </w:r>
      <w:r>
        <w:rPr>
          <w:rFonts w:ascii="宋体" w:hAnsi="宋体" w:cs="宋体"/>
          <w:sz w:val="21"/>
          <w:szCs w:val="21"/>
        </w:rPr>
        <w:t>.</w:t>
      </w:r>
      <w:r w:rsidRPr="005733C9">
        <w:rPr>
          <w:rFonts w:ascii="宋体" w:hAnsi="宋体" w:cs="宋体" w:hint="eastAsia"/>
          <w:sz w:val="21"/>
          <w:szCs w:val="21"/>
        </w:rPr>
        <w:t>使学生主动参与学习</w:t>
      </w:r>
      <w:r>
        <w:rPr>
          <w:rFonts w:ascii="宋体" w:hAnsi="宋体" w:cs="宋体" w:hint="eastAsia"/>
          <w:sz w:val="21"/>
          <w:szCs w:val="21"/>
        </w:rPr>
        <w:t>。2</w:t>
      </w:r>
      <w:r>
        <w:rPr>
          <w:rFonts w:ascii="宋体" w:hAnsi="宋体" w:cs="宋体"/>
          <w:sz w:val="21"/>
          <w:szCs w:val="21"/>
        </w:rPr>
        <w:t>.</w:t>
      </w:r>
      <w:r>
        <w:rPr>
          <w:rFonts w:ascii="宋体" w:hAnsi="宋体" w:cs="宋体" w:hint="eastAsia"/>
          <w:sz w:val="21"/>
          <w:szCs w:val="21"/>
        </w:rPr>
        <w:t>为学生</w:t>
      </w:r>
      <w:r w:rsidRPr="005733C9">
        <w:rPr>
          <w:rFonts w:ascii="宋体" w:hAnsi="宋体" w:cs="宋体" w:hint="eastAsia"/>
          <w:sz w:val="21"/>
          <w:szCs w:val="21"/>
        </w:rPr>
        <w:t>提供多种模型</w:t>
      </w:r>
      <w:r>
        <w:rPr>
          <w:rFonts w:ascii="宋体" w:hAnsi="宋体" w:cs="宋体" w:hint="eastAsia"/>
          <w:sz w:val="21"/>
          <w:szCs w:val="21"/>
        </w:rPr>
        <w:t>构建</w:t>
      </w:r>
      <w:r w:rsidRPr="005733C9">
        <w:rPr>
          <w:rFonts w:ascii="宋体" w:hAnsi="宋体" w:cs="宋体" w:hint="eastAsia"/>
          <w:sz w:val="21"/>
          <w:szCs w:val="21"/>
        </w:rPr>
        <w:t>的</w:t>
      </w:r>
      <w:r>
        <w:rPr>
          <w:rFonts w:ascii="宋体" w:hAnsi="宋体" w:cs="宋体" w:hint="eastAsia"/>
          <w:sz w:val="21"/>
          <w:szCs w:val="21"/>
        </w:rPr>
        <w:t>表示方法和</w:t>
      </w:r>
      <w:r w:rsidRPr="005733C9">
        <w:rPr>
          <w:rFonts w:ascii="宋体" w:hAnsi="宋体" w:cs="宋体" w:hint="eastAsia"/>
          <w:sz w:val="21"/>
          <w:szCs w:val="21"/>
        </w:rPr>
        <w:t>替代模式</w:t>
      </w:r>
      <w:r>
        <w:rPr>
          <w:rFonts w:ascii="宋体" w:hAnsi="宋体" w:cs="宋体" w:hint="eastAsia"/>
          <w:sz w:val="21"/>
          <w:szCs w:val="21"/>
        </w:rPr>
        <w:t>。3</w:t>
      </w:r>
      <w:r>
        <w:rPr>
          <w:rFonts w:ascii="宋体" w:hAnsi="宋体" w:cs="宋体"/>
          <w:sz w:val="21"/>
          <w:szCs w:val="21"/>
        </w:rPr>
        <w:t>.</w:t>
      </w:r>
      <w:r>
        <w:rPr>
          <w:rFonts w:ascii="宋体" w:hAnsi="宋体" w:cs="宋体" w:hint="eastAsia"/>
          <w:sz w:val="21"/>
          <w:szCs w:val="21"/>
        </w:rPr>
        <w:t>帮助学生群体的协作</w:t>
      </w:r>
      <w:r w:rsidRPr="005733C9">
        <w:rPr>
          <w:rFonts w:ascii="宋体" w:hAnsi="宋体" w:cs="宋体" w:hint="eastAsia"/>
          <w:sz w:val="21"/>
          <w:szCs w:val="21"/>
        </w:rPr>
        <w:t xml:space="preserve">和对复杂科学主题的理解 </w:t>
      </w:r>
      <w:r w:rsidRPr="005733C9">
        <w:rPr>
          <w:rFonts w:ascii="Times New Roman" w:hAnsi="Times New Roman"/>
          <w:sz w:val="21"/>
          <w:szCs w:val="21"/>
        </w:rPr>
        <w:t>(Shen</w:t>
      </w:r>
      <w:r w:rsidRPr="005733C9">
        <w:rPr>
          <w:rFonts w:ascii="Times New Roman" w:hAnsi="Times New Roman"/>
          <w:sz w:val="21"/>
          <w:szCs w:val="21"/>
        </w:rPr>
        <w:t>，</w:t>
      </w:r>
      <w:r w:rsidRPr="005733C9">
        <w:rPr>
          <w:rFonts w:ascii="Times New Roman" w:hAnsi="Times New Roman"/>
          <w:sz w:val="21"/>
          <w:szCs w:val="21"/>
        </w:rPr>
        <w:t>2014)</w:t>
      </w:r>
      <w:r w:rsidRPr="005733C9">
        <w:rPr>
          <w:rFonts w:ascii="宋体" w:hAnsi="宋体" w:cs="宋体" w:hint="eastAsia"/>
          <w:sz w:val="21"/>
          <w:szCs w:val="21"/>
        </w:rPr>
        <w:t>。基于建模的教学类型包括五种建模教学法：探索性建模、表现性建模、实验性建模、评价性建模和循环性建模</w:t>
      </w:r>
      <w:r w:rsidRPr="005733C9">
        <w:rPr>
          <w:rFonts w:ascii="Times New Roman" w:hAnsi="Times New Roman"/>
          <w:sz w:val="21"/>
          <w:szCs w:val="21"/>
        </w:rPr>
        <w:t>（</w:t>
      </w:r>
      <w:r w:rsidRPr="005733C9">
        <w:rPr>
          <w:rFonts w:ascii="Times New Roman" w:hAnsi="Times New Roman"/>
          <w:sz w:val="21"/>
          <w:szCs w:val="21"/>
        </w:rPr>
        <w:t>Oh</w:t>
      </w:r>
      <w:r>
        <w:rPr>
          <w:rFonts w:ascii="Times New Roman" w:hAnsi="Times New Roman" w:hint="eastAsia"/>
          <w:sz w:val="21"/>
          <w:szCs w:val="21"/>
        </w:rPr>
        <w:t>，</w:t>
      </w:r>
      <w:r w:rsidRPr="005733C9">
        <w:rPr>
          <w:rFonts w:ascii="Times New Roman" w:hAnsi="Times New Roman"/>
          <w:sz w:val="21"/>
          <w:szCs w:val="21"/>
        </w:rPr>
        <w:t>2011)</w:t>
      </w:r>
      <w:r w:rsidRPr="005733C9">
        <w:rPr>
          <w:rFonts w:ascii="宋体" w:hAnsi="宋体" w:cs="宋体" w:hint="eastAsia"/>
          <w:sz w:val="21"/>
          <w:szCs w:val="21"/>
        </w:rPr>
        <w:t>。一</w:t>
      </w:r>
      <w:r>
        <w:rPr>
          <w:rFonts w:ascii="宋体" w:hAnsi="宋体" w:cs="宋体" w:hint="eastAsia"/>
          <w:sz w:val="21"/>
          <w:szCs w:val="21"/>
        </w:rPr>
        <w:t>些</w:t>
      </w:r>
      <w:r w:rsidRPr="005733C9">
        <w:rPr>
          <w:rFonts w:ascii="宋体" w:hAnsi="宋体" w:cs="宋体" w:hint="eastAsia"/>
          <w:sz w:val="21"/>
          <w:szCs w:val="21"/>
        </w:rPr>
        <w:t>研究采用</w:t>
      </w:r>
      <w:r>
        <w:rPr>
          <w:rFonts w:ascii="宋体" w:hAnsi="宋体" w:cs="宋体" w:hint="eastAsia"/>
          <w:sz w:val="21"/>
          <w:szCs w:val="21"/>
        </w:rPr>
        <w:t>了</w:t>
      </w:r>
      <w:r w:rsidRPr="005733C9">
        <w:rPr>
          <w:rFonts w:ascii="宋体" w:hAnsi="宋体" w:cs="宋体" w:hint="eastAsia"/>
          <w:sz w:val="21"/>
          <w:szCs w:val="21"/>
        </w:rPr>
        <w:t>多种建模教学法；例如，</w:t>
      </w:r>
      <w:proofErr w:type="spellStart"/>
      <w:r w:rsidRPr="005733C9">
        <w:rPr>
          <w:rFonts w:ascii="宋体" w:hAnsi="宋体" w:cs="宋体" w:hint="eastAsia"/>
          <w:sz w:val="21"/>
          <w:szCs w:val="21"/>
        </w:rPr>
        <w:t>Urhahne</w:t>
      </w:r>
      <w:proofErr w:type="spellEnd"/>
      <w:r w:rsidRPr="005733C9">
        <w:rPr>
          <w:rFonts w:ascii="宋体" w:hAnsi="宋体" w:cs="宋体" w:hint="eastAsia"/>
          <w:sz w:val="21"/>
          <w:szCs w:val="21"/>
        </w:rPr>
        <w:t>提出了一种结合表达性和实验性建模教学法的方法，以帮助概念理解的发展</w:t>
      </w:r>
      <w:r>
        <w:rPr>
          <w:rFonts w:ascii="宋体" w:hAnsi="宋体" w:cs="宋体" w:hint="eastAsia"/>
          <w:sz w:val="21"/>
          <w:szCs w:val="21"/>
        </w:rPr>
        <w:t>。</w:t>
      </w:r>
    </w:p>
    <w:p w14:paraId="39A12E19" w14:textId="2B6EAD0E" w:rsidR="002A0DF2" w:rsidRDefault="002A0DF2" w:rsidP="002A0DF2">
      <w:pPr>
        <w:ind w:firstLineChars="200" w:firstLine="420"/>
        <w:rPr>
          <w:rFonts w:ascii="黑体" w:eastAsia="黑体" w:hAnsi="黑体" w:cs="黑体"/>
          <w:sz w:val="21"/>
          <w:szCs w:val="21"/>
        </w:rPr>
      </w:pPr>
      <w:r>
        <w:rPr>
          <w:rFonts w:ascii="黑体" w:eastAsia="黑体" w:hAnsi="黑体" w:cs="黑体" w:hint="eastAsia"/>
          <w:sz w:val="21"/>
          <w:szCs w:val="21"/>
        </w:rPr>
        <w:t>（三）</w:t>
      </w:r>
      <w:r w:rsidR="005733C9">
        <w:rPr>
          <w:rFonts w:ascii="黑体" w:eastAsia="黑体" w:hAnsi="黑体" w:cs="黑体" w:hint="eastAsia"/>
          <w:sz w:val="21"/>
          <w:szCs w:val="21"/>
        </w:rPr>
        <w:t>技术支持下的基于建模的教学</w:t>
      </w:r>
    </w:p>
    <w:p w14:paraId="40B8573C" w14:textId="4E624152" w:rsidR="005733C9" w:rsidRDefault="005733C9" w:rsidP="005733C9">
      <w:pPr>
        <w:ind w:firstLineChars="200" w:firstLine="440"/>
        <w:rPr>
          <w:rFonts w:ascii="宋体" w:hAnsi="宋体" w:cs="宋体"/>
          <w:sz w:val="21"/>
          <w:szCs w:val="21"/>
        </w:rPr>
      </w:pPr>
      <w:r>
        <w:rPr>
          <w:rFonts w:ascii="宋体" w:hAnsi="宋体" w:hint="eastAsia"/>
          <w:color w:val="000000"/>
        </w:rPr>
        <w:t>随着计算机产业的蓬勃发展，科学发生了翻天覆地的变化</w:t>
      </w:r>
      <w:r w:rsidRPr="005733C9">
        <w:rPr>
          <w:rFonts w:ascii="Times New Roman" w:hAnsi="Times New Roman"/>
          <w:color w:val="000000"/>
        </w:rPr>
        <w:t>（</w:t>
      </w:r>
      <w:r w:rsidRPr="005733C9">
        <w:rPr>
          <w:rFonts w:ascii="Times New Roman" w:hAnsi="Times New Roman"/>
          <w:color w:val="000000"/>
        </w:rPr>
        <w:t>Foster</w:t>
      </w:r>
      <w:r>
        <w:rPr>
          <w:rFonts w:ascii="Times New Roman" w:hAnsi="Times New Roman" w:hint="eastAsia"/>
          <w:color w:val="000000"/>
        </w:rPr>
        <w:t>，</w:t>
      </w:r>
      <w:r w:rsidRPr="005733C9">
        <w:rPr>
          <w:rFonts w:ascii="Times New Roman" w:hAnsi="Times New Roman"/>
          <w:color w:val="000000"/>
        </w:rPr>
        <w:t>2006</w:t>
      </w:r>
      <w:r w:rsidRPr="005733C9">
        <w:rPr>
          <w:rFonts w:ascii="Times New Roman" w:hAnsi="Times New Roman"/>
          <w:color w:val="000000"/>
        </w:rPr>
        <w:t>）</w:t>
      </w:r>
      <w:r>
        <w:rPr>
          <w:rFonts w:ascii="宋体" w:hAnsi="宋体" w:hint="eastAsia"/>
          <w:color w:val="000000"/>
        </w:rPr>
        <w:t>。科学研究对建模的重视引发了科学教育的变革，在科学教育中使用计算工具并开展实践能帮助学生更好掌握科学知识</w:t>
      </w:r>
      <w:r w:rsidRPr="005733C9">
        <w:rPr>
          <w:rFonts w:ascii="Times New Roman" w:hAnsi="Times New Roman"/>
          <w:color w:val="000000"/>
        </w:rPr>
        <w:t>（</w:t>
      </w:r>
      <w:r w:rsidRPr="005733C9">
        <w:rPr>
          <w:rFonts w:ascii="Times New Roman" w:hAnsi="Times New Roman"/>
          <w:color w:val="000000"/>
        </w:rPr>
        <w:t>Sengupta.2013</w:t>
      </w:r>
      <w:r w:rsidRPr="005733C9">
        <w:rPr>
          <w:rFonts w:ascii="Times New Roman" w:hAnsi="Times New Roman"/>
          <w:color w:val="000000"/>
        </w:rPr>
        <w:t>）</w:t>
      </w:r>
      <w:r>
        <w:rPr>
          <w:rFonts w:ascii="宋体" w:hAnsi="宋体" w:hint="eastAsia"/>
          <w:color w:val="000000"/>
        </w:rPr>
        <w:t>。</w:t>
      </w:r>
      <w:r w:rsidRPr="005733C9">
        <w:rPr>
          <w:rFonts w:ascii="宋体" w:hAnsi="宋体" w:cs="宋体" w:hint="eastAsia"/>
          <w:sz w:val="21"/>
          <w:szCs w:val="21"/>
        </w:rPr>
        <w:t>在不同的科学领域，如物理、化学、生物和生态系统，各种技术已经被广泛用于基于模型的教学。</w:t>
      </w:r>
    </w:p>
    <w:p w14:paraId="312257D1" w14:textId="132ED54D" w:rsidR="005733C9" w:rsidRDefault="005733C9" w:rsidP="005733C9">
      <w:pPr>
        <w:ind w:firstLineChars="200" w:firstLine="440"/>
        <w:rPr>
          <w:rFonts w:ascii="宋体" w:hAnsi="宋体"/>
          <w:color w:val="000000"/>
        </w:rPr>
      </w:pPr>
      <w:r>
        <w:rPr>
          <w:rFonts w:ascii="宋体" w:hAnsi="宋体" w:hint="eastAsia"/>
          <w:color w:val="000000"/>
        </w:rPr>
        <w:t>已经有大量的研究证明技术支持下的基于建模的教学在培养学生建模能力方面能够发挥有效的作用</w:t>
      </w:r>
      <w:r w:rsidRPr="005733C9">
        <w:rPr>
          <w:rFonts w:ascii="Times New Roman" w:hAnsi="Times New Roman"/>
          <w:color w:val="000000"/>
        </w:rPr>
        <w:t>(</w:t>
      </w:r>
      <w:proofErr w:type="spellStart"/>
      <w:r w:rsidRPr="005733C9">
        <w:rPr>
          <w:rFonts w:ascii="Times New Roman" w:hAnsi="Times New Roman"/>
          <w:color w:val="000000"/>
        </w:rPr>
        <w:t>Keshwani</w:t>
      </w:r>
      <w:proofErr w:type="spellEnd"/>
      <w:r w:rsidRPr="005733C9">
        <w:rPr>
          <w:rFonts w:ascii="Times New Roman" w:hAnsi="Times New Roman"/>
          <w:color w:val="000000"/>
        </w:rPr>
        <w:t xml:space="preserve"> et al., 2017; Mulder et al., 2011; Mulder et al., </w:t>
      </w:r>
      <w:proofErr w:type="gramStart"/>
      <w:r w:rsidRPr="005733C9">
        <w:rPr>
          <w:rFonts w:ascii="Times New Roman" w:hAnsi="Times New Roman"/>
          <w:color w:val="000000"/>
        </w:rPr>
        <w:t>2016)</w:t>
      </w:r>
      <w:r>
        <w:rPr>
          <w:rFonts w:ascii="宋体" w:hAnsi="宋体" w:hint="eastAsia"/>
          <w:color w:val="000000"/>
        </w:rPr>
        <w:t>。</w:t>
      </w:r>
      <w:proofErr w:type="gramEnd"/>
      <w:r w:rsidRPr="005733C9">
        <w:rPr>
          <w:rFonts w:ascii="宋体" w:hAnsi="宋体" w:hint="eastAsia"/>
          <w:color w:val="000000"/>
        </w:rPr>
        <w:t>例如，Schwarz和White创建并评估了模型强化思考者工具（METT) 课程，该课程涉及计算机模拟，被用于中学生的探究型物理课程。在这个课程中，学生们了解了科学模型的性质并参与了建模过程。计算机模拟使学习者能够通过操纵现有模型来可视化和测试其动态关系，并提供开放式的探索环境来支持复杂模型的构建，学生可以研究改变变量值对模拟的影响，收集数据，连接变量和构建模型</w:t>
      </w:r>
      <w:r>
        <w:rPr>
          <w:rFonts w:ascii="宋体" w:hAnsi="宋体" w:hint="eastAsia"/>
          <w:color w:val="000000"/>
        </w:rPr>
        <w:t>。</w:t>
      </w:r>
    </w:p>
    <w:p w14:paraId="1A3FB09B" w14:textId="1866F5C4" w:rsidR="005733C9" w:rsidRPr="005733C9" w:rsidRDefault="005733C9" w:rsidP="005733C9">
      <w:pPr>
        <w:ind w:firstLineChars="200" w:firstLine="440"/>
        <w:rPr>
          <w:rFonts w:ascii="宋体" w:hAnsi="宋体"/>
          <w:color w:val="000000"/>
        </w:rPr>
      </w:pPr>
      <w:r>
        <w:rPr>
          <w:rFonts w:ascii="宋体" w:hAnsi="宋体" w:hint="eastAsia"/>
          <w:color w:val="000000"/>
        </w:rPr>
        <w:t>此外虚拟现实技术的发展，也为科学建模的学习注入了新的活力。</w:t>
      </w:r>
      <w:r w:rsidRPr="005733C9">
        <w:rPr>
          <w:rFonts w:ascii="宋体" w:hAnsi="宋体" w:hint="eastAsia"/>
          <w:color w:val="000000"/>
        </w:rPr>
        <w:t>例如，</w:t>
      </w:r>
      <w:proofErr w:type="spellStart"/>
      <w:r w:rsidRPr="005733C9">
        <w:rPr>
          <w:rFonts w:ascii="宋体" w:hAnsi="宋体" w:hint="eastAsia"/>
          <w:color w:val="000000"/>
        </w:rPr>
        <w:t>Dickes</w:t>
      </w:r>
      <w:proofErr w:type="spellEnd"/>
      <w:r w:rsidRPr="005733C9">
        <w:rPr>
          <w:rFonts w:ascii="宋体" w:hAnsi="宋体" w:hint="eastAsia"/>
          <w:color w:val="000000"/>
        </w:rPr>
        <w:t>等人开发了一个沉浸式VR与基于代理的计算建模工具相融合，以支持小学生的发展的生态知识和科学模型。</w:t>
      </w:r>
    </w:p>
    <w:p w14:paraId="22D695CE" w14:textId="0E9584BF" w:rsidR="005733C9" w:rsidRPr="005733C9" w:rsidRDefault="00F878F3" w:rsidP="005733C9">
      <w:pPr>
        <w:ind w:firstLineChars="200" w:firstLine="420"/>
        <w:rPr>
          <w:rFonts w:ascii="黑体" w:eastAsia="黑体" w:hAnsi="黑体" w:cs="黑体"/>
          <w:sz w:val="21"/>
          <w:szCs w:val="21"/>
        </w:rPr>
      </w:pPr>
      <w:r>
        <w:rPr>
          <w:rFonts w:ascii="黑体" w:eastAsia="黑体" w:hAnsi="黑体" w:cs="黑体" w:hint="eastAsia"/>
          <w:sz w:val="21"/>
          <w:szCs w:val="21"/>
        </w:rPr>
        <w:t>（四）</w:t>
      </w:r>
      <w:r w:rsidR="005733C9">
        <w:rPr>
          <w:rFonts w:ascii="黑体" w:eastAsia="黑体" w:hAnsi="黑体" w:cs="黑体" w:hint="eastAsia"/>
          <w:sz w:val="21"/>
          <w:szCs w:val="21"/>
        </w:rPr>
        <w:t>智能手机支持下的</w:t>
      </w:r>
      <w:r w:rsidR="005733C9" w:rsidRPr="005733C9">
        <w:rPr>
          <w:rFonts w:ascii="黑体" w:eastAsia="黑体" w:hAnsi="黑体" w:cs="黑体" w:hint="eastAsia"/>
          <w:sz w:val="21"/>
          <w:szCs w:val="21"/>
        </w:rPr>
        <w:t>基于</w:t>
      </w:r>
      <w:r w:rsidR="005733C9">
        <w:rPr>
          <w:rFonts w:ascii="黑体" w:eastAsia="黑体" w:hAnsi="黑体" w:cs="黑体" w:hint="eastAsia"/>
          <w:sz w:val="21"/>
          <w:szCs w:val="21"/>
        </w:rPr>
        <w:t>建模的学习</w:t>
      </w:r>
    </w:p>
    <w:p w14:paraId="3429D156" w14:textId="269D9D41" w:rsidR="005733C9" w:rsidRDefault="005733C9" w:rsidP="005733C9">
      <w:pPr>
        <w:ind w:firstLineChars="200" w:firstLine="440"/>
        <w:rPr>
          <w:rFonts w:ascii="宋体" w:hAnsi="宋体"/>
          <w:color w:val="000000"/>
        </w:rPr>
      </w:pPr>
      <w:r w:rsidRPr="005733C9">
        <w:rPr>
          <w:rFonts w:ascii="宋体" w:hAnsi="宋体" w:hint="eastAsia"/>
          <w:color w:val="000000"/>
        </w:rPr>
        <w:t>近年来，智能手机已经成为每个人身边不可或缺的移动设备，智能手机中集成了传感器、储存器、运行器、显示器等，可以作为可视化、交互式的数字化教学装备为学生的数据采集、探究实践等提供丰富支持。以智能手机作为实验工具（</w:t>
      </w:r>
      <w:r w:rsidRPr="005733C9">
        <w:rPr>
          <w:rFonts w:ascii="Times New Roman" w:hAnsi="Times New Roman"/>
          <w:color w:val="000000"/>
        </w:rPr>
        <w:t>Smartphones as experimental tools</w:t>
      </w:r>
      <w:r w:rsidRPr="005733C9">
        <w:rPr>
          <w:rFonts w:ascii="宋体" w:hAnsi="宋体" w:hint="eastAsia"/>
          <w:color w:val="000000"/>
        </w:rPr>
        <w:t>）的出现给物理教育提供了更多的可能性</w:t>
      </w:r>
      <w:r w:rsidRPr="005733C9">
        <w:rPr>
          <w:rFonts w:ascii="Times New Roman" w:hAnsi="Times New Roman"/>
          <w:color w:val="000000"/>
        </w:rPr>
        <w:t>(</w:t>
      </w:r>
      <w:r w:rsidRPr="005733C9">
        <w:rPr>
          <w:rFonts w:ascii="Times New Roman" w:hAnsi="Times New Roman"/>
          <w:kern w:val="2"/>
        </w:rPr>
        <w:t>HOCHBERG K, 2012</w:t>
      </w:r>
      <w:r w:rsidRPr="005733C9">
        <w:rPr>
          <w:rFonts w:ascii="Times New Roman" w:hAnsi="Times New Roman"/>
          <w:color w:val="000000"/>
        </w:rPr>
        <w:t>)</w:t>
      </w:r>
      <w:r>
        <w:rPr>
          <w:rFonts w:ascii="宋体" w:hAnsi="宋体" w:hint="eastAsia"/>
          <w:color w:val="000000"/>
        </w:rPr>
        <w:t>。</w:t>
      </w:r>
    </w:p>
    <w:p w14:paraId="02316F42" w14:textId="64456911" w:rsidR="005733C9" w:rsidRPr="005733C9" w:rsidRDefault="005733C9" w:rsidP="005733C9">
      <w:pPr>
        <w:ind w:firstLineChars="200" w:firstLine="440"/>
        <w:rPr>
          <w:rFonts w:ascii="Times New Roman" w:hAnsi="Times New Roman"/>
          <w:kern w:val="2"/>
          <w:sz w:val="18"/>
          <w:szCs w:val="18"/>
        </w:rPr>
      </w:pPr>
      <w:r>
        <w:rPr>
          <w:rFonts w:hint="eastAsia"/>
        </w:rPr>
        <w:t>由于智能手机可以将采集的数据直接绘制成图表，学生可以在使用智能手机开展科学实验的过程中将抽象的物理概念与具体的数学函数联系起来，提高科学建模能力</w:t>
      </w:r>
      <w:r w:rsidRPr="005733C9">
        <w:rPr>
          <w:rFonts w:ascii="Times New Roman" w:hAnsi="Times New Roman"/>
        </w:rPr>
        <w:t>(</w:t>
      </w:r>
      <w:r w:rsidRPr="005733C9">
        <w:rPr>
          <w:rFonts w:ascii="Times New Roman" w:hAnsi="Times New Roman"/>
          <w:kern w:val="2"/>
        </w:rPr>
        <w:t>WONG W, 2019; LIU C, 2017)</w:t>
      </w:r>
      <w:r>
        <w:rPr>
          <w:rFonts w:ascii="Times New Roman" w:hAnsi="Times New Roman" w:hint="eastAsia"/>
          <w:kern w:val="2"/>
        </w:rPr>
        <w:t>。</w:t>
      </w:r>
    </w:p>
    <w:p w14:paraId="1E4829C3" w14:textId="17D79F49" w:rsidR="00E23CA5" w:rsidRDefault="005733C9" w:rsidP="00E23CA5">
      <w:pPr>
        <w:ind w:firstLineChars="200" w:firstLine="482"/>
        <w:rPr>
          <w:rFonts w:ascii="宋体" w:hAnsi="宋体" w:cs="宋体"/>
          <w:b/>
          <w:sz w:val="24"/>
          <w:szCs w:val="24"/>
        </w:rPr>
      </w:pPr>
      <w:r>
        <w:rPr>
          <w:rFonts w:ascii="宋体" w:hAnsi="宋体" w:cs="宋体" w:hint="eastAsia"/>
          <w:b/>
          <w:sz w:val="24"/>
          <w:szCs w:val="24"/>
        </w:rPr>
        <w:t>三</w:t>
      </w:r>
      <w:r w:rsidR="00E23CA5">
        <w:rPr>
          <w:rFonts w:ascii="宋体" w:hAnsi="宋体" w:cs="宋体" w:hint="eastAsia"/>
          <w:b/>
          <w:sz w:val="24"/>
          <w:szCs w:val="24"/>
        </w:rPr>
        <w:t>、</w:t>
      </w:r>
      <w:r w:rsidR="00841F52">
        <w:rPr>
          <w:rFonts w:ascii="宋体" w:hAnsi="宋体" w:cs="宋体" w:hint="eastAsia"/>
          <w:b/>
          <w:sz w:val="24"/>
          <w:szCs w:val="24"/>
        </w:rPr>
        <w:t>研究设计</w:t>
      </w:r>
    </w:p>
    <w:p w14:paraId="29D86A4D" w14:textId="73B76087" w:rsidR="005733C9" w:rsidRDefault="005733C9" w:rsidP="005733C9">
      <w:pPr>
        <w:ind w:firstLineChars="200" w:firstLine="420"/>
        <w:rPr>
          <w:rFonts w:ascii="黑体" w:eastAsia="黑体" w:hAnsi="黑体" w:cs="黑体"/>
          <w:sz w:val="21"/>
          <w:szCs w:val="21"/>
        </w:rPr>
      </w:pPr>
      <w:r>
        <w:rPr>
          <w:rFonts w:ascii="黑体" w:eastAsia="黑体" w:hAnsi="黑体" w:cs="黑体" w:hint="eastAsia"/>
          <w:sz w:val="21"/>
          <w:szCs w:val="21"/>
        </w:rPr>
        <w:t>（一）参与者</w:t>
      </w:r>
    </w:p>
    <w:p w14:paraId="782B4266" w14:textId="21A8979A" w:rsidR="005733C9" w:rsidRPr="005733C9" w:rsidRDefault="005733C9" w:rsidP="005733C9">
      <w:pPr>
        <w:ind w:firstLineChars="200" w:firstLine="440"/>
        <w:rPr>
          <w:rFonts w:ascii="宋体" w:hAnsi="宋体"/>
          <w:color w:val="000000"/>
        </w:rPr>
      </w:pPr>
      <w:r w:rsidRPr="005733C9">
        <w:rPr>
          <w:rFonts w:ascii="宋体" w:hAnsi="宋体" w:hint="eastAsia"/>
          <w:color w:val="000000"/>
        </w:rPr>
        <w:t>北京三校R校、M校、B校的高一同学，各2</w:t>
      </w:r>
      <w:r w:rsidRPr="005733C9">
        <w:rPr>
          <w:rFonts w:ascii="宋体" w:hAnsi="宋体"/>
          <w:color w:val="000000"/>
        </w:rPr>
        <w:t>0</w:t>
      </w:r>
      <w:r w:rsidRPr="005733C9">
        <w:rPr>
          <w:rFonts w:ascii="宋体" w:hAnsi="宋体" w:hint="eastAsia"/>
          <w:color w:val="000000"/>
        </w:rPr>
        <w:t>名。本课程采用自主报名的方式，为三校的选修课程，课程时长为1</w:t>
      </w:r>
      <w:r w:rsidRPr="005733C9">
        <w:rPr>
          <w:rFonts w:ascii="宋体" w:hAnsi="宋体"/>
          <w:color w:val="000000"/>
        </w:rPr>
        <w:t>6</w:t>
      </w:r>
      <w:r w:rsidRPr="005733C9">
        <w:rPr>
          <w:rFonts w:ascii="宋体" w:hAnsi="宋体" w:hint="eastAsia"/>
          <w:color w:val="000000"/>
        </w:rPr>
        <w:t>周，每周2两个小时，分别在未来一年三校分别开展课程。</w:t>
      </w:r>
    </w:p>
    <w:p w14:paraId="465AAB97" w14:textId="4F0E5019" w:rsidR="005733C9" w:rsidRDefault="005733C9" w:rsidP="005733C9">
      <w:pPr>
        <w:ind w:firstLineChars="200" w:firstLine="420"/>
        <w:rPr>
          <w:rFonts w:ascii="黑体" w:eastAsia="黑体" w:hAnsi="黑体" w:cs="黑体"/>
          <w:sz w:val="21"/>
          <w:szCs w:val="21"/>
        </w:rPr>
      </w:pPr>
      <w:r>
        <w:rPr>
          <w:rFonts w:ascii="黑体" w:eastAsia="黑体" w:hAnsi="黑体" w:cs="黑体" w:hint="eastAsia"/>
          <w:sz w:val="21"/>
          <w:szCs w:val="21"/>
        </w:rPr>
        <w:lastRenderedPageBreak/>
        <w:t>（二）数据收集</w:t>
      </w:r>
    </w:p>
    <w:p w14:paraId="0FC80B03" w14:textId="29DFD2D1" w:rsidR="005733C9" w:rsidRDefault="005733C9" w:rsidP="005733C9">
      <w:pPr>
        <w:ind w:firstLineChars="200" w:firstLine="440"/>
        <w:rPr>
          <w:rFonts w:ascii="宋体" w:hAnsi="宋体"/>
          <w:color w:val="000000"/>
        </w:rPr>
      </w:pPr>
      <w:r>
        <w:rPr>
          <w:rFonts w:ascii="宋体" w:hAnsi="宋体" w:hint="eastAsia"/>
          <w:color w:val="000000"/>
        </w:rPr>
        <w:t>1</w:t>
      </w:r>
      <w:r>
        <w:rPr>
          <w:rFonts w:ascii="宋体" w:hAnsi="宋体"/>
          <w:color w:val="000000"/>
        </w:rPr>
        <w:t>.</w:t>
      </w:r>
      <w:r w:rsidRPr="005733C9">
        <w:rPr>
          <w:rFonts w:ascii="宋体" w:hAnsi="宋体" w:hint="eastAsia"/>
          <w:color w:val="000000"/>
        </w:rPr>
        <w:t>问卷</w:t>
      </w:r>
    </w:p>
    <w:p w14:paraId="6C0777F6" w14:textId="54553DC6" w:rsidR="005733C9" w:rsidRPr="005733C9" w:rsidRDefault="005733C9" w:rsidP="005733C9">
      <w:pPr>
        <w:ind w:firstLineChars="200" w:firstLine="440"/>
        <w:rPr>
          <w:rFonts w:ascii="宋体" w:hAnsi="宋体"/>
          <w:color w:val="000000"/>
        </w:rPr>
      </w:pPr>
      <w:r>
        <w:rPr>
          <w:rFonts w:ascii="宋体" w:hAnsi="宋体" w:hint="eastAsia"/>
          <w:color w:val="000000"/>
        </w:rPr>
        <w:t>2</w:t>
      </w:r>
      <w:r>
        <w:rPr>
          <w:rFonts w:ascii="宋体" w:hAnsi="宋体"/>
          <w:color w:val="000000"/>
        </w:rPr>
        <w:t>.</w:t>
      </w:r>
      <w:r w:rsidRPr="005733C9">
        <w:rPr>
          <w:rFonts w:ascii="宋体" w:hAnsi="宋体" w:hint="eastAsia"/>
          <w:color w:val="000000"/>
        </w:rPr>
        <w:t>视屏录像分析</w:t>
      </w:r>
    </w:p>
    <w:p w14:paraId="01524461" w14:textId="7092D5C5" w:rsidR="005733C9" w:rsidRPr="005733C9" w:rsidRDefault="005733C9" w:rsidP="005733C9">
      <w:pPr>
        <w:ind w:firstLineChars="200" w:firstLine="440"/>
        <w:rPr>
          <w:rFonts w:ascii="宋体" w:hAnsi="宋体"/>
          <w:color w:val="000000"/>
        </w:rPr>
      </w:pPr>
      <w:r>
        <w:rPr>
          <w:rFonts w:ascii="宋体" w:hAnsi="宋体" w:hint="eastAsia"/>
          <w:color w:val="000000"/>
        </w:rPr>
        <w:t>3</w:t>
      </w:r>
      <w:r>
        <w:rPr>
          <w:rFonts w:ascii="宋体" w:hAnsi="宋体"/>
          <w:color w:val="000000"/>
        </w:rPr>
        <w:t>.</w:t>
      </w:r>
      <w:r w:rsidRPr="005733C9">
        <w:rPr>
          <w:rFonts w:ascii="宋体" w:hAnsi="宋体" w:hint="eastAsia"/>
          <w:color w:val="000000"/>
        </w:rPr>
        <w:t>学生建模产品评估</w:t>
      </w:r>
    </w:p>
    <w:p w14:paraId="7323A612" w14:textId="7F57E023" w:rsidR="005733C9" w:rsidRPr="005733C9" w:rsidRDefault="005733C9" w:rsidP="005733C9">
      <w:pPr>
        <w:ind w:firstLineChars="200" w:firstLine="440"/>
        <w:rPr>
          <w:rFonts w:ascii="宋体" w:hAnsi="宋体"/>
          <w:color w:val="000000"/>
        </w:rPr>
      </w:pPr>
      <w:r>
        <w:rPr>
          <w:rFonts w:ascii="宋体" w:hAnsi="宋体" w:hint="eastAsia"/>
          <w:color w:val="000000"/>
        </w:rPr>
        <w:t>4</w:t>
      </w:r>
      <w:r>
        <w:rPr>
          <w:rFonts w:ascii="宋体" w:hAnsi="宋体"/>
          <w:color w:val="000000"/>
        </w:rPr>
        <w:t>.</w:t>
      </w:r>
      <w:r w:rsidRPr="005733C9">
        <w:rPr>
          <w:rFonts w:ascii="宋体" w:hAnsi="宋体" w:hint="eastAsia"/>
          <w:color w:val="000000"/>
        </w:rPr>
        <w:t>半结构化访谈</w:t>
      </w:r>
    </w:p>
    <w:p w14:paraId="7EC7232D" w14:textId="6AFB7069" w:rsidR="005733C9" w:rsidRDefault="005733C9" w:rsidP="005733C9">
      <w:pPr>
        <w:ind w:firstLineChars="200" w:firstLine="420"/>
        <w:rPr>
          <w:rFonts w:ascii="黑体" w:eastAsia="黑体" w:hAnsi="黑体" w:cs="黑体"/>
          <w:sz w:val="21"/>
          <w:szCs w:val="21"/>
        </w:rPr>
      </w:pPr>
      <w:r>
        <w:rPr>
          <w:rFonts w:ascii="黑体" w:eastAsia="黑体" w:hAnsi="黑体" w:cs="黑体" w:hint="eastAsia"/>
          <w:sz w:val="21"/>
          <w:szCs w:val="21"/>
        </w:rPr>
        <w:t>（三）第一轮实验</w:t>
      </w:r>
    </w:p>
    <w:p w14:paraId="2690C9E9" w14:textId="5220FEF8" w:rsidR="005733C9" w:rsidRDefault="005733C9" w:rsidP="005733C9">
      <w:pPr>
        <w:ind w:firstLineChars="200" w:firstLine="440"/>
        <w:rPr>
          <w:rFonts w:ascii="宋体" w:hAnsi="宋体"/>
          <w:color w:val="000000"/>
        </w:rPr>
      </w:pPr>
      <w:r w:rsidRPr="005733C9">
        <w:rPr>
          <w:rFonts w:ascii="宋体" w:hAnsi="宋体" w:hint="eastAsia"/>
          <w:color w:val="000000"/>
        </w:rPr>
        <w:t>第一轮实验采用准实验研究方法</w:t>
      </w:r>
      <w:r>
        <w:rPr>
          <w:rFonts w:ascii="宋体" w:hAnsi="宋体" w:hint="eastAsia"/>
          <w:color w:val="000000"/>
        </w:rPr>
        <w:t>，实验组R校采用</w:t>
      </w:r>
      <w:r w:rsidRPr="005733C9">
        <w:rPr>
          <w:rFonts w:ascii="宋体" w:hAnsi="宋体" w:hint="eastAsia"/>
          <w:color w:val="000000"/>
        </w:rPr>
        <w:t>智能手机支持的基于建模的探究性学习</w:t>
      </w:r>
      <w:r>
        <w:rPr>
          <w:rFonts w:ascii="宋体" w:hAnsi="宋体" w:hint="eastAsia"/>
          <w:color w:val="000000"/>
        </w:rPr>
        <w:t>，对照组M校采用计算机</w:t>
      </w:r>
      <w:r w:rsidRPr="005733C9">
        <w:rPr>
          <w:rFonts w:ascii="宋体" w:hAnsi="宋体" w:hint="eastAsia"/>
          <w:color w:val="000000"/>
        </w:rPr>
        <w:t>支持的基于建模的探究性学习</w:t>
      </w:r>
      <w:r>
        <w:rPr>
          <w:rFonts w:ascii="宋体" w:hAnsi="宋体" w:hint="eastAsia"/>
          <w:color w:val="000000"/>
        </w:rPr>
        <w:t>。实验前后分别测试学生的科学建模能力、相关科学知识、相关人格特质如：科学兴趣、成绩等。并在结束后采取访谈等方式对学生进行过程回忆。</w:t>
      </w:r>
    </w:p>
    <w:p w14:paraId="2FFFAC80" w14:textId="073F4769" w:rsidR="005733C9" w:rsidRDefault="005733C9" w:rsidP="005733C9">
      <w:pPr>
        <w:ind w:firstLineChars="200" w:firstLine="440"/>
        <w:rPr>
          <w:rFonts w:ascii="宋体" w:hAnsi="宋体"/>
          <w:color w:val="000000"/>
        </w:rPr>
      </w:pPr>
      <w:r>
        <w:rPr>
          <w:rFonts w:ascii="宋体" w:hAnsi="宋体" w:hint="eastAsia"/>
          <w:color w:val="000000"/>
        </w:rPr>
        <w:t>第一轮实验试图回答第一与第二两个研究问题，探究</w:t>
      </w:r>
      <w:r w:rsidRPr="005733C9">
        <w:rPr>
          <w:rFonts w:ascii="宋体" w:hAnsi="宋体" w:cs="宋体" w:hint="eastAsia"/>
          <w:sz w:val="21"/>
          <w:szCs w:val="21"/>
        </w:rPr>
        <w:t>智能手机支持的基于建模的探究性学习是否能够促进学习者的科学建模能力</w:t>
      </w:r>
      <w:r>
        <w:rPr>
          <w:rFonts w:ascii="宋体" w:hAnsi="宋体" w:cs="宋体" w:hint="eastAsia"/>
          <w:sz w:val="21"/>
          <w:szCs w:val="21"/>
        </w:rPr>
        <w:t>？</w:t>
      </w:r>
      <w:r>
        <w:rPr>
          <w:rFonts w:ascii="宋体" w:hAnsi="宋体" w:hint="eastAsia"/>
          <w:color w:val="000000"/>
        </w:rPr>
        <w:t>尝试将不同人格特质的同学与试验结果进行匹配。</w:t>
      </w:r>
    </w:p>
    <w:p w14:paraId="2BE79208" w14:textId="5C43E404" w:rsidR="005733C9" w:rsidRDefault="005733C9" w:rsidP="005733C9">
      <w:pPr>
        <w:ind w:firstLineChars="200" w:firstLine="420"/>
        <w:rPr>
          <w:rFonts w:ascii="黑体" w:eastAsia="黑体" w:hAnsi="黑体" w:cs="黑体"/>
          <w:sz w:val="21"/>
          <w:szCs w:val="21"/>
        </w:rPr>
      </w:pPr>
      <w:r>
        <w:rPr>
          <w:rFonts w:ascii="黑体" w:eastAsia="黑体" w:hAnsi="黑体" w:cs="黑体" w:hint="eastAsia"/>
          <w:sz w:val="21"/>
          <w:szCs w:val="21"/>
        </w:rPr>
        <w:t>（四）第二轮实验</w:t>
      </w:r>
    </w:p>
    <w:p w14:paraId="7D112A7D" w14:textId="5985E960" w:rsidR="005733C9" w:rsidRDefault="005733C9" w:rsidP="005733C9">
      <w:pPr>
        <w:ind w:firstLineChars="200" w:firstLine="440"/>
        <w:rPr>
          <w:rFonts w:ascii="宋体" w:hAnsi="宋体"/>
          <w:color w:val="000000"/>
        </w:rPr>
      </w:pPr>
      <w:r>
        <w:rPr>
          <w:rFonts w:ascii="宋体" w:hAnsi="宋体" w:hint="eastAsia"/>
          <w:color w:val="000000"/>
        </w:rPr>
        <w:t>第二轮实验将根据第一轮实验结果，通过对不同人格特质学习者采取不同的脚手架方式进行验证，同样在实验前后分别测试学生的科学建模能力、相关科学知识、相关人格特质。并在结束后采取访谈等方式对学生进行过程回忆。</w:t>
      </w:r>
    </w:p>
    <w:p w14:paraId="0156E697" w14:textId="44740B1C" w:rsidR="005733C9" w:rsidRDefault="005733C9" w:rsidP="005733C9">
      <w:pPr>
        <w:ind w:firstLineChars="200" w:firstLine="440"/>
        <w:rPr>
          <w:rFonts w:ascii="宋体" w:hAnsi="宋体"/>
          <w:color w:val="000000"/>
        </w:rPr>
      </w:pPr>
      <w:r>
        <w:rPr>
          <w:rFonts w:ascii="宋体" w:hAnsi="宋体" w:hint="eastAsia"/>
          <w:color w:val="000000"/>
        </w:rPr>
        <w:t>第二轮实验试图回答第三个研究问题，探究使用不同脚手架对不同人格特质学生的科学建模能力进行验证。</w:t>
      </w:r>
    </w:p>
    <w:p w14:paraId="32DB143A" w14:textId="77777777" w:rsidR="005733C9" w:rsidRPr="005733C9" w:rsidRDefault="005733C9" w:rsidP="005733C9">
      <w:pPr>
        <w:ind w:firstLineChars="200" w:firstLine="440"/>
        <w:rPr>
          <w:rFonts w:ascii="宋体" w:hAnsi="宋体"/>
          <w:color w:val="000000"/>
        </w:rPr>
      </w:pPr>
    </w:p>
    <w:p w14:paraId="3D799405" w14:textId="7DA1B6E3" w:rsidR="005733C9" w:rsidRDefault="005733C9" w:rsidP="005733C9">
      <w:pPr>
        <w:ind w:firstLineChars="200" w:firstLine="482"/>
        <w:rPr>
          <w:rFonts w:ascii="宋体" w:hAnsi="宋体" w:cs="宋体"/>
          <w:b/>
          <w:sz w:val="24"/>
          <w:szCs w:val="24"/>
        </w:rPr>
      </w:pPr>
      <w:r>
        <w:rPr>
          <w:rFonts w:ascii="宋体" w:hAnsi="宋体" w:cs="宋体" w:hint="eastAsia"/>
          <w:b/>
          <w:sz w:val="24"/>
          <w:szCs w:val="24"/>
        </w:rPr>
        <w:t>四、数据分析</w:t>
      </w:r>
    </w:p>
    <w:p w14:paraId="3FF2109C" w14:textId="77777777" w:rsidR="005733C9" w:rsidRDefault="005733C9" w:rsidP="005733C9">
      <w:pPr>
        <w:ind w:firstLineChars="200" w:firstLine="482"/>
        <w:rPr>
          <w:rFonts w:ascii="宋体" w:hAnsi="宋体" w:cs="宋体"/>
          <w:b/>
          <w:sz w:val="24"/>
          <w:szCs w:val="24"/>
        </w:rPr>
      </w:pPr>
    </w:p>
    <w:p w14:paraId="3868A922" w14:textId="130E5CCB" w:rsidR="005733C9" w:rsidRDefault="005733C9" w:rsidP="005733C9">
      <w:pPr>
        <w:ind w:firstLineChars="200" w:firstLine="482"/>
        <w:rPr>
          <w:rFonts w:ascii="宋体" w:hAnsi="宋体" w:cs="宋体"/>
          <w:b/>
          <w:sz w:val="24"/>
          <w:szCs w:val="24"/>
        </w:rPr>
      </w:pPr>
      <w:r>
        <w:rPr>
          <w:rFonts w:ascii="宋体" w:hAnsi="宋体" w:cs="宋体" w:hint="eastAsia"/>
          <w:b/>
          <w:sz w:val="24"/>
          <w:szCs w:val="24"/>
        </w:rPr>
        <w:t>五、讨论</w:t>
      </w:r>
    </w:p>
    <w:p w14:paraId="290A80A9" w14:textId="77777777" w:rsidR="005733C9" w:rsidRPr="005733C9" w:rsidRDefault="005733C9" w:rsidP="005733C9">
      <w:pPr>
        <w:ind w:firstLineChars="200" w:firstLine="482"/>
        <w:rPr>
          <w:rFonts w:ascii="宋体" w:hAnsi="宋体" w:cs="宋体"/>
          <w:b/>
          <w:sz w:val="24"/>
          <w:szCs w:val="24"/>
        </w:rPr>
      </w:pPr>
    </w:p>
    <w:p w14:paraId="0F97EF56" w14:textId="51006EAD" w:rsidR="00380CC4" w:rsidRDefault="00380CC4" w:rsidP="00380CC4">
      <w:pPr>
        <w:spacing w:after="0"/>
        <w:rPr>
          <w:rFonts w:ascii="宋体" w:hAnsi="宋体" w:cs="宋体"/>
          <w:b/>
          <w:color w:val="000000" w:themeColor="text1"/>
          <w:sz w:val="18"/>
          <w:szCs w:val="18"/>
        </w:rPr>
      </w:pPr>
      <w:r w:rsidRPr="005733C9">
        <w:rPr>
          <w:rFonts w:ascii="宋体" w:hAnsi="宋体" w:cs="宋体" w:hint="eastAsia"/>
          <w:b/>
          <w:color w:val="000000" w:themeColor="text1"/>
          <w:sz w:val="18"/>
          <w:szCs w:val="18"/>
        </w:rPr>
        <w:t xml:space="preserve">[参考文献] </w:t>
      </w:r>
    </w:p>
    <w:p w14:paraId="7AC9C496" w14:textId="55672017" w:rsidR="005733C9" w:rsidRDefault="005733C9" w:rsidP="005733C9">
      <w:pPr>
        <w:spacing w:after="0"/>
        <w:ind w:left="360" w:hangingChars="200" w:hanging="360"/>
        <w:rPr>
          <w:rFonts w:ascii="宋体" w:hAnsi="宋体" w:cs="宋体"/>
          <w:color w:val="000000" w:themeColor="text1"/>
          <w:sz w:val="18"/>
          <w:szCs w:val="18"/>
        </w:rPr>
      </w:pPr>
      <w:proofErr w:type="spellStart"/>
      <w:r w:rsidRPr="005733C9">
        <w:rPr>
          <w:rFonts w:ascii="宋体" w:hAnsi="宋体" w:cs="宋体"/>
          <w:color w:val="000000" w:themeColor="text1"/>
          <w:sz w:val="18"/>
          <w:szCs w:val="18"/>
        </w:rPr>
        <w:t>Ainsa</w:t>
      </w:r>
      <w:proofErr w:type="spellEnd"/>
      <w:r w:rsidRPr="005733C9">
        <w:rPr>
          <w:rFonts w:ascii="宋体" w:hAnsi="宋体" w:cs="宋体"/>
          <w:color w:val="000000" w:themeColor="text1"/>
          <w:sz w:val="18"/>
          <w:szCs w:val="18"/>
        </w:rPr>
        <w:t>, T. (2013). Early childhood pre-service teachers’ response to mobile technology: creative projects, analysis, and reflection on learning experiences. Education, 134(2), 161–166.</w:t>
      </w:r>
    </w:p>
    <w:p w14:paraId="704700DF" w14:textId="16A9DAA9"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Banister, S. (2010). Integrating the iPod Touch in K–12 education: visions and vices. Computers in the Schools, 27(2), 121–131.</w:t>
      </w:r>
    </w:p>
    <w:p w14:paraId="18A2BA97" w14:textId="0D364037"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 xml:space="preserve">Crompton, H., Burke, D., Gregory, K. H., &amp; </w:t>
      </w:r>
      <w:proofErr w:type="spellStart"/>
      <w:r w:rsidRPr="005733C9">
        <w:rPr>
          <w:rFonts w:ascii="宋体" w:hAnsi="宋体" w:cs="宋体"/>
          <w:color w:val="000000" w:themeColor="text1"/>
          <w:sz w:val="18"/>
          <w:szCs w:val="18"/>
        </w:rPr>
        <w:t>Gräbe</w:t>
      </w:r>
      <w:proofErr w:type="spellEnd"/>
      <w:r w:rsidRPr="005733C9">
        <w:rPr>
          <w:rFonts w:ascii="宋体" w:hAnsi="宋体" w:cs="宋体"/>
          <w:color w:val="000000" w:themeColor="text1"/>
          <w:sz w:val="18"/>
          <w:szCs w:val="18"/>
        </w:rPr>
        <w:t>, C. (2016). The use of mobile learning in science: a systematic review. Journal of Science Education and Technology, 25(2), 1–12.</w:t>
      </w:r>
    </w:p>
    <w:p w14:paraId="754A4802" w14:textId="39FC0AD4"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Chen, G.-D., Chang, C.-K., &amp; Wang, C.-Y. (2008). Ubiquitous learning website: scaffold learners by mobile devices with information-aware techniques. Computers in Education, 50(1), 77–90.</w:t>
      </w:r>
    </w:p>
    <w:p w14:paraId="15382F79" w14:textId="0CA1778D"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 xml:space="preserve">Chou, C. C., Block, L., &amp; </w:t>
      </w:r>
      <w:proofErr w:type="spellStart"/>
      <w:r w:rsidRPr="005733C9">
        <w:rPr>
          <w:rFonts w:ascii="宋体" w:hAnsi="宋体" w:cs="宋体"/>
          <w:color w:val="000000" w:themeColor="text1"/>
          <w:sz w:val="18"/>
          <w:szCs w:val="18"/>
        </w:rPr>
        <w:t>Jesness</w:t>
      </w:r>
      <w:proofErr w:type="spellEnd"/>
      <w:r w:rsidRPr="005733C9">
        <w:rPr>
          <w:rFonts w:ascii="宋体" w:hAnsi="宋体" w:cs="宋体"/>
          <w:color w:val="000000" w:themeColor="text1"/>
          <w:sz w:val="18"/>
          <w:szCs w:val="18"/>
        </w:rPr>
        <w:t>, R. (2012). A case study of mobile learning pilot project in K-12 schools. Journal of Educational Technology Development and Exchange, 5(2), 11–26.</w:t>
      </w:r>
    </w:p>
    <w:p w14:paraId="297408F5" w14:textId="7D6A2FD8" w:rsidR="005733C9" w:rsidRDefault="005733C9" w:rsidP="005733C9">
      <w:pPr>
        <w:spacing w:after="0"/>
        <w:ind w:left="360" w:hangingChars="200" w:hanging="360"/>
        <w:rPr>
          <w:rFonts w:ascii="宋体" w:hAnsi="宋体" w:cs="宋体"/>
          <w:color w:val="000000" w:themeColor="text1"/>
          <w:sz w:val="18"/>
          <w:szCs w:val="18"/>
        </w:rPr>
      </w:pPr>
      <w:proofErr w:type="spellStart"/>
      <w:r w:rsidRPr="005733C9">
        <w:rPr>
          <w:rFonts w:ascii="宋体" w:hAnsi="宋体" w:cs="宋体" w:hint="eastAsia"/>
          <w:color w:val="000000" w:themeColor="text1"/>
          <w:sz w:val="18"/>
          <w:szCs w:val="18"/>
        </w:rPr>
        <w:lastRenderedPageBreak/>
        <w:t>Dickes</w:t>
      </w:r>
      <w:proofErr w:type="spellEnd"/>
      <w:r w:rsidRPr="005733C9">
        <w:rPr>
          <w:rFonts w:ascii="宋体" w:hAnsi="宋体" w:cs="宋体" w:hint="eastAsia"/>
          <w:color w:val="000000" w:themeColor="text1"/>
          <w:sz w:val="18"/>
          <w:szCs w:val="18"/>
        </w:rPr>
        <w:t xml:space="preserve">, A. C., </w:t>
      </w:r>
      <w:proofErr w:type="spellStart"/>
      <w:r w:rsidRPr="005733C9">
        <w:rPr>
          <w:rFonts w:ascii="宋体" w:hAnsi="宋体" w:cs="宋体" w:hint="eastAsia"/>
          <w:color w:val="000000" w:themeColor="text1"/>
          <w:sz w:val="18"/>
          <w:szCs w:val="18"/>
        </w:rPr>
        <w:t>Kamarainen</w:t>
      </w:r>
      <w:proofErr w:type="spellEnd"/>
      <w:r w:rsidRPr="005733C9">
        <w:rPr>
          <w:rFonts w:ascii="宋体" w:hAnsi="宋体" w:cs="宋体" w:hint="eastAsia"/>
          <w:color w:val="000000" w:themeColor="text1"/>
          <w:sz w:val="18"/>
          <w:szCs w:val="18"/>
        </w:rPr>
        <w:t>, A., Metcalf, S. J., Gün‐</w:t>
      </w:r>
      <w:proofErr w:type="spellStart"/>
      <w:r w:rsidRPr="005733C9">
        <w:rPr>
          <w:rFonts w:ascii="宋体" w:hAnsi="宋体" w:cs="宋体" w:hint="eastAsia"/>
          <w:color w:val="000000" w:themeColor="text1"/>
          <w:sz w:val="18"/>
          <w:szCs w:val="18"/>
        </w:rPr>
        <w:t>Yildiz</w:t>
      </w:r>
      <w:proofErr w:type="spellEnd"/>
      <w:r w:rsidRPr="005733C9">
        <w:rPr>
          <w:rFonts w:ascii="宋体" w:hAnsi="宋体" w:cs="宋体" w:hint="eastAsia"/>
          <w:color w:val="000000" w:themeColor="text1"/>
          <w:sz w:val="18"/>
          <w:szCs w:val="18"/>
        </w:rPr>
        <w:t xml:space="preserve">, S., Brennan, K., </w:t>
      </w:r>
      <w:proofErr w:type="spellStart"/>
      <w:r w:rsidRPr="005733C9">
        <w:rPr>
          <w:rFonts w:ascii="宋体" w:hAnsi="宋体" w:cs="宋体" w:hint="eastAsia"/>
          <w:color w:val="000000" w:themeColor="text1"/>
          <w:sz w:val="18"/>
          <w:szCs w:val="18"/>
        </w:rPr>
        <w:t>Grotzer</w:t>
      </w:r>
      <w:proofErr w:type="spellEnd"/>
      <w:r w:rsidRPr="005733C9">
        <w:rPr>
          <w:rFonts w:ascii="宋体" w:hAnsi="宋体" w:cs="宋体" w:hint="eastAsia"/>
          <w:color w:val="000000" w:themeColor="text1"/>
          <w:sz w:val="18"/>
          <w:szCs w:val="18"/>
        </w:rPr>
        <w:t>, T., &amp; Dede, C. (2019). Scaffolding ecosystems science practice by blending immersive environments and computational modeling. British Journal of Educational Technology.</w:t>
      </w:r>
    </w:p>
    <w:p w14:paraId="472B5F24" w14:textId="66FCD4D5" w:rsidR="005733C9" w:rsidRDefault="005733C9" w:rsidP="005733C9">
      <w:pPr>
        <w:spacing w:after="0"/>
        <w:ind w:left="360" w:hangingChars="200" w:hanging="360"/>
        <w:rPr>
          <w:rFonts w:ascii="宋体" w:hAnsi="宋体" w:cs="宋体"/>
          <w:color w:val="000000" w:themeColor="text1"/>
          <w:sz w:val="18"/>
          <w:szCs w:val="18"/>
        </w:rPr>
      </w:pPr>
      <w:proofErr w:type="spellStart"/>
      <w:r w:rsidRPr="005733C9">
        <w:rPr>
          <w:rFonts w:ascii="宋体" w:hAnsi="宋体" w:cs="宋体"/>
          <w:color w:val="000000" w:themeColor="text1"/>
          <w:sz w:val="18"/>
          <w:szCs w:val="18"/>
        </w:rPr>
        <w:t>Falloon</w:t>
      </w:r>
      <w:proofErr w:type="spellEnd"/>
      <w:r w:rsidRPr="005733C9">
        <w:rPr>
          <w:rFonts w:ascii="宋体" w:hAnsi="宋体" w:cs="宋体"/>
          <w:color w:val="000000" w:themeColor="text1"/>
          <w:sz w:val="18"/>
          <w:szCs w:val="18"/>
        </w:rPr>
        <w:t>, G. (2017). Mobile devices and apps as scaffolds to science learning in the primary classroom. Journal of Science Education and Technology, 26(6), 613–628.</w:t>
      </w:r>
    </w:p>
    <w:p w14:paraId="0C7DEF36" w14:textId="5B20C07F"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Gobert, J. D., Sao Pedro, M. A., Baker, R. S., Toto, E., &amp; Montalvo, O. (2012). Leveraging educational data mining for real-time performance assessment of scientific inquiry skills within microworlds. Journal of Educational Data Mining, 4(1), 104–143.</w:t>
      </w:r>
    </w:p>
    <w:p w14:paraId="14CDD6B1" w14:textId="1285A580"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Hochberg, K., Becker, S., Louis, M., Klein, P., &amp; Kuhn, J. (2020). Using smartphones as experimental tools—a follow-up: cognitive effects by video analysis and reduction of cognitive load by multiple representations. Journal of Science Education and Technology,1-15.</w:t>
      </w:r>
    </w:p>
    <w:p w14:paraId="2C2ADF6A" w14:textId="0F0FEB33"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Hudson, D. (1993). Re-thinking old ways: Towards a more critical approach to practical work in school science. Studies in Science Education, 22(1), 85–142.</w:t>
      </w:r>
    </w:p>
    <w:p w14:paraId="70BEC550" w14:textId="23A1382C"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HOCHBERG K, BECKER S, LOUIS M, et al. Using Smartphones as Experimental Tools—a Follow-up: Cognitive Effects by Video Analysis and Reduction of Cognitive Load by Multiple Representations[J]. Journal of Science Education and Technology, 2020,29(2): 303-317.</w:t>
      </w:r>
    </w:p>
    <w:p w14:paraId="76A0405F" w14:textId="7E3E4C87" w:rsidR="005733C9" w:rsidRDefault="005733C9" w:rsidP="005733C9">
      <w:pPr>
        <w:spacing w:after="0"/>
        <w:ind w:left="360" w:hangingChars="200" w:hanging="360"/>
        <w:rPr>
          <w:rFonts w:ascii="宋体" w:hAnsi="宋体" w:cs="宋体"/>
          <w:color w:val="000000" w:themeColor="text1"/>
          <w:sz w:val="18"/>
          <w:szCs w:val="18"/>
        </w:rPr>
      </w:pPr>
      <w:proofErr w:type="spellStart"/>
      <w:r w:rsidRPr="005733C9">
        <w:rPr>
          <w:rFonts w:ascii="宋体" w:hAnsi="宋体" w:cs="宋体"/>
          <w:color w:val="000000" w:themeColor="text1"/>
          <w:sz w:val="18"/>
          <w:szCs w:val="18"/>
        </w:rPr>
        <w:t>Keshwani</w:t>
      </w:r>
      <w:proofErr w:type="spellEnd"/>
      <w:r w:rsidRPr="005733C9">
        <w:rPr>
          <w:rFonts w:ascii="宋体" w:hAnsi="宋体" w:cs="宋体"/>
          <w:color w:val="000000" w:themeColor="text1"/>
          <w:sz w:val="18"/>
          <w:szCs w:val="18"/>
        </w:rPr>
        <w:t xml:space="preserve">, D. R., Anderson, M. R. D., </w:t>
      </w:r>
      <w:proofErr w:type="spellStart"/>
      <w:r w:rsidRPr="005733C9">
        <w:rPr>
          <w:rFonts w:ascii="宋体" w:hAnsi="宋体" w:cs="宋体"/>
          <w:color w:val="000000" w:themeColor="text1"/>
          <w:sz w:val="18"/>
          <w:szCs w:val="18"/>
        </w:rPr>
        <w:t>Keshwani</w:t>
      </w:r>
      <w:proofErr w:type="spellEnd"/>
      <w:r w:rsidRPr="005733C9">
        <w:rPr>
          <w:rFonts w:ascii="宋体" w:hAnsi="宋体" w:cs="宋体"/>
          <w:color w:val="000000" w:themeColor="text1"/>
          <w:sz w:val="18"/>
          <w:szCs w:val="18"/>
        </w:rPr>
        <w:t>, J., Subbiah, J., Guru, A., &amp; Rice, N. (2017). Educational immersive simulation game design to enhance understanding of corn-Water-ethanol-beef system nexus. Paper presented at the ASEE Annual Conference &amp; Exposition Proceedings. ASEE Conferences. https://doi.org/10. 18260/1-2-28198</w:t>
      </w:r>
    </w:p>
    <w:p w14:paraId="4DAEEE52" w14:textId="3492BF18" w:rsidR="005733C9" w:rsidRDefault="005733C9" w:rsidP="005733C9">
      <w:pPr>
        <w:spacing w:after="0"/>
        <w:ind w:left="360" w:hangingChars="200" w:hanging="360"/>
        <w:rPr>
          <w:rFonts w:ascii="宋体" w:hAnsi="宋体" w:cs="宋体"/>
          <w:color w:val="000000" w:themeColor="text1"/>
          <w:sz w:val="18"/>
          <w:szCs w:val="18"/>
        </w:rPr>
      </w:pPr>
      <w:proofErr w:type="spellStart"/>
      <w:r w:rsidRPr="005733C9">
        <w:rPr>
          <w:rFonts w:ascii="宋体" w:hAnsi="宋体" w:cs="宋体"/>
          <w:color w:val="000000" w:themeColor="text1"/>
          <w:sz w:val="18"/>
          <w:szCs w:val="18"/>
        </w:rPr>
        <w:t>Looi</w:t>
      </w:r>
      <w:proofErr w:type="spellEnd"/>
      <w:r w:rsidRPr="005733C9">
        <w:rPr>
          <w:rFonts w:ascii="宋体" w:hAnsi="宋体" w:cs="宋体"/>
          <w:color w:val="000000" w:themeColor="text1"/>
          <w:sz w:val="18"/>
          <w:szCs w:val="18"/>
        </w:rPr>
        <w:t xml:space="preserve">, C. K., Zhang, B., Chen, W., </w:t>
      </w:r>
      <w:proofErr w:type="spellStart"/>
      <w:r w:rsidRPr="005733C9">
        <w:rPr>
          <w:rFonts w:ascii="宋体" w:hAnsi="宋体" w:cs="宋体"/>
          <w:color w:val="000000" w:themeColor="text1"/>
          <w:sz w:val="18"/>
          <w:szCs w:val="18"/>
        </w:rPr>
        <w:t>Seow</w:t>
      </w:r>
      <w:proofErr w:type="spellEnd"/>
      <w:r w:rsidRPr="005733C9">
        <w:rPr>
          <w:rFonts w:ascii="宋体" w:hAnsi="宋体" w:cs="宋体"/>
          <w:color w:val="000000" w:themeColor="text1"/>
          <w:sz w:val="18"/>
          <w:szCs w:val="18"/>
        </w:rPr>
        <w:t>, P., Chia, G., Norris, C., &amp; Soloway, E. (2011). 1:1 mobile inquiry learning experience for primary science students: a study of learning effectiveness. Journal of Computer Assisted Learning, 27(3), 269–287.</w:t>
      </w:r>
    </w:p>
    <w:p w14:paraId="7CB9D016" w14:textId="0BCF372E"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LIU C, WU C, WONG W, et al. Scientific modeling with mobile devices in high school physics labs[J]. Computers &amp; Education, 2017,105: 44-56.</w:t>
      </w:r>
    </w:p>
    <w:p w14:paraId="34527EA5" w14:textId="5A063A04"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 xml:space="preserve">Mulder, Y. G., </w:t>
      </w:r>
      <w:proofErr w:type="spellStart"/>
      <w:r w:rsidRPr="005733C9">
        <w:rPr>
          <w:rFonts w:ascii="宋体" w:hAnsi="宋体" w:cs="宋体"/>
          <w:color w:val="000000" w:themeColor="text1"/>
          <w:sz w:val="18"/>
          <w:szCs w:val="18"/>
        </w:rPr>
        <w:t>Bollen</w:t>
      </w:r>
      <w:proofErr w:type="spellEnd"/>
      <w:r w:rsidRPr="005733C9">
        <w:rPr>
          <w:rFonts w:ascii="宋体" w:hAnsi="宋体" w:cs="宋体"/>
          <w:color w:val="000000" w:themeColor="text1"/>
          <w:sz w:val="18"/>
          <w:szCs w:val="18"/>
        </w:rPr>
        <w:t xml:space="preserve">, L., de Jong, T., &amp; </w:t>
      </w:r>
      <w:proofErr w:type="spellStart"/>
      <w:r w:rsidRPr="005733C9">
        <w:rPr>
          <w:rFonts w:ascii="宋体" w:hAnsi="宋体" w:cs="宋体"/>
          <w:color w:val="000000" w:themeColor="text1"/>
          <w:sz w:val="18"/>
          <w:szCs w:val="18"/>
        </w:rPr>
        <w:t>Lazonder</w:t>
      </w:r>
      <w:proofErr w:type="spellEnd"/>
      <w:r w:rsidRPr="005733C9">
        <w:rPr>
          <w:rFonts w:ascii="宋体" w:hAnsi="宋体" w:cs="宋体"/>
          <w:color w:val="000000" w:themeColor="text1"/>
          <w:sz w:val="18"/>
          <w:szCs w:val="18"/>
        </w:rPr>
        <w:t>, A. W. (2016). Scaffolding learning by modelling: The effects of partially worked-out models. Journal of Research in Science Teaching, 53(3), 502–523</w:t>
      </w:r>
    </w:p>
    <w:p w14:paraId="3BEC981A" w14:textId="669210F5"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 xml:space="preserve">Mulder, Y. G., </w:t>
      </w:r>
      <w:proofErr w:type="spellStart"/>
      <w:r w:rsidRPr="005733C9">
        <w:rPr>
          <w:rFonts w:ascii="宋体" w:hAnsi="宋体" w:cs="宋体"/>
          <w:color w:val="000000" w:themeColor="text1"/>
          <w:sz w:val="18"/>
          <w:szCs w:val="18"/>
        </w:rPr>
        <w:t>Lazonder</w:t>
      </w:r>
      <w:proofErr w:type="spellEnd"/>
      <w:r w:rsidRPr="005733C9">
        <w:rPr>
          <w:rFonts w:ascii="宋体" w:hAnsi="宋体" w:cs="宋体"/>
          <w:color w:val="000000" w:themeColor="text1"/>
          <w:sz w:val="18"/>
          <w:szCs w:val="18"/>
        </w:rPr>
        <w:t>, A. W., &amp; de Jong, T. (2011). Comparing two types of model progression in an inquiry learning environment with modelling facilities. Learning and Instruction, 21(5), 614–624.</w:t>
      </w:r>
    </w:p>
    <w:p w14:paraId="6904C783" w14:textId="0CB927D2"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National Research Council (2012). A framework for k-12 science education: Practices, crosscutting concepts, and core ideas. Committee on a conceptual framework for new k-12 science education standards. Board on science education, division of behavioral and social sciences and education. Washington, DC: The National Academies Press.</w:t>
      </w:r>
    </w:p>
    <w:p w14:paraId="36396D05" w14:textId="4226DD4E"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Nicolaou, C. T., &amp; Constantinou, C. P. (2014). Assessment of the modeling competence: A systematic review and synthesis of empirical research. Educational Research Review, 13, 52–73.</w:t>
      </w:r>
    </w:p>
    <w:p w14:paraId="6804D7AB" w14:textId="133A4FA6"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Oh, P. S., &amp; Oh, S. J. (2011). What teachers of science need to know about models: An overview. International Journal of Science Education, 33(8), 1109–1130.</w:t>
      </w:r>
    </w:p>
    <w:p w14:paraId="53D6CB9A" w14:textId="031FF09C"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 xml:space="preserve">Penner, D. E., Giles, N. D., Lehrer, R., &amp; </w:t>
      </w:r>
      <w:proofErr w:type="spellStart"/>
      <w:r w:rsidRPr="005733C9">
        <w:rPr>
          <w:rFonts w:ascii="宋体" w:hAnsi="宋体" w:cs="宋体"/>
          <w:color w:val="000000" w:themeColor="text1"/>
          <w:sz w:val="18"/>
          <w:szCs w:val="18"/>
        </w:rPr>
        <w:t>Schauble</w:t>
      </w:r>
      <w:proofErr w:type="spellEnd"/>
      <w:r w:rsidRPr="005733C9">
        <w:rPr>
          <w:rFonts w:ascii="宋体" w:hAnsi="宋体" w:cs="宋体"/>
          <w:color w:val="000000" w:themeColor="text1"/>
          <w:sz w:val="18"/>
          <w:szCs w:val="18"/>
        </w:rPr>
        <w:t>, L. (1997). Building functional models: Designing an elbow. Journal of Research in Science Teaching, 34(2), 125–143.</w:t>
      </w:r>
    </w:p>
    <w:p w14:paraId="063200AA" w14:textId="5A9A9A74"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Stratford, S. J. (1997). A review of computer-based model research in precollege science classrooms. Journal of Computers in Mathematics and Science Teaching, 16(1), 3–23.</w:t>
      </w:r>
    </w:p>
    <w:p w14:paraId="78243B3D" w14:textId="370F162D"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Schwarz, C., &amp; White, B. (2005). Metamodeling knowledge: Developing students’ understanding of scientific modeling. Cognition and Instruction, 23(2), 165–205.</w:t>
      </w:r>
    </w:p>
    <w:p w14:paraId="58D27BD0" w14:textId="1841632B"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 xml:space="preserve">Sengupta, P., &amp; Clark, D. (2016). Playing modeling games in the science classroom: The case for </w:t>
      </w:r>
      <w:proofErr w:type="spellStart"/>
      <w:r w:rsidRPr="005733C9">
        <w:rPr>
          <w:rFonts w:ascii="宋体" w:hAnsi="宋体" w:cs="宋体"/>
          <w:color w:val="000000" w:themeColor="text1"/>
          <w:sz w:val="18"/>
          <w:szCs w:val="18"/>
        </w:rPr>
        <w:t>disci</w:t>
      </w:r>
      <w:proofErr w:type="spellEnd"/>
      <w:r w:rsidRPr="005733C9">
        <w:rPr>
          <w:rFonts w:ascii="宋体" w:hAnsi="宋体" w:cs="宋体"/>
          <w:color w:val="000000" w:themeColor="text1"/>
          <w:sz w:val="18"/>
          <w:szCs w:val="18"/>
        </w:rPr>
        <w:t xml:space="preserve">- </w:t>
      </w:r>
      <w:proofErr w:type="spellStart"/>
      <w:r w:rsidRPr="005733C9">
        <w:rPr>
          <w:rFonts w:ascii="宋体" w:hAnsi="宋体" w:cs="宋体"/>
          <w:color w:val="000000" w:themeColor="text1"/>
          <w:sz w:val="18"/>
          <w:szCs w:val="18"/>
        </w:rPr>
        <w:t>plinary</w:t>
      </w:r>
      <w:proofErr w:type="spellEnd"/>
      <w:r w:rsidRPr="005733C9">
        <w:rPr>
          <w:rFonts w:ascii="宋体" w:hAnsi="宋体" w:cs="宋体"/>
          <w:color w:val="000000" w:themeColor="text1"/>
          <w:sz w:val="18"/>
          <w:szCs w:val="18"/>
        </w:rPr>
        <w:t xml:space="preserve"> integration. Educational Technology, 56(3), 16–22.</w:t>
      </w:r>
    </w:p>
    <w:p w14:paraId="2276300E" w14:textId="720D152F"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 xml:space="preserve">Shen, J., Lei, J., Chang, H. Y., &amp; </w:t>
      </w:r>
      <w:proofErr w:type="spellStart"/>
      <w:r w:rsidRPr="005733C9">
        <w:rPr>
          <w:rFonts w:ascii="宋体" w:hAnsi="宋体" w:cs="宋体"/>
          <w:color w:val="000000" w:themeColor="text1"/>
          <w:sz w:val="18"/>
          <w:szCs w:val="18"/>
        </w:rPr>
        <w:t>Namdar</w:t>
      </w:r>
      <w:proofErr w:type="spellEnd"/>
      <w:r w:rsidRPr="005733C9">
        <w:rPr>
          <w:rFonts w:ascii="宋体" w:hAnsi="宋体" w:cs="宋体"/>
          <w:color w:val="000000" w:themeColor="text1"/>
          <w:sz w:val="18"/>
          <w:szCs w:val="18"/>
        </w:rPr>
        <w:t xml:space="preserve">, B. (2014). </w:t>
      </w:r>
      <w:proofErr w:type="spellStart"/>
      <w:r w:rsidRPr="005733C9">
        <w:rPr>
          <w:rFonts w:ascii="宋体" w:hAnsi="宋体" w:cs="宋体"/>
          <w:color w:val="000000" w:themeColor="text1"/>
          <w:sz w:val="18"/>
          <w:szCs w:val="18"/>
        </w:rPr>
        <w:t>Technologyenhanced</w:t>
      </w:r>
      <w:proofErr w:type="spellEnd"/>
      <w:r w:rsidRPr="005733C9">
        <w:rPr>
          <w:rFonts w:ascii="宋体" w:hAnsi="宋体" w:cs="宋体"/>
          <w:color w:val="000000" w:themeColor="text1"/>
          <w:sz w:val="18"/>
          <w:szCs w:val="18"/>
        </w:rPr>
        <w:t>, modeling-based instruction (TMBI) in science education Handbook of Research on Educational Communications and Technology (pp. 529-540): Springer.</w:t>
      </w:r>
    </w:p>
    <w:p w14:paraId="7AF2B0FE" w14:textId="0FC4AC58" w:rsidR="005733C9" w:rsidRDefault="005733C9" w:rsidP="005733C9">
      <w:pPr>
        <w:spacing w:after="0"/>
        <w:ind w:left="360" w:hangingChars="200" w:hanging="360"/>
        <w:rPr>
          <w:rFonts w:ascii="宋体" w:hAnsi="宋体" w:cs="宋体"/>
          <w:color w:val="000000" w:themeColor="text1"/>
          <w:sz w:val="18"/>
          <w:szCs w:val="18"/>
        </w:rPr>
      </w:pPr>
      <w:r w:rsidRPr="005733C9">
        <w:rPr>
          <w:rFonts w:ascii="宋体" w:hAnsi="宋体" w:cs="宋体"/>
          <w:color w:val="000000" w:themeColor="text1"/>
          <w:sz w:val="18"/>
          <w:szCs w:val="18"/>
        </w:rPr>
        <w:t>WONG W, CHAO T, CHANG C, et al. Online Scaffolding for Data Modeling in Low-Cost Physical Labs[J]. International Journal of Distance Education Technologies, 2019,17(4): 1-20.</w:t>
      </w:r>
    </w:p>
    <w:p w14:paraId="7F6C037C" w14:textId="332F8635" w:rsidR="00E02656" w:rsidRPr="005733C9" w:rsidRDefault="005733C9" w:rsidP="005733C9">
      <w:pPr>
        <w:spacing w:after="0"/>
        <w:ind w:left="360" w:hangingChars="200" w:hanging="360"/>
        <w:rPr>
          <w:rFonts w:ascii="宋体" w:hAnsi="宋体" w:cs="宋体"/>
          <w:color w:val="000000" w:themeColor="text1"/>
          <w:sz w:val="18"/>
          <w:szCs w:val="18"/>
        </w:rPr>
      </w:pPr>
      <w:proofErr w:type="spellStart"/>
      <w:r w:rsidRPr="005733C9">
        <w:rPr>
          <w:rFonts w:ascii="宋体" w:hAnsi="宋体" w:cs="宋体"/>
          <w:color w:val="000000" w:themeColor="text1"/>
          <w:sz w:val="18"/>
          <w:szCs w:val="18"/>
        </w:rPr>
        <w:t>Zydney</w:t>
      </w:r>
      <w:proofErr w:type="spellEnd"/>
      <w:r w:rsidRPr="005733C9">
        <w:rPr>
          <w:rFonts w:ascii="宋体" w:hAnsi="宋体" w:cs="宋体"/>
          <w:color w:val="000000" w:themeColor="text1"/>
          <w:sz w:val="18"/>
          <w:szCs w:val="18"/>
        </w:rPr>
        <w:t>, J. M., &amp; Warner, Z. (2016). Mobile apps for science learning: review of research. Computers &amp; Education, 94,1–17.</w:t>
      </w:r>
    </w:p>
    <w:sectPr w:rsidR="00E02656" w:rsidRPr="005733C9">
      <w:pgSz w:w="11906" w:h="16838"/>
      <w:pgMar w:top="1440" w:right="1800" w:bottom="1440" w:left="1800" w:header="708" w:footer="708"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B880E" w14:textId="77777777" w:rsidR="00604C3C" w:rsidRDefault="00604C3C" w:rsidP="00380CC4">
      <w:pPr>
        <w:spacing w:after="0"/>
      </w:pPr>
      <w:r>
        <w:separator/>
      </w:r>
    </w:p>
  </w:endnote>
  <w:endnote w:type="continuationSeparator" w:id="0">
    <w:p w14:paraId="619763E8" w14:textId="77777777" w:rsidR="00604C3C" w:rsidRDefault="00604C3C" w:rsidP="00380C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微软雅黑"/>
    <w:panose1 w:val="020B0604020202020204"/>
    <w:charset w:val="00"/>
    <w:family w:val="auto"/>
    <w:pitch w:val="default"/>
  </w:font>
  <w:font w:name="仿宋_GB2312">
    <w:altName w:val="仿宋"/>
    <w:panose1 w:val="020B0604020202020204"/>
    <w:charset w:val="00"/>
    <w:family w:val="auto"/>
    <w:pitch w:val="default"/>
  </w:font>
  <w:font w:name="方正仿宋简体">
    <w:altName w:val="黑体"/>
    <w:panose1 w:val="020B0604020202020204"/>
    <w:charset w:val="86"/>
    <w:family w:val="script"/>
    <w:pitch w:val="default"/>
    <w:sig w:usb0="00000001" w:usb1="080E0000" w:usb2="00000010" w:usb3="00000000" w:csb0="00040000" w:csb1="00000000"/>
  </w:font>
  <w:font w:name="ST Song">
    <w:panose1 w:val="02010600040101010101"/>
    <w:charset w:val="86"/>
    <w:family w:val="auto"/>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ime New Roman">
    <w:altName w:val="Times New Roman"/>
    <w:panose1 w:val="020B0604020202020204"/>
    <w:charset w:val="00"/>
    <w:family w:val="roman"/>
    <w:pitch w:val="default"/>
    <w:sig w:usb0="00000000" w:usb1="00000000" w:usb2="00000000" w:usb3="00000000" w:csb0="00040001" w:csb1="00000000"/>
  </w:font>
  <w:font w:name="方正书宋简体">
    <w:altName w:val="微软雅黑"/>
    <w:panose1 w:val="020B0604020202020204"/>
    <w:charset w:val="86"/>
    <w:family w:val="auto"/>
    <w:pitch w:val="default"/>
    <w:sig w:usb0="00000000" w:usb1="00000000" w:usb2="00000000" w:usb3="00000000" w:csb0="00060000" w:csb1="00000000"/>
  </w:font>
  <w:font w:name="方正楷体简体">
    <w:altName w:val="黑体"/>
    <w:panose1 w:val="020B0604020202020204"/>
    <w:charset w:val="86"/>
    <w:family w:val="script"/>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AF504" w14:textId="77777777" w:rsidR="00604C3C" w:rsidRDefault="00604C3C" w:rsidP="00380CC4">
      <w:pPr>
        <w:spacing w:after="0"/>
      </w:pPr>
      <w:r>
        <w:separator/>
      </w:r>
    </w:p>
  </w:footnote>
  <w:footnote w:type="continuationSeparator" w:id="0">
    <w:p w14:paraId="7179D390" w14:textId="77777777" w:rsidR="00604C3C" w:rsidRDefault="00604C3C" w:rsidP="00380C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C79A7"/>
    <w:multiLevelType w:val="hybridMultilevel"/>
    <w:tmpl w:val="EFEE4732"/>
    <w:lvl w:ilvl="0" w:tplc="BCC2E0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3643D7"/>
    <w:multiLevelType w:val="hybridMultilevel"/>
    <w:tmpl w:val="ECEC999A"/>
    <w:lvl w:ilvl="0" w:tplc="A40CDAEA">
      <w:start w:val="1"/>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16cid:durableId="1530803155">
    <w:abstractNumId w:val="1"/>
  </w:num>
  <w:num w:numId="2" w16cid:durableId="14038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33"/>
    <w:rsid w:val="00107F4A"/>
    <w:rsid w:val="00166129"/>
    <w:rsid w:val="00183DEA"/>
    <w:rsid w:val="00231C96"/>
    <w:rsid w:val="00251509"/>
    <w:rsid w:val="002A0DF2"/>
    <w:rsid w:val="00303139"/>
    <w:rsid w:val="00380CC4"/>
    <w:rsid w:val="0041239B"/>
    <w:rsid w:val="005733C9"/>
    <w:rsid w:val="005A621D"/>
    <w:rsid w:val="00604C3C"/>
    <w:rsid w:val="00613233"/>
    <w:rsid w:val="0068491D"/>
    <w:rsid w:val="00761362"/>
    <w:rsid w:val="00841F52"/>
    <w:rsid w:val="00861DDB"/>
    <w:rsid w:val="009024FD"/>
    <w:rsid w:val="009C2E82"/>
    <w:rsid w:val="00A44A4F"/>
    <w:rsid w:val="00B32C55"/>
    <w:rsid w:val="00B64CB8"/>
    <w:rsid w:val="00E02656"/>
    <w:rsid w:val="00E23CA5"/>
    <w:rsid w:val="00F87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D99E"/>
  <w15:chartTrackingRefBased/>
  <w15:docId w15:val="{698749AD-ED88-834D-88FD-AB7BE9BD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3C9"/>
    <w:pPr>
      <w:adjustRightInd w:val="0"/>
      <w:snapToGrid w:val="0"/>
      <w:spacing w:after="200"/>
    </w:pPr>
    <w:rPr>
      <w:rFonts w:ascii="Tahoma" w:hAnsi="Tahoma"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380CC4"/>
    <w:rPr>
      <w:sz w:val="18"/>
      <w:szCs w:val="18"/>
    </w:rPr>
  </w:style>
  <w:style w:type="character" w:customStyle="1" w:styleId="a4">
    <w:name w:val="脚注文本 字符"/>
    <w:basedOn w:val="a0"/>
    <w:link w:val="a3"/>
    <w:uiPriority w:val="99"/>
    <w:rsid w:val="00380CC4"/>
    <w:rPr>
      <w:rFonts w:ascii="Tahoma" w:hAnsi="Tahoma" w:cs="Times New Roman"/>
      <w:sz w:val="18"/>
      <w:szCs w:val="18"/>
    </w:rPr>
  </w:style>
  <w:style w:type="character" w:styleId="a5">
    <w:name w:val="Hyperlink"/>
    <w:basedOn w:val="a0"/>
    <w:uiPriority w:val="99"/>
    <w:unhideWhenUsed/>
    <w:rsid w:val="00380CC4"/>
    <w:rPr>
      <w:color w:val="0000FF"/>
      <w:u w:val="single"/>
    </w:rPr>
  </w:style>
  <w:style w:type="character" w:styleId="a6">
    <w:name w:val="footnote reference"/>
    <w:uiPriority w:val="99"/>
    <w:unhideWhenUsed/>
    <w:rsid w:val="00380CC4"/>
    <w:rPr>
      <w:vertAlign w:val="superscript"/>
    </w:rPr>
  </w:style>
  <w:style w:type="paragraph" w:styleId="a7">
    <w:name w:val="List Paragraph"/>
    <w:basedOn w:val="a"/>
    <w:uiPriority w:val="34"/>
    <w:qFormat/>
    <w:rsid w:val="005733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2988">
      <w:bodyDiv w:val="1"/>
      <w:marLeft w:val="0"/>
      <w:marRight w:val="0"/>
      <w:marTop w:val="0"/>
      <w:marBottom w:val="0"/>
      <w:divBdr>
        <w:top w:val="none" w:sz="0" w:space="0" w:color="auto"/>
        <w:left w:val="none" w:sz="0" w:space="0" w:color="auto"/>
        <w:bottom w:val="none" w:sz="0" w:space="0" w:color="auto"/>
        <w:right w:val="none" w:sz="0" w:space="0" w:color="auto"/>
      </w:divBdr>
    </w:div>
    <w:div w:id="466822925">
      <w:bodyDiv w:val="1"/>
      <w:marLeft w:val="0"/>
      <w:marRight w:val="0"/>
      <w:marTop w:val="0"/>
      <w:marBottom w:val="0"/>
      <w:divBdr>
        <w:top w:val="none" w:sz="0" w:space="0" w:color="auto"/>
        <w:left w:val="none" w:sz="0" w:space="0" w:color="auto"/>
        <w:bottom w:val="none" w:sz="0" w:space="0" w:color="auto"/>
        <w:right w:val="none" w:sz="0" w:space="0" w:color="auto"/>
      </w:divBdr>
    </w:div>
    <w:div w:id="651131412">
      <w:bodyDiv w:val="1"/>
      <w:marLeft w:val="0"/>
      <w:marRight w:val="0"/>
      <w:marTop w:val="0"/>
      <w:marBottom w:val="0"/>
      <w:divBdr>
        <w:top w:val="none" w:sz="0" w:space="0" w:color="auto"/>
        <w:left w:val="none" w:sz="0" w:space="0" w:color="auto"/>
        <w:bottom w:val="none" w:sz="0" w:space="0" w:color="auto"/>
        <w:right w:val="none" w:sz="0" w:space="0" w:color="auto"/>
      </w:divBdr>
    </w:div>
    <w:div w:id="1525703820">
      <w:bodyDiv w:val="1"/>
      <w:marLeft w:val="0"/>
      <w:marRight w:val="0"/>
      <w:marTop w:val="0"/>
      <w:marBottom w:val="0"/>
      <w:divBdr>
        <w:top w:val="none" w:sz="0" w:space="0" w:color="auto"/>
        <w:left w:val="none" w:sz="0" w:space="0" w:color="auto"/>
        <w:bottom w:val="none" w:sz="0" w:space="0" w:color="auto"/>
        <w:right w:val="none" w:sz="0" w:space="0" w:color="auto"/>
      </w:divBdr>
    </w:div>
    <w:div w:id="1817212582">
      <w:bodyDiv w:val="1"/>
      <w:marLeft w:val="0"/>
      <w:marRight w:val="0"/>
      <w:marTop w:val="0"/>
      <w:marBottom w:val="0"/>
      <w:divBdr>
        <w:top w:val="none" w:sz="0" w:space="0" w:color="auto"/>
        <w:left w:val="none" w:sz="0" w:space="0" w:color="auto"/>
        <w:bottom w:val="none" w:sz="0" w:space="0" w:color="auto"/>
        <w:right w:val="none" w:sz="0" w:space="0" w:color="auto"/>
      </w:divBdr>
    </w:div>
    <w:div w:id="1910076137">
      <w:bodyDiv w:val="1"/>
      <w:marLeft w:val="0"/>
      <w:marRight w:val="0"/>
      <w:marTop w:val="0"/>
      <w:marBottom w:val="0"/>
      <w:divBdr>
        <w:top w:val="none" w:sz="0" w:space="0" w:color="auto"/>
        <w:left w:val="none" w:sz="0" w:space="0" w:color="auto"/>
        <w:bottom w:val="none" w:sz="0" w:space="0" w:color="auto"/>
        <w:right w:val="none" w:sz="0" w:space="0" w:color="auto"/>
      </w:divBdr>
    </w:div>
    <w:div w:id="201668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CCA33-6DF6-FB4A-867C-FA99C03EE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1230</Words>
  <Characters>7011</Characters>
  <Application>Microsoft Office Word</Application>
  <DocSecurity>0</DocSecurity>
  <Lines>58</Lines>
  <Paragraphs>16</Paragraphs>
  <ScaleCrop>false</ScaleCrop>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2022-07-05T13:10:00Z</dcterms:created>
  <dcterms:modified xsi:type="dcterms:W3CDTF">2022-08-21T09:16:00Z</dcterms:modified>
</cp:coreProperties>
</file>