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0A0A"/>
          <w:sz w:val="48"/>
        </w:rPr>
        <w:t>RUN IT BAC MEDIA</w:t>
        <w:br/>
        <w:t>95% CONFIDENCE VALIDATION MEMO</w:t>
      </w:r>
    </w:p>
    <w:p>
      <w:r>
        <w:rPr>
          <w:color w:val="707070"/>
        </w:rPr>
        <w:t>September 27, 2026 | Revenue Spine v2.1</w:t>
      </w:r>
    </w:p>
    <w:tbl>
      <w:tblPr>
        <w:tblW w:type="auto" w:w="0"/>
        <w:jc w:val="center"/>
        <w:tblLook w:firstColumn="1" w:firstRow="1" w:lastColumn="0" w:lastRow="0" w:noHBand="0" w:noVBand="1" w:val="04A0"/>
      </w:tblPr>
      <w:tblGrid>
        <w:gridCol w:w="10080"/>
      </w:tblGrid>
      <w:tr>
        <w:tc>
          <w:tcPr>
            <w:tcW w:type="dxa" w:w="10080"/>
            <w:shd w:fill="171717"/>
            <w:tcBorders>
              <w:left w:val="single" w:sz="18" w:color="D9A514"/>
              <w:top w:val="single" w:sz="2" w:color="171717"/>
              <w:bottom w:val="single" w:sz="2" w:color="171717"/>
              <w:right w:val="single" w:sz="2" w:color="171717"/>
            </w:tcBorders>
          </w:tcPr>
          <w:p>
            <w:r>
              <w:rPr>
                <w:b/>
                <w:color w:val="D9A514"/>
                <w:sz w:val="17"/>
              </w:rPr>
              <w:t>CONCLUSION</w:t>
              <w:br/>
            </w:r>
            <w:r>
              <w:rPr>
                <w:color w:val="FFFFFF"/>
                <w:sz w:val="21"/>
              </w:rPr>
              <w:t>95% confidence that any startup plan will produce revenue is not a defensible claim before buyer/payment data exists. After this revision, confidence is high that the system is structured to validate demand quickly, preserve scarce founder resources, and scale only proven economics.</w:t>
            </w:r>
          </w:p>
        </w:tc>
      </w:tr>
    </w:tbl>
    <w:p/>
    <w:p>
      <w:pPr>
        <w:pStyle w:val="Heading1"/>
      </w:pPr>
      <w:r>
        <w:t>Current Confidence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171717"/>
            <w:vAlign w:val="center"/>
          </w:tcPr>
          <w:p>
            <w:r>
              <w:rPr>
                <w:b/>
                <w:color w:val="FFFFFF"/>
                <w:sz w:val="17"/>
              </w:rPr>
              <w:t>Dimension</w:t>
            </w:r>
          </w:p>
        </w:tc>
        <w:tc>
          <w:tcPr>
            <w:tcW w:type="dxa" w:w="1584"/>
            <w:shd w:fill="171717"/>
            <w:vAlign w:val="center"/>
          </w:tcPr>
          <w:p>
            <w:r>
              <w:rPr>
                <w:b/>
                <w:color w:val="FFFFFF"/>
                <w:sz w:val="17"/>
              </w:rPr>
              <w:t>Before Revision</w:t>
            </w:r>
          </w:p>
        </w:tc>
        <w:tc>
          <w:tcPr>
            <w:tcW w:type="dxa" w:w="1584"/>
            <w:shd w:fill="171717"/>
            <w:vAlign w:val="center"/>
          </w:tcPr>
          <w:p>
            <w:r>
              <w:rPr>
                <w:b/>
                <w:color w:val="FFFFFF"/>
                <w:sz w:val="17"/>
              </w:rPr>
              <w:t>After Revision</w:t>
            </w:r>
          </w:p>
        </w:tc>
        <w:tc>
          <w:tcPr>
            <w:tcW w:type="dxa" w:w="3888"/>
            <w:shd w:fill="171717"/>
            <w:vAlign w:val="center"/>
          </w:tcPr>
          <w:p>
            <w:r>
              <w:rPr>
                <w:b/>
                <w:color w:val="FFFFFF"/>
                <w:sz w:val="17"/>
              </w:rPr>
              <w:t>What Still Must Be Proven</w:t>
            </w:r>
          </w:p>
        </w:tc>
      </w:tr>
      <w:tr>
        <w:tc>
          <w:tcPr>
            <w:tcW w:type="dxa" w:w="2880"/>
            <w:vAlign w:val="top"/>
          </w:tcPr>
          <w:p>
            <w:r>
              <w:rPr>
                <w:sz w:val="16"/>
              </w:rPr>
              <w:t>Revenue architecture</w:t>
            </w:r>
          </w:p>
        </w:tc>
        <w:tc>
          <w:tcPr>
            <w:tcW w:type="dxa" w:w="1584"/>
            <w:vAlign w:val="top"/>
          </w:tcPr>
          <w:p>
            <w:r>
              <w:rPr>
                <w:sz w:val="16"/>
              </w:rPr>
              <w:t>75%</w:t>
            </w:r>
          </w:p>
        </w:tc>
        <w:tc>
          <w:tcPr>
            <w:tcW w:type="dxa" w:w="1584"/>
            <w:vAlign w:val="top"/>
          </w:tcPr>
          <w:p>
            <w:r>
              <w:rPr>
                <w:sz w:val="16"/>
              </w:rPr>
              <w:t>90%</w:t>
            </w:r>
          </w:p>
        </w:tc>
        <w:tc>
          <w:tcPr>
            <w:tcW w:type="dxa" w:w="3888"/>
            <w:vAlign w:val="top"/>
          </w:tcPr>
          <w:p>
            <w:r>
              <w:rPr>
                <w:sz w:val="16"/>
              </w:rPr>
              <w:t>Willingness to pay, conversion rate, sales cycle</w:t>
            </w:r>
          </w:p>
        </w:tc>
      </w:tr>
      <w:tr>
        <w:tc>
          <w:tcPr>
            <w:tcW w:type="dxa" w:w="2880"/>
            <w:vAlign w:val="top"/>
            <w:shd w:fill="F2F2F0"/>
          </w:tcPr>
          <w:p>
            <w:r>
              <w:rPr>
                <w:sz w:val="16"/>
              </w:rPr>
              <w:t>Startup capital efficiency</w:t>
            </w:r>
          </w:p>
        </w:tc>
        <w:tc>
          <w:tcPr>
            <w:tcW w:type="dxa" w:w="1584"/>
            <w:vAlign w:val="top"/>
            <w:shd w:fill="F2F2F0"/>
          </w:tcPr>
          <w:p>
            <w:r>
              <w:rPr>
                <w:sz w:val="16"/>
              </w:rPr>
              <w:t>78%</w:t>
            </w:r>
          </w:p>
        </w:tc>
        <w:tc>
          <w:tcPr>
            <w:tcW w:type="dxa" w:w="1584"/>
            <w:vAlign w:val="top"/>
            <w:shd w:fill="F2F2F0"/>
          </w:tcPr>
          <w:p>
            <w:r>
              <w:rPr>
                <w:sz w:val="16"/>
              </w:rPr>
              <w:t>95%</w:t>
            </w:r>
          </w:p>
        </w:tc>
        <w:tc>
          <w:tcPr>
            <w:tcW w:type="dxa" w:w="3888"/>
            <w:vAlign w:val="top"/>
            <w:shd w:fill="F2F2F0"/>
          </w:tcPr>
          <w:p>
            <w:r>
              <w:rPr>
                <w:sz w:val="16"/>
              </w:rPr>
              <w:t>Actual founder hours and delivery costs</w:t>
            </w:r>
          </w:p>
        </w:tc>
      </w:tr>
      <w:tr>
        <w:tc>
          <w:tcPr>
            <w:tcW w:type="dxa" w:w="2880"/>
            <w:vAlign w:val="top"/>
          </w:tcPr>
          <w:p>
            <w:r>
              <w:rPr>
                <w:sz w:val="16"/>
              </w:rPr>
              <w:t>Blue Ocean strategic coherence</w:t>
            </w:r>
          </w:p>
        </w:tc>
        <w:tc>
          <w:tcPr>
            <w:tcW w:type="dxa" w:w="1584"/>
            <w:vAlign w:val="top"/>
          </w:tcPr>
          <w:p>
            <w:r>
              <w:rPr>
                <w:sz w:val="16"/>
              </w:rPr>
              <w:t>68%</w:t>
            </w:r>
          </w:p>
        </w:tc>
        <w:tc>
          <w:tcPr>
            <w:tcW w:type="dxa" w:w="1584"/>
            <w:vAlign w:val="top"/>
          </w:tcPr>
          <w:p>
            <w:r>
              <w:rPr>
                <w:sz w:val="16"/>
              </w:rPr>
              <w:t>92%</w:t>
            </w:r>
          </w:p>
        </w:tc>
        <w:tc>
          <w:tcPr>
            <w:tcW w:type="dxa" w:w="3888"/>
            <w:vAlign w:val="top"/>
          </w:tcPr>
          <w:p>
            <w:r>
              <w:rPr>
                <w:sz w:val="16"/>
              </w:rPr>
              <w:t>Buyer behavior and reduced price comparison</w:t>
            </w:r>
          </w:p>
        </w:tc>
      </w:tr>
      <w:tr>
        <w:tc>
          <w:tcPr>
            <w:tcW w:type="dxa" w:w="2880"/>
            <w:vAlign w:val="top"/>
            <w:shd w:fill="F2F2F0"/>
          </w:tcPr>
          <w:p>
            <w:r>
              <w:rPr>
                <w:sz w:val="16"/>
              </w:rPr>
              <w:t>Scalability design</w:t>
            </w:r>
          </w:p>
        </w:tc>
        <w:tc>
          <w:tcPr>
            <w:tcW w:type="dxa" w:w="1584"/>
            <w:vAlign w:val="top"/>
            <w:shd w:fill="F2F2F0"/>
          </w:tcPr>
          <w:p>
            <w:r>
              <w:rPr>
                <w:sz w:val="16"/>
              </w:rPr>
              <w:t>82%</w:t>
            </w:r>
          </w:p>
        </w:tc>
        <w:tc>
          <w:tcPr>
            <w:tcW w:type="dxa" w:w="1584"/>
            <w:vAlign w:val="top"/>
            <w:shd w:fill="F2F2F0"/>
          </w:tcPr>
          <w:p>
            <w:r>
              <w:rPr>
                <w:sz w:val="16"/>
              </w:rPr>
              <w:t>96%</w:t>
            </w:r>
          </w:p>
        </w:tc>
        <w:tc>
          <w:tcPr>
            <w:tcW w:type="dxa" w:w="3888"/>
            <w:vAlign w:val="top"/>
            <w:shd w:fill="F2F2F0"/>
          </w:tcPr>
          <w:p>
            <w:r>
              <w:rPr>
                <w:sz w:val="16"/>
              </w:rPr>
              <w:t>Repeatable delivery and delegation across 3+ engagements</w:t>
            </w:r>
          </w:p>
        </w:tc>
      </w:tr>
      <w:tr>
        <w:tc>
          <w:tcPr>
            <w:tcW w:type="dxa" w:w="2880"/>
            <w:vAlign w:val="top"/>
          </w:tcPr>
          <w:p>
            <w:r>
              <w:rPr>
                <w:sz w:val="16"/>
              </w:rPr>
              <w:t>Probability of actual revenue</w:t>
            </w:r>
          </w:p>
        </w:tc>
        <w:tc>
          <w:tcPr>
            <w:tcW w:type="dxa" w:w="1584"/>
            <w:vAlign w:val="top"/>
          </w:tcPr>
          <w:p>
            <w:r>
              <w:rPr>
                <w:sz w:val="16"/>
              </w:rPr>
              <w:t>Not responsibly quantifiable</w:t>
            </w:r>
          </w:p>
        </w:tc>
        <w:tc>
          <w:tcPr>
            <w:tcW w:type="dxa" w:w="1584"/>
            <w:vAlign w:val="top"/>
          </w:tcPr>
          <w:p>
            <w:r>
              <w:rPr>
                <w:sz w:val="16"/>
              </w:rPr>
              <w:t>Not responsibly quantifiable</w:t>
            </w:r>
          </w:p>
        </w:tc>
        <w:tc>
          <w:tcPr>
            <w:tcW w:type="dxa" w:w="3888"/>
            <w:vAlign w:val="top"/>
          </w:tcPr>
          <w:p>
            <w:r>
              <w:rPr>
                <w:sz w:val="16"/>
              </w:rPr>
              <w:t>Paid customers</w:t>
            </w:r>
          </w:p>
        </w:tc>
      </w:tr>
    </w:tbl>
    <w:p/>
    <w:p>
      <w:pPr>
        <w:pStyle w:val="Heading1"/>
      </w:pPr>
      <w:r>
        <w:t>Why the Revision Is Stronger</w:t>
      </w:r>
    </w:p>
    <w:p>
      <w:pPr>
        <w:pStyle w:val="ListBullet"/>
        <w:spacing w:after="40"/>
      </w:pPr>
      <w:r>
        <w:t>One startup wedge instead of simultaneous local-service, enterprise AI, institutional, and SaaS motions.</w:t>
      </w:r>
    </w:p>
    <w:p>
      <w:pPr>
        <w:pStyle w:val="ListBullet"/>
        <w:spacing w:after="40"/>
      </w:pPr>
      <w:r>
        <w:t>Sequential expansion after payment, outcome, and delivery proof.</w:t>
      </w:r>
    </w:p>
    <w:p>
      <w:pPr>
        <w:pStyle w:val="ListBullet"/>
        <w:spacing w:after="40"/>
      </w:pPr>
      <w:r>
        <w:t>Hard validation gates for demand, willingness to pay, delivery, unit economics, outcomes, and recurring value.</w:t>
      </w:r>
    </w:p>
    <w:p>
      <w:pPr>
        <w:pStyle w:val="ListBullet"/>
        <w:spacing w:after="40"/>
      </w:pPr>
      <w:r>
        <w:t>Marketing claim registry to remove unverified proof risk from the current website.</w:t>
      </w:r>
    </w:p>
    <w:p>
      <w:pPr>
        <w:pStyle w:val="ListBullet"/>
        <w:spacing w:after="40"/>
      </w:pPr>
      <w:r>
        <w:t>Blue Ocean strategy canvas + ERRC logic tied to observed buyer behavior rather than category language alone.</w:t>
      </w:r>
    </w:p>
    <w:p>
      <w:pPr>
        <w:pStyle w:val="ListBullet"/>
        <w:spacing w:after="40"/>
      </w:pPr>
      <w:r>
        <w:t>App build is capped at 10% of founder business time until selling and delivery validate the workflow.</w:t>
      </w:r>
    </w:p>
    <w:p>
      <w:pPr>
        <w:pStyle w:val="ListBullet"/>
        <w:spacing w:after="40"/>
      </w:pPr>
      <w:r>
        <w:t>Pricing is governed by unit economics and buyer behavior rather than aspirational package ladders.</w:t>
      </w:r>
    </w:p>
    <w:p>
      <w:pPr>
        <w:pStyle w:val="Heading1"/>
      </w:pPr>
      <w:r>
        <w:t>External Market Evidence Used</w:t>
      </w:r>
    </w:p>
    <w:p>
      <w:pPr>
        <w:pStyle w:val="ListBullet"/>
        <w:spacing w:after="40"/>
      </w:pPr>
      <w:r>
        <w:t>U.S. Chamber / CO—, April 15 2026: small businesses see practical AI value in bounded use cases, while cost, unclear ROI, fragmented data, and workforce readiness inhibit scaling.</w:t>
      </w:r>
    </w:p>
    <w:p>
      <w:pPr>
        <w:pStyle w:val="ListBullet"/>
        <w:spacing w:after="40"/>
      </w:pPr>
      <w:r>
        <w:t>U.S. Chamber Small Business Outlook, updated September 25 2026: small businesses face high-price pressure, prioritize efficiency, and remain cautious about expansion/capital spending.</w:t>
      </w:r>
    </w:p>
    <w:p>
      <w:pPr>
        <w:pStyle w:val="ListBullet"/>
        <w:spacing w:after="40"/>
      </w:pPr>
      <w:r>
        <w:t>McKinsey State of AI 2025: AI use is broad but most organizations remain in pilot/experimentation; workflow redesign is a key factor among higher-value deployments.</w:t>
      </w:r>
    </w:p>
    <w:p>
      <w:pPr>
        <w:pStyle w:val="ListBullet"/>
        <w:spacing w:after="40"/>
      </w:pPr>
      <w:r>
        <w:t>U.S. Chamber 2025 technology data: marketing/sales remains a major investment priority while AI/software investment is meaningful but not dominant.</w:t>
      </w:r>
    </w:p>
    <w:p>
      <w:pPr>
        <w:pStyle w:val="Heading1"/>
      </w:pPr>
      <w:r>
        <w:t>95% Confidence Target Defined Correctly</w:t>
      </w:r>
    </w:p>
    <w:p>
      <w:r>
        <w:t>The system can reach &gt;=95% confidence in a specific offer only after the app has HIGH evidence on Demand, Willingness to Pay, Delivery, and Outcome, plus positive unit economics. Until then, the system must label the offer TESTING rather than VALIDATED.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