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RUN IT BAC MEDIA</w:t>
      </w:r>
    </w:p>
    <w:p>
      <w:pPr>
        <w:pStyle w:val="Title"/>
      </w:pPr>
      <w:r>
        <w:t>RUN It BAC Media Business OS</w:t>
      </w:r>
    </w:p>
    <w:p>
      <w:pPr>
        <w:pStyle w:val="Subtitle"/>
      </w:pPr>
      <w:r>
        <w:t>Unified operating doctrine for revenue, authority, recurring cash flow, IP, and founder-capacity control.</w:t>
      </w:r>
    </w:p>
    <w:p>
      <w:pPr>
        <w:pStyle w:val="Small"/>
      </w:pPr>
      <w:r>
        <w:t>Version 4.0  |  September 2026</w:t>
      </w:r>
    </w:p>
    <w:tbl>
      <w:tblPr>
        <w:tblW w:type="auto" w:w="0"/>
        <w:jc w:val="left"/>
        <w:tblLayout w:type="fixed"/>
        <w:tblLook w:firstColumn="1" w:firstRow="1" w:lastColumn="0" w:lastRow="0" w:noHBand="0" w:noVBand="1" w:val="04A0"/>
      </w:tblPr>
      <w:tblGrid>
        <w:gridCol w:w="3389"/>
        <w:gridCol w:w="3389"/>
        <w:gridCol w:w="3389"/>
      </w:tblGrid>
      <w:tr>
        <w:tc>
          <w:tcPr>
            <w:tcW w:type="dxa" w:w="6912"/>
            <w:shd w:fill="C91524"/>
            <w:tcBorders>
              <w:top w:val="nil"/>
              <w:left w:val="nil"/>
              <w:bottom w:val="nil"/>
              <w:right w:val="nil"/>
            </w:tcBorders>
          </w:tcPr>
          <w:p>
            <w:r/>
          </w:p>
        </w:tc>
        <w:tc>
          <w:tcPr>
            <w:tcW w:type="dxa" w:w="1440"/>
            <w:shd w:fill="D9A514"/>
            <w:tcBorders>
              <w:top w:val="nil"/>
              <w:left w:val="nil"/>
              <w:bottom w:val="nil"/>
              <w:right w:val="nil"/>
            </w:tcBorders>
          </w:tcPr>
          <w:p>
            <w:r/>
          </w:p>
        </w:tc>
        <w:tc>
          <w:tcPr>
            <w:tcW w:type="dxa" w:w="1440"/>
            <w:shd w:fill="24A148"/>
            <w:tcBorders>
              <w:top w:val="nil"/>
              <w:left w:val="nil"/>
              <w:bottom w:val="nil"/>
              <w:right w:val="nil"/>
            </w:tcBorders>
          </w:tcPr>
          <w:p>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OPERATING THESIS</w:t>
              <w:br/>
            </w:r>
            <w:r>
              <w:rPr>
                <w:color w:val="FFFFFF"/>
                <w:sz w:val="21"/>
              </w:rPr>
              <w:t>Stay multidimensional intellectually. Become narrow commercially. Revenue Spine is the commercial method. Everything else either feeds it, compounds it, or waits.</w:t>
            </w:r>
          </w:p>
        </w:tc>
      </w:tr>
    </w:tbl>
    <w:p/>
    <w:p>
      <w:pPr>
        <w:pStyle w:val="Heading2"/>
      </w:pPr>
      <w:r>
        <w:t>Source Basis and Decision Rule</w:t>
      </w:r>
    </w:p>
    <w:p>
      <w:r>
        <w:t>This document is a rebuild, not a silent rewrite of the existing materials. It preserves the strongest validated operating principles and explicitly replaces the website-only constraints where the new Revenue Spine architecture requires it.</w:t>
      </w:r>
    </w:p>
    <w:p>
      <w:pPr>
        <w:pStyle w:val="ListBullet"/>
        <w:spacing w:after="40"/>
      </w:pPr>
      <w:r>
        <w:t>Revenue Spine OS v1: evidence integrity, five-zone + 15-point diagnostic, QA, outcome tracking, and methodology version control.</w:t>
      </w:r>
    </w:p>
    <w:p>
      <w:pPr>
        <w:pStyle w:val="ListBullet"/>
        <w:spacing w:after="40"/>
      </w:pPr>
      <w:r>
        <w:t>Business Flywheel Strategy 2026: $1M+ ambition, service cash engine, authority, retainers, productization, and institutional access.</w:t>
      </w:r>
    </w:p>
    <w:p>
      <w:pPr>
        <w:pStyle w:val="ListBullet"/>
        <w:spacing w:after="40"/>
      </w:pPr>
      <w:r>
        <w:t>Founder Diagnosis / Portfolio Board: founder attention is the scarce resource; kill low-ticket custom work and offer sprawl; delegate before adding offers.</w:t>
      </w:r>
    </w:p>
    <w:p>
      <w:pPr>
        <w:pStyle w:val="ListBullet"/>
        <w:spacing w:after="40"/>
      </w:pPr>
      <w:r>
        <w:t>Execution OS v3: every action must produce cash, an asset, or leverage.</w:t>
      </w:r>
    </w:p>
    <w:p>
      <w:pPr>
        <w:pStyle w:val="ListBullet"/>
        <w:spacing w:after="40"/>
      </w:pPr>
      <w:r>
        <w:t>Supplied September 27, 2026 website screenshots: current website-first positioning, free audit, 14-day install, three website packages, and $500-$800/month retainer.</w:t>
      </w:r>
    </w:p>
    <w:tbl>
      <w:tblPr>
        <w:tblW w:type="auto" w:w="0"/>
        <w:jc w:val="center"/>
        <w:tblLook w:firstColumn="1" w:firstRow="1" w:lastColumn="0" w:lastRow="0" w:noHBand="0" w:noVBand="1" w:val="04A0"/>
      </w:tblPr>
      <w:tblGrid>
        <w:gridCol w:w="10166"/>
      </w:tblGrid>
      <w:tr>
        <w:tc>
          <w:tcPr>
            <w:tcW w:type="dxa" w:w="10166"/>
            <w:shd w:fill="252525"/>
            <w:tcBorders>
              <w:top w:sz="2" w:val="single" w:color="252525"/>
              <w:left w:sz="18" w:val="single" w:color="D9A514"/>
              <w:bottom w:sz="2" w:val="single" w:color="252525"/>
              <w:right w:sz="2" w:val="single" w:color="252525"/>
            </w:tcBorders>
          </w:tcPr>
          <w:p>
            <w:pPr>
              <w:pStyle w:val="Callout"/>
            </w:pPr>
            <w:r>
              <w:rPr>
                <w:color w:val="D9A514"/>
                <w:sz w:val="17"/>
              </w:rPr>
              <w:t>VERSIONING RULE</w:t>
              <w:br/>
            </w:r>
            <w:r>
              <w:rPr>
                <w:color w:val="FFFFFF"/>
                <w:sz w:val="21"/>
              </w:rPr>
              <w:t>When this document conflicts with earlier website-package or app instructions, this document governs only after the founder formally adopts Version 2.0. Historical reports and prior methodology remain reproducible.</w:t>
            </w:r>
          </w:p>
        </w:tc>
      </w:tr>
    </w:tbl>
    <w:p/>
    <w:p>
      <w:pPr>
        <w:pStyle w:val="Heading1"/>
      </w:pPr>
      <w:r>
        <w:t>1. Identity and Strategic Position</w:t>
      </w:r>
    </w:p>
    <w:p>
      <w:r>
        <w:t>RUN It BAC Media is a revenue infrastructure company. Its proprietary method is Revenue Spine. The company diagnoses where a buyer journey or operating workflow loses economic value, prescribes the minimum intervention that closes the leak, installs the system, measures what changed, and compounds the result through optimization.</w:t>
      </w:r>
    </w:p>
    <w:tbl>
      <w:tblPr>
        <w:tblW w:type="auto" w:w="0"/>
        <w:jc w:val="center"/>
        <w:tblLook w:firstColumn="1" w:firstRow="1" w:lastColumn="0" w:lastRow="0" w:noHBand="0" w:noVBand="1" w:val="04A0"/>
      </w:tblPr>
      <w:tblGrid>
        <w:gridCol w:w="10166"/>
      </w:tblGrid>
      <w:tr>
        <w:tc>
          <w:tcPr>
            <w:tcW w:type="dxa" w:w="10166"/>
            <w:shd w:fill="C91524"/>
            <w:tcBorders>
              <w:top w:sz="2" w:val="single" w:color="C91524"/>
              <w:left w:sz="18" w:val="single" w:color="FFFFFF"/>
              <w:bottom w:sz="2" w:val="single" w:color="C91524"/>
              <w:right w:sz="2" w:val="single" w:color="C91524"/>
            </w:tcBorders>
          </w:tcPr>
          <w:p>
            <w:pPr>
              <w:pStyle w:val="Callout"/>
            </w:pPr>
            <w:r>
              <w:rPr>
                <w:color w:val="FFFFFF"/>
                <w:sz w:val="17"/>
              </w:rPr>
              <w:t>COMMERCIAL POSITIONING</w:t>
              <w:br/>
            </w:r>
            <w:r>
              <w:rPr>
                <w:color w:val="FFFFFF"/>
                <w:sz w:val="21"/>
              </w:rPr>
              <w:t>We diagnose where revenue gets stuck, install the missing infrastructure, and track the improvement.</w:t>
            </w:r>
          </w:p>
        </w:tc>
      </w:tr>
    </w:tbl>
    <w:p/>
    <w:p>
      <w:pPr>
        <w:pStyle w:val="Heading2"/>
      </w:pPr>
      <w:r>
        <w:t>What RUN It BAC is not</w:t>
      </w:r>
    </w:p>
    <w:p>
      <w:pPr>
        <w:pStyle w:val="ListBullet"/>
        <w:spacing w:after="40"/>
      </w:pPr>
      <w:r>
        <w:t>Not a generic web-design agency.</w:t>
      </w:r>
    </w:p>
    <w:p>
      <w:pPr>
        <w:pStyle w:val="ListBullet"/>
        <w:spacing w:after="40"/>
      </w:pPr>
      <w:r>
        <w:t>Not an AI-tools reseller.</w:t>
      </w:r>
    </w:p>
    <w:p>
      <w:pPr>
        <w:pStyle w:val="ListBullet"/>
        <w:spacing w:after="40"/>
      </w:pPr>
      <w:r>
        <w:t>Not a broad marketing-services menu.</w:t>
      </w:r>
    </w:p>
    <w:p>
      <w:pPr>
        <w:pStyle w:val="ListBullet"/>
        <w:spacing w:after="40"/>
      </w:pPr>
      <w:r>
        <w:t>Not a custom-work shop where every engagement starts from zero.</w:t>
      </w:r>
    </w:p>
    <w:p>
      <w:pPr>
        <w:pStyle w:val="ListBullet"/>
        <w:spacing w:after="40"/>
      </w:pPr>
      <w:r>
        <w:t>Not a community brand disguised as a sales funnel.</w:t>
      </w:r>
    </w:p>
    <w:p>
      <w:pPr>
        <w:pStyle w:val="Heading2"/>
      </w:pPr>
      <w:r>
        <w:t>The role of Revenue Spine</w:t>
      </w:r>
    </w:p>
    <w:p>
      <w:r>
        <w:t>Revenue Spine is the common method across local-service conversion systems, AI-enabled workflow improvement, institutional training, optimization, and future software. The method remains stable while the intervention changes.</w:t>
      </w:r>
    </w:p>
    <w:p>
      <w:pPr>
        <w:pStyle w:val="Heading1"/>
      </w:pPr>
      <w:r>
        <w:t>2. North Star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71717"/>
            <w:vAlign w:val="center"/>
          </w:tcPr>
          <w:p>
            <w:pPr>
              <w:jc w:val="left"/>
            </w:pPr>
            <w:r>
              <w:rPr>
                <w:b/>
                <w:color w:val="FFFFFF"/>
                <w:sz w:val="17"/>
              </w:rPr>
              <w:t>Layer</w:t>
            </w:r>
          </w:p>
        </w:tc>
        <w:tc>
          <w:tcPr>
            <w:tcW w:type="dxa" w:w="2304"/>
            <w:shd w:fill="171717"/>
            <w:vAlign w:val="center"/>
          </w:tcPr>
          <w:p>
            <w:pPr>
              <w:jc w:val="left"/>
            </w:pPr>
            <w:r>
              <w:rPr>
                <w:b/>
                <w:color w:val="FFFFFF"/>
                <w:sz w:val="17"/>
              </w:rPr>
              <w:t>Purpose</w:t>
            </w:r>
          </w:p>
        </w:tc>
        <w:tc>
          <w:tcPr>
            <w:tcW w:type="dxa" w:w="3456"/>
            <w:shd w:fill="171717"/>
            <w:vAlign w:val="center"/>
          </w:tcPr>
          <w:p>
            <w:pPr>
              <w:jc w:val="left"/>
            </w:pPr>
            <w:r>
              <w:rPr>
                <w:b/>
                <w:color w:val="FFFFFF"/>
                <w:sz w:val="17"/>
              </w:rPr>
              <w:t>Primary Output</w:t>
            </w:r>
          </w:p>
        </w:tc>
        <w:tc>
          <w:tcPr>
            <w:tcW w:type="dxa" w:w="2160"/>
            <w:shd w:fill="171717"/>
            <w:vAlign w:val="center"/>
          </w:tcPr>
          <w:p>
            <w:pPr>
              <w:jc w:val="left"/>
            </w:pPr>
            <w:r>
              <w:rPr>
                <w:b/>
                <w:color w:val="FFFFFF"/>
                <w:sz w:val="17"/>
              </w:rPr>
              <w:t>Monetization</w:t>
            </w:r>
          </w:p>
        </w:tc>
      </w:tr>
      <w:tr>
        <w:tc>
          <w:tcPr>
            <w:tcW w:type="dxa" w:w="1584"/>
            <w:vAlign w:val="top"/>
          </w:tcPr>
          <w:p>
            <w:pPr>
              <w:spacing w:after="20"/>
            </w:pPr>
            <w:r>
              <w:rPr>
                <w:sz w:val="16"/>
              </w:rPr>
              <w:t>Diagnosis</w:t>
            </w:r>
          </w:p>
        </w:tc>
        <w:tc>
          <w:tcPr>
            <w:tcW w:type="dxa" w:w="2304"/>
            <w:vAlign w:val="top"/>
          </w:tcPr>
          <w:p>
            <w:pPr>
              <w:spacing w:after="20"/>
            </w:pPr>
            <w:r>
              <w:rPr>
                <w:sz w:val="16"/>
              </w:rPr>
              <w:t>Find the constraint and quantify exposure</w:t>
            </w:r>
          </w:p>
        </w:tc>
        <w:tc>
          <w:tcPr>
            <w:tcW w:type="dxa" w:w="3456"/>
            <w:vAlign w:val="top"/>
          </w:tcPr>
          <w:p>
            <w:pPr>
              <w:spacing w:after="20"/>
            </w:pPr>
            <w:r>
              <w:rPr>
                <w:sz w:val="16"/>
              </w:rPr>
              <w:t>Revenue Spine Diagnostic + roadmap</w:t>
            </w:r>
          </w:p>
        </w:tc>
        <w:tc>
          <w:tcPr>
            <w:tcW w:type="dxa" w:w="2160"/>
            <w:vAlign w:val="top"/>
          </w:tcPr>
          <w:p>
            <w:pPr>
              <w:spacing w:after="20"/>
            </w:pPr>
            <w:r>
              <w:rPr>
                <w:sz w:val="16"/>
              </w:rPr>
              <w:t>Paid diagnostic or qualified-entry diagnostic</w:t>
            </w:r>
          </w:p>
        </w:tc>
      </w:tr>
      <w:tr>
        <w:tc>
          <w:tcPr>
            <w:tcW w:type="dxa" w:w="1584"/>
            <w:vAlign w:val="top"/>
            <w:shd w:fill="F2F2F0"/>
          </w:tcPr>
          <w:p>
            <w:pPr>
              <w:spacing w:after="20"/>
            </w:pPr>
            <w:r>
              <w:rPr>
                <w:sz w:val="16"/>
              </w:rPr>
              <w:t>Intervention</w:t>
            </w:r>
          </w:p>
        </w:tc>
        <w:tc>
          <w:tcPr>
            <w:tcW w:type="dxa" w:w="2304"/>
            <w:vAlign w:val="top"/>
            <w:shd w:fill="F2F2F0"/>
          </w:tcPr>
          <w:p>
            <w:pPr>
              <w:spacing w:after="20"/>
            </w:pPr>
            <w:r>
              <w:rPr>
                <w:sz w:val="16"/>
              </w:rPr>
              <w:t>Fix one or more validated constraints</w:t>
            </w:r>
          </w:p>
        </w:tc>
        <w:tc>
          <w:tcPr>
            <w:tcW w:type="dxa" w:w="3456"/>
            <w:vAlign w:val="top"/>
            <w:shd w:fill="F2F2F0"/>
          </w:tcPr>
          <w:p>
            <w:pPr>
              <w:spacing w:after="20"/>
            </w:pPr>
            <w:r>
              <w:rPr>
                <w:sz w:val="16"/>
              </w:rPr>
              <w:t>Sprint / Install / System deployment</w:t>
            </w:r>
          </w:p>
        </w:tc>
        <w:tc>
          <w:tcPr>
            <w:tcW w:type="dxa" w:w="2160"/>
            <w:vAlign w:val="top"/>
            <w:shd w:fill="F2F2F0"/>
          </w:tcPr>
          <w:p>
            <w:pPr>
              <w:spacing w:after="20"/>
            </w:pPr>
            <w:r>
              <w:rPr>
                <w:sz w:val="16"/>
              </w:rPr>
              <w:t>Project revenue</w:t>
            </w:r>
          </w:p>
        </w:tc>
      </w:tr>
      <w:tr>
        <w:tc>
          <w:tcPr>
            <w:tcW w:type="dxa" w:w="1584"/>
            <w:vAlign w:val="top"/>
          </w:tcPr>
          <w:p>
            <w:pPr>
              <w:spacing w:after="20"/>
            </w:pPr>
            <w:r>
              <w:rPr>
                <w:sz w:val="16"/>
              </w:rPr>
              <w:t>Optimization</w:t>
            </w:r>
          </w:p>
        </w:tc>
        <w:tc>
          <w:tcPr>
            <w:tcW w:type="dxa" w:w="2304"/>
            <w:vAlign w:val="top"/>
          </w:tcPr>
          <w:p>
            <w:pPr>
              <w:spacing w:after="20"/>
            </w:pPr>
            <w:r>
              <w:rPr>
                <w:sz w:val="16"/>
              </w:rPr>
              <w:t>Measure, improve, maintain, expand</w:t>
            </w:r>
          </w:p>
        </w:tc>
        <w:tc>
          <w:tcPr>
            <w:tcW w:type="dxa" w:w="3456"/>
            <w:vAlign w:val="top"/>
          </w:tcPr>
          <w:p>
            <w:pPr>
              <w:spacing w:after="20"/>
            </w:pPr>
            <w:r>
              <w:rPr>
                <w:sz w:val="16"/>
              </w:rPr>
              <w:t>Monthly operating cycle</w:t>
            </w:r>
          </w:p>
        </w:tc>
        <w:tc>
          <w:tcPr>
            <w:tcW w:type="dxa" w:w="2160"/>
            <w:vAlign w:val="top"/>
          </w:tcPr>
          <w:p>
            <w:pPr>
              <w:spacing w:after="20"/>
            </w:pPr>
            <w:r>
              <w:rPr>
                <w:sz w:val="16"/>
              </w:rPr>
              <w:t>Recurring revenue</w:t>
            </w:r>
          </w:p>
        </w:tc>
      </w:tr>
      <w:tr>
        <w:tc>
          <w:tcPr>
            <w:tcW w:type="dxa" w:w="1584"/>
            <w:vAlign w:val="top"/>
            <w:shd w:fill="F2F2F0"/>
          </w:tcPr>
          <w:p>
            <w:pPr>
              <w:spacing w:after="20"/>
            </w:pPr>
            <w:r>
              <w:rPr>
                <w:sz w:val="16"/>
              </w:rPr>
              <w:t>Authority</w:t>
            </w:r>
          </w:p>
        </w:tc>
        <w:tc>
          <w:tcPr>
            <w:tcW w:type="dxa" w:w="2304"/>
            <w:vAlign w:val="top"/>
            <w:shd w:fill="F2F2F0"/>
          </w:tcPr>
          <w:p>
            <w:pPr>
              <w:spacing w:after="20"/>
            </w:pPr>
            <w:r>
              <w:rPr>
                <w:sz w:val="16"/>
              </w:rPr>
              <w:t>Turn field evidence into reusable insight</w:t>
            </w:r>
          </w:p>
        </w:tc>
        <w:tc>
          <w:tcPr>
            <w:tcW w:type="dxa" w:w="3456"/>
            <w:vAlign w:val="top"/>
            <w:shd w:fill="F2F2F0"/>
          </w:tcPr>
          <w:p>
            <w:pPr>
              <w:spacing w:after="20"/>
            </w:pPr>
            <w:r>
              <w:rPr>
                <w:sz w:val="16"/>
              </w:rPr>
              <w:t>Case studies, workshops, reports, curriculum</w:t>
            </w:r>
          </w:p>
        </w:tc>
        <w:tc>
          <w:tcPr>
            <w:tcW w:type="dxa" w:w="2160"/>
            <w:vAlign w:val="top"/>
            <w:shd w:fill="F2F2F0"/>
          </w:tcPr>
          <w:p>
            <w:pPr>
              <w:spacing w:after="20"/>
            </w:pPr>
            <w:r>
              <w:rPr>
                <w:sz w:val="16"/>
              </w:rPr>
              <w:t>Institutional contracts / speaking</w:t>
            </w:r>
          </w:p>
        </w:tc>
      </w:tr>
      <w:tr>
        <w:tc>
          <w:tcPr>
            <w:tcW w:type="dxa" w:w="1584"/>
            <w:vAlign w:val="top"/>
          </w:tcPr>
          <w:p>
            <w:pPr>
              <w:spacing w:after="20"/>
            </w:pPr>
            <w:r>
              <w:rPr>
                <w:sz w:val="16"/>
              </w:rPr>
              <w:t>Asset</w:t>
            </w:r>
          </w:p>
        </w:tc>
        <w:tc>
          <w:tcPr>
            <w:tcW w:type="dxa" w:w="2304"/>
            <w:vAlign w:val="top"/>
          </w:tcPr>
          <w:p>
            <w:pPr>
              <w:spacing w:after="20"/>
            </w:pPr>
            <w:r>
              <w:rPr>
                <w:sz w:val="16"/>
              </w:rPr>
              <w:t>Convert repeatable method into owned IP</w:t>
            </w:r>
          </w:p>
        </w:tc>
        <w:tc>
          <w:tcPr>
            <w:tcW w:type="dxa" w:w="3456"/>
            <w:vAlign w:val="top"/>
          </w:tcPr>
          <w:p>
            <w:pPr>
              <w:spacing w:after="20"/>
            </w:pPr>
            <w:r>
              <w:rPr>
                <w:sz w:val="16"/>
              </w:rPr>
              <w:t>Benchmarks, templates, software, licensing</w:t>
            </w:r>
          </w:p>
        </w:tc>
        <w:tc>
          <w:tcPr>
            <w:tcW w:type="dxa" w:w="2160"/>
            <w:vAlign w:val="top"/>
          </w:tcPr>
          <w:p>
            <w:pPr>
              <w:spacing w:after="20"/>
            </w:pPr>
            <w:r>
              <w:rPr>
                <w:sz w:val="16"/>
              </w:rPr>
              <w:t>Enterprise value / licensing / SaaS</w:t>
            </w:r>
          </w:p>
        </w:tc>
      </w:tr>
    </w:tbl>
    <w:p/>
    <w:p>
      <w:pPr>
        <w:pStyle w:val="Heading1"/>
      </w:pPr>
      <w:r>
        <w:t>3. Revenue Spine Commercial Ladder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shd w:fill="171717"/>
            <w:vAlign w:val="center"/>
          </w:tcPr>
          <w:p>
            <w:pPr>
              <w:jc w:val="left"/>
            </w:pPr>
            <w:r>
              <w:rPr>
                <w:b/>
                <w:color w:val="FFFFFF"/>
                <w:sz w:val="17"/>
              </w:rPr>
              <w:t>Offer</w:t>
            </w:r>
          </w:p>
        </w:tc>
        <w:tc>
          <w:tcPr>
            <w:tcW w:type="dxa" w:w="3024"/>
            <w:shd w:fill="171717"/>
            <w:vAlign w:val="center"/>
          </w:tcPr>
          <w:p>
            <w:pPr>
              <w:jc w:val="left"/>
            </w:pPr>
            <w:r>
              <w:rPr>
                <w:b/>
                <w:color w:val="FFFFFF"/>
                <w:sz w:val="17"/>
              </w:rPr>
              <w:t>Job To Be Done</w:t>
            </w:r>
          </w:p>
        </w:tc>
        <w:tc>
          <w:tcPr>
            <w:tcW w:type="dxa" w:w="2448"/>
            <w:shd w:fill="171717"/>
            <w:vAlign w:val="center"/>
          </w:tcPr>
          <w:p>
            <w:pPr>
              <w:jc w:val="left"/>
            </w:pPr>
            <w:r>
              <w:rPr>
                <w:b/>
                <w:color w:val="FFFFFF"/>
                <w:sz w:val="17"/>
              </w:rPr>
              <w:t>Default Buyer</w:t>
            </w:r>
          </w:p>
        </w:tc>
        <w:tc>
          <w:tcPr>
            <w:tcW w:type="dxa" w:w="2016"/>
            <w:shd w:fill="171717"/>
            <w:vAlign w:val="center"/>
          </w:tcPr>
          <w:p>
            <w:pPr>
              <w:jc w:val="left"/>
            </w:pPr>
            <w:r>
              <w:rPr>
                <w:b/>
                <w:color w:val="FFFFFF"/>
                <w:sz w:val="17"/>
              </w:rPr>
              <w:t>Commercial Logic</w:t>
            </w:r>
          </w:p>
        </w:tc>
      </w:tr>
      <w:tr>
        <w:tc>
          <w:tcPr>
            <w:tcW w:type="dxa" w:w="2088"/>
            <w:vAlign w:val="top"/>
          </w:tcPr>
          <w:p>
            <w:pPr>
              <w:spacing w:after="20"/>
            </w:pPr>
            <w:r>
              <w:rPr>
                <w:sz w:val="16"/>
              </w:rPr>
              <w:t>Revenue Spine Diagnostic</w:t>
            </w:r>
          </w:p>
        </w:tc>
        <w:tc>
          <w:tcPr>
            <w:tcW w:type="dxa" w:w="3024"/>
            <w:vAlign w:val="top"/>
          </w:tcPr>
          <w:p>
            <w:pPr>
              <w:spacing w:after="20"/>
            </w:pPr>
            <w:r>
              <w:rPr>
                <w:sz w:val="16"/>
              </w:rPr>
              <w:t>Identify the highest-cost constraint and intervention sequence</w:t>
            </w:r>
          </w:p>
        </w:tc>
        <w:tc>
          <w:tcPr>
            <w:tcW w:type="dxa" w:w="2448"/>
            <w:vAlign w:val="top"/>
          </w:tcPr>
          <w:p>
            <w:pPr>
              <w:spacing w:after="20"/>
            </w:pPr>
            <w:r>
              <w:rPr>
                <w:sz w:val="16"/>
              </w:rPr>
              <w:t>Qualified owner / executive</w:t>
            </w:r>
          </w:p>
        </w:tc>
        <w:tc>
          <w:tcPr>
            <w:tcW w:type="dxa" w:w="2016"/>
            <w:vAlign w:val="top"/>
          </w:tcPr>
          <w:p>
            <w:pPr>
              <w:spacing w:after="20"/>
            </w:pPr>
            <w:r>
              <w:rPr>
                <w:sz w:val="16"/>
              </w:rPr>
              <w:t>Entry point; evidence before prescription</w:t>
            </w:r>
          </w:p>
        </w:tc>
      </w:tr>
      <w:tr>
        <w:tc>
          <w:tcPr>
            <w:tcW w:type="dxa" w:w="2088"/>
            <w:vAlign w:val="top"/>
            <w:shd w:fill="F2F2F0"/>
          </w:tcPr>
          <w:p>
            <w:pPr>
              <w:spacing w:after="20"/>
            </w:pPr>
            <w:r>
              <w:rPr>
                <w:sz w:val="16"/>
              </w:rPr>
              <w:t>Revenue Spine Sprint</w:t>
            </w:r>
          </w:p>
        </w:tc>
        <w:tc>
          <w:tcPr>
            <w:tcW w:type="dxa" w:w="3024"/>
            <w:vAlign w:val="top"/>
            <w:shd w:fill="F2F2F0"/>
          </w:tcPr>
          <w:p>
            <w:pPr>
              <w:spacing w:after="20"/>
            </w:pPr>
            <w:r>
              <w:rPr>
                <w:sz w:val="16"/>
              </w:rPr>
              <w:t>Fix one expensive, bounded leak</w:t>
            </w:r>
          </w:p>
        </w:tc>
        <w:tc>
          <w:tcPr>
            <w:tcW w:type="dxa" w:w="2448"/>
            <w:vAlign w:val="top"/>
            <w:shd w:fill="F2F2F0"/>
          </w:tcPr>
          <w:p>
            <w:pPr>
              <w:spacing w:after="20"/>
            </w:pPr>
            <w:r>
              <w:rPr>
                <w:sz w:val="16"/>
              </w:rPr>
              <w:t>Buyer with one clear constraint</w:t>
            </w:r>
          </w:p>
        </w:tc>
        <w:tc>
          <w:tcPr>
            <w:tcW w:type="dxa" w:w="2016"/>
            <w:vAlign w:val="top"/>
            <w:shd w:fill="F2F2F0"/>
          </w:tcPr>
          <w:p>
            <w:pPr>
              <w:spacing w:after="20"/>
            </w:pPr>
            <w:r>
              <w:rPr>
                <w:sz w:val="16"/>
              </w:rPr>
              <w:t>Fast proof and case-study production</w:t>
            </w:r>
          </w:p>
        </w:tc>
      </w:tr>
      <w:tr>
        <w:tc>
          <w:tcPr>
            <w:tcW w:type="dxa" w:w="2088"/>
            <w:vAlign w:val="top"/>
          </w:tcPr>
          <w:p>
            <w:pPr>
              <w:spacing w:after="20"/>
            </w:pPr>
            <w:r>
              <w:rPr>
                <w:sz w:val="16"/>
              </w:rPr>
              <w:t>Revenue Spine Install</w:t>
            </w:r>
          </w:p>
        </w:tc>
        <w:tc>
          <w:tcPr>
            <w:tcW w:type="dxa" w:w="3024"/>
            <w:vAlign w:val="top"/>
          </w:tcPr>
          <w:p>
            <w:pPr>
              <w:spacing w:after="20"/>
            </w:pPr>
            <w:r>
              <w:rPr>
                <w:sz w:val="16"/>
              </w:rPr>
              <w:t>Install the core conversion / operating infrastructure</w:t>
            </w:r>
          </w:p>
        </w:tc>
        <w:tc>
          <w:tcPr>
            <w:tcW w:type="dxa" w:w="2448"/>
            <w:vAlign w:val="top"/>
          </w:tcPr>
          <w:p>
            <w:pPr>
              <w:spacing w:after="20"/>
            </w:pPr>
            <w:r>
              <w:rPr>
                <w:sz w:val="16"/>
              </w:rPr>
              <w:t>Local service or established service organization</w:t>
            </w:r>
          </w:p>
        </w:tc>
        <w:tc>
          <w:tcPr>
            <w:tcW w:type="dxa" w:w="2016"/>
            <w:vAlign w:val="top"/>
          </w:tcPr>
          <w:p>
            <w:pPr>
              <w:spacing w:after="20"/>
            </w:pPr>
            <w:r>
              <w:rPr>
                <w:sz w:val="16"/>
              </w:rPr>
              <w:t>Primary cash engine</w:t>
            </w:r>
          </w:p>
        </w:tc>
      </w:tr>
      <w:tr>
        <w:tc>
          <w:tcPr>
            <w:tcW w:type="dxa" w:w="2088"/>
            <w:vAlign w:val="top"/>
            <w:shd w:fill="F2F2F0"/>
          </w:tcPr>
          <w:p>
            <w:pPr>
              <w:spacing w:after="20"/>
            </w:pPr>
            <w:r>
              <w:rPr>
                <w:sz w:val="16"/>
              </w:rPr>
              <w:t>Revenue Spine Optimization</w:t>
            </w:r>
          </w:p>
        </w:tc>
        <w:tc>
          <w:tcPr>
            <w:tcW w:type="dxa" w:w="3024"/>
            <w:vAlign w:val="top"/>
            <w:shd w:fill="F2F2F0"/>
          </w:tcPr>
          <w:p>
            <w:pPr>
              <w:spacing w:after="20"/>
            </w:pPr>
            <w:r>
              <w:rPr>
                <w:sz w:val="16"/>
              </w:rPr>
              <w:t>Operate the measurement and improvement loop</w:t>
            </w:r>
          </w:p>
        </w:tc>
        <w:tc>
          <w:tcPr>
            <w:tcW w:type="dxa" w:w="2448"/>
            <w:vAlign w:val="top"/>
            <w:shd w:fill="F2F2F0"/>
          </w:tcPr>
          <w:p>
            <w:pPr>
              <w:spacing w:after="20"/>
            </w:pPr>
            <w:r>
              <w:rPr>
                <w:sz w:val="16"/>
              </w:rPr>
              <w:t>Installed clients</w:t>
            </w:r>
          </w:p>
        </w:tc>
        <w:tc>
          <w:tcPr>
            <w:tcW w:type="dxa" w:w="2016"/>
            <w:vAlign w:val="top"/>
            <w:shd w:fill="F2F2F0"/>
          </w:tcPr>
          <w:p>
            <w:pPr>
              <w:spacing w:after="20"/>
            </w:pPr>
            <w:r>
              <w:rPr>
                <w:sz w:val="16"/>
              </w:rPr>
              <w:t>Recurring revenue and compounding outcomes</w:t>
            </w:r>
          </w:p>
        </w:tc>
      </w:tr>
      <w:tr>
        <w:tc>
          <w:tcPr>
            <w:tcW w:type="dxa" w:w="2088"/>
            <w:vAlign w:val="top"/>
          </w:tcPr>
          <w:p>
            <w:pPr>
              <w:spacing w:after="20"/>
            </w:pPr>
            <w:r>
              <w:rPr>
                <w:sz w:val="16"/>
              </w:rPr>
              <w:t>Revenue Spine Institutional</w:t>
            </w:r>
          </w:p>
        </w:tc>
        <w:tc>
          <w:tcPr>
            <w:tcW w:type="dxa" w:w="3024"/>
            <w:vAlign w:val="top"/>
          </w:tcPr>
          <w:p>
            <w:pPr>
              <w:spacing w:after="20"/>
            </w:pPr>
            <w:r>
              <w:rPr>
                <w:sz w:val="16"/>
              </w:rPr>
              <w:t>Deploy method, training, and implementation across teams</w:t>
            </w:r>
          </w:p>
        </w:tc>
        <w:tc>
          <w:tcPr>
            <w:tcW w:type="dxa" w:w="2448"/>
            <w:vAlign w:val="top"/>
          </w:tcPr>
          <w:p>
            <w:pPr>
              <w:spacing w:after="20"/>
            </w:pPr>
            <w:r>
              <w:rPr>
                <w:sz w:val="16"/>
              </w:rPr>
              <w:t>Associations, nonprofits, schools, multi-team organizations</w:t>
            </w:r>
          </w:p>
        </w:tc>
        <w:tc>
          <w:tcPr>
            <w:tcW w:type="dxa" w:w="2016"/>
            <w:vAlign w:val="top"/>
          </w:tcPr>
          <w:p>
            <w:pPr>
              <w:spacing w:after="20"/>
            </w:pPr>
            <w:r>
              <w:rPr>
                <w:sz w:val="16"/>
              </w:rPr>
              <w:t>Higher-ticket authority + implementation</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OFFER RULE</w:t>
              <w:br/>
            </w:r>
            <w:r>
              <w:rPr>
                <w:color w:val="FFFFFF"/>
                <w:sz w:val="21"/>
              </w:rPr>
              <w:t>Diagnosis determines scope. The sales team may not manipulate the diagnosis to force a preferred package. Custom work is rejected unless it becomes a reusable intervention module or commands premium economics.</w:t>
            </w:r>
          </w:p>
        </w:tc>
      </w:tr>
    </w:tbl>
    <w:p/>
    <w:p>
      <w:pPr>
        <w:pStyle w:val="Heading1"/>
      </w:pPr>
      <w:r>
        <w:t>4. Operating Engines and Priority Stack</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864"/>
            <w:shd w:fill="171717"/>
            <w:vAlign w:val="center"/>
          </w:tcPr>
          <w:p>
            <w:pPr>
              <w:jc w:val="left"/>
            </w:pPr>
            <w:r>
              <w:rPr>
                <w:b/>
                <w:color w:val="FFFFFF"/>
                <w:sz w:val="17"/>
              </w:rPr>
              <w:t>Priority</w:t>
            </w:r>
          </w:p>
        </w:tc>
        <w:tc>
          <w:tcPr>
            <w:tcW w:type="dxa" w:w="2160"/>
            <w:shd w:fill="171717"/>
            <w:vAlign w:val="center"/>
          </w:tcPr>
          <w:p>
            <w:pPr>
              <w:jc w:val="left"/>
            </w:pPr>
            <w:r>
              <w:rPr>
                <w:b/>
                <w:color w:val="FFFFFF"/>
                <w:sz w:val="17"/>
              </w:rPr>
              <w:t>Engine</w:t>
            </w:r>
          </w:p>
        </w:tc>
        <w:tc>
          <w:tcPr>
            <w:tcW w:type="dxa" w:w="3024"/>
            <w:shd w:fill="171717"/>
            <w:vAlign w:val="center"/>
          </w:tcPr>
          <w:p>
            <w:pPr>
              <w:jc w:val="left"/>
            </w:pPr>
            <w:r>
              <w:rPr>
                <w:b/>
                <w:color w:val="FFFFFF"/>
                <w:sz w:val="17"/>
              </w:rPr>
              <w:t>90-Day Job</w:t>
            </w:r>
          </w:p>
        </w:tc>
        <w:tc>
          <w:tcPr>
            <w:tcW w:type="dxa" w:w="2304"/>
            <w:shd w:fill="171717"/>
            <w:vAlign w:val="center"/>
          </w:tcPr>
          <w:p>
            <w:pPr>
              <w:jc w:val="left"/>
            </w:pPr>
            <w:r>
              <w:rPr>
                <w:b/>
                <w:color w:val="FFFFFF"/>
                <w:sz w:val="17"/>
              </w:rPr>
              <w:t>Founder-Only Work</w:t>
            </w:r>
          </w:p>
        </w:tc>
        <w:tc>
          <w:tcPr>
            <w:tcW w:type="dxa" w:w="2448"/>
            <w:shd w:fill="171717"/>
            <w:vAlign w:val="center"/>
          </w:tcPr>
          <w:p>
            <w:pPr>
              <w:jc w:val="left"/>
            </w:pPr>
            <w:r>
              <w:rPr>
                <w:b/>
                <w:color w:val="FFFFFF"/>
                <w:sz w:val="17"/>
              </w:rPr>
              <w:t>Delegate / Systemize</w:t>
            </w:r>
          </w:p>
        </w:tc>
      </w:tr>
      <w:tr>
        <w:tc>
          <w:tcPr>
            <w:tcW w:type="dxa" w:w="864"/>
            <w:vAlign w:val="top"/>
          </w:tcPr>
          <w:p>
            <w:pPr>
              <w:spacing w:after="20"/>
            </w:pPr>
            <w:r>
              <w:rPr>
                <w:sz w:val="16"/>
              </w:rPr>
              <w:t>1</w:t>
            </w:r>
          </w:p>
        </w:tc>
        <w:tc>
          <w:tcPr>
            <w:tcW w:type="dxa" w:w="2160"/>
            <w:vAlign w:val="top"/>
          </w:tcPr>
          <w:p>
            <w:pPr>
              <w:spacing w:after="20"/>
            </w:pPr>
            <w:r>
              <w:rPr>
                <w:sz w:val="16"/>
              </w:rPr>
              <w:t>Revenue Spine Cash Engine</w:t>
            </w:r>
          </w:p>
        </w:tc>
        <w:tc>
          <w:tcPr>
            <w:tcW w:type="dxa" w:w="3024"/>
            <w:vAlign w:val="top"/>
          </w:tcPr>
          <w:p>
            <w:pPr>
              <w:spacing w:after="20"/>
            </w:pPr>
            <w:r>
              <w:rPr>
                <w:sz w:val="16"/>
              </w:rPr>
              <w:t>Prove repeatable diagnostic -&gt; install -&gt; optimization motion</w:t>
            </w:r>
          </w:p>
        </w:tc>
        <w:tc>
          <w:tcPr>
            <w:tcW w:type="dxa" w:w="2304"/>
            <w:vAlign w:val="top"/>
          </w:tcPr>
          <w:p>
            <w:pPr>
              <w:spacing w:after="20"/>
            </w:pPr>
            <w:r>
              <w:rPr>
                <w:sz w:val="16"/>
              </w:rPr>
              <w:t>Diagnosis, selling, offer design, closing, key relationships</w:t>
            </w:r>
          </w:p>
        </w:tc>
        <w:tc>
          <w:tcPr>
            <w:tcW w:type="dxa" w:w="2448"/>
            <w:vAlign w:val="top"/>
          </w:tcPr>
          <w:p>
            <w:pPr>
              <w:spacing w:after="20"/>
            </w:pPr>
            <w:r>
              <w:rPr>
                <w:sz w:val="16"/>
              </w:rPr>
              <w:t>Research, CRM, scheduling, evidence capture, implementation support</w:t>
            </w:r>
          </w:p>
        </w:tc>
      </w:tr>
      <w:tr>
        <w:tc>
          <w:tcPr>
            <w:tcW w:type="dxa" w:w="864"/>
            <w:vAlign w:val="top"/>
            <w:shd w:fill="F2F2F0"/>
          </w:tcPr>
          <w:p>
            <w:pPr>
              <w:spacing w:after="20"/>
            </w:pPr>
            <w:r>
              <w:rPr>
                <w:sz w:val="16"/>
              </w:rPr>
              <w:t>2</w:t>
            </w:r>
          </w:p>
        </w:tc>
        <w:tc>
          <w:tcPr>
            <w:tcW w:type="dxa" w:w="2160"/>
            <w:vAlign w:val="top"/>
            <w:shd w:fill="F2F2F0"/>
          </w:tcPr>
          <w:p>
            <w:pPr>
              <w:spacing w:after="20"/>
            </w:pPr>
            <w:r>
              <w:rPr>
                <w:sz w:val="16"/>
              </w:rPr>
              <w:t>Recurring Revenue</w:t>
            </w:r>
          </w:p>
        </w:tc>
        <w:tc>
          <w:tcPr>
            <w:tcW w:type="dxa" w:w="3024"/>
            <w:vAlign w:val="top"/>
            <w:shd w:fill="F2F2F0"/>
          </w:tcPr>
          <w:p>
            <w:pPr>
              <w:spacing w:after="20"/>
            </w:pPr>
            <w:r>
              <w:rPr>
                <w:sz w:val="16"/>
              </w:rPr>
              <w:t>Attach optimization to completed installs</w:t>
            </w:r>
          </w:p>
        </w:tc>
        <w:tc>
          <w:tcPr>
            <w:tcW w:type="dxa" w:w="2304"/>
            <w:vAlign w:val="top"/>
            <w:shd w:fill="F2F2F0"/>
          </w:tcPr>
          <w:p>
            <w:pPr>
              <w:spacing w:after="20"/>
            </w:pPr>
            <w:r>
              <w:rPr>
                <w:sz w:val="16"/>
              </w:rPr>
              <w:t>Quarterly roadmap, executive review</w:t>
            </w:r>
          </w:p>
        </w:tc>
        <w:tc>
          <w:tcPr>
            <w:tcW w:type="dxa" w:w="2448"/>
            <w:vAlign w:val="top"/>
            <w:shd w:fill="F2F2F0"/>
          </w:tcPr>
          <w:p>
            <w:pPr>
              <w:spacing w:after="20"/>
            </w:pPr>
            <w:r>
              <w:rPr>
                <w:sz w:val="16"/>
              </w:rPr>
              <w:t>Monitoring, reporting, routine maintenance</w:t>
            </w:r>
          </w:p>
        </w:tc>
      </w:tr>
      <w:tr>
        <w:tc>
          <w:tcPr>
            <w:tcW w:type="dxa" w:w="864"/>
            <w:vAlign w:val="top"/>
          </w:tcPr>
          <w:p>
            <w:pPr>
              <w:spacing w:after="20"/>
            </w:pPr>
            <w:r>
              <w:rPr>
                <w:sz w:val="16"/>
              </w:rPr>
              <w:t>3</w:t>
            </w:r>
          </w:p>
        </w:tc>
        <w:tc>
          <w:tcPr>
            <w:tcW w:type="dxa" w:w="2160"/>
            <w:vAlign w:val="top"/>
          </w:tcPr>
          <w:p>
            <w:pPr>
              <w:spacing w:after="20"/>
            </w:pPr>
            <w:r>
              <w:rPr>
                <w:sz w:val="16"/>
              </w:rPr>
              <w:t>Authority / Institutional</w:t>
            </w:r>
          </w:p>
        </w:tc>
        <w:tc>
          <w:tcPr>
            <w:tcW w:type="dxa" w:w="3024"/>
            <w:vAlign w:val="top"/>
          </w:tcPr>
          <w:p>
            <w:pPr>
              <w:spacing w:after="20"/>
            </w:pPr>
            <w:r>
              <w:rPr>
                <w:sz w:val="16"/>
              </w:rPr>
              <w:t>Package field proof into workshops and institutional deployments</w:t>
            </w:r>
          </w:p>
        </w:tc>
        <w:tc>
          <w:tcPr>
            <w:tcW w:type="dxa" w:w="2304"/>
            <w:vAlign w:val="top"/>
          </w:tcPr>
          <w:p>
            <w:pPr>
              <w:spacing w:after="20"/>
            </w:pPr>
            <w:r>
              <w:rPr>
                <w:sz w:val="16"/>
              </w:rPr>
              <w:t>Teaching, key facilitation, executive framing</w:t>
            </w:r>
          </w:p>
        </w:tc>
        <w:tc>
          <w:tcPr>
            <w:tcW w:type="dxa" w:w="2448"/>
            <w:vAlign w:val="top"/>
          </w:tcPr>
          <w:p>
            <w:pPr>
              <w:spacing w:after="20"/>
            </w:pPr>
            <w:r>
              <w:rPr>
                <w:sz w:val="16"/>
              </w:rPr>
              <w:t>Deck production, recap, logistics</w:t>
            </w:r>
          </w:p>
        </w:tc>
      </w:tr>
      <w:tr>
        <w:tc>
          <w:tcPr>
            <w:tcW w:type="dxa" w:w="864"/>
            <w:vAlign w:val="top"/>
            <w:shd w:fill="F2F2F0"/>
          </w:tcPr>
          <w:p>
            <w:pPr>
              <w:spacing w:after="20"/>
            </w:pPr>
            <w:r>
              <w:rPr>
                <w:sz w:val="16"/>
              </w:rPr>
              <w:t>4</w:t>
            </w:r>
          </w:p>
        </w:tc>
        <w:tc>
          <w:tcPr>
            <w:tcW w:type="dxa" w:w="2160"/>
            <w:vAlign w:val="top"/>
            <w:shd w:fill="F2F2F0"/>
          </w:tcPr>
          <w:p>
            <w:pPr>
              <w:spacing w:after="20"/>
            </w:pPr>
            <w:r>
              <w:rPr>
                <w:sz w:val="16"/>
              </w:rPr>
              <w:t>IP / Productization</w:t>
            </w:r>
          </w:p>
        </w:tc>
        <w:tc>
          <w:tcPr>
            <w:tcW w:type="dxa" w:w="3024"/>
            <w:vAlign w:val="top"/>
            <w:shd w:fill="F2F2F0"/>
          </w:tcPr>
          <w:p>
            <w:pPr>
              <w:spacing w:after="20"/>
            </w:pPr>
            <w:r>
              <w:rPr>
                <w:sz w:val="16"/>
              </w:rPr>
              <w:t>Convert repeated interventions into method, templates, and app logic</w:t>
            </w:r>
          </w:p>
        </w:tc>
        <w:tc>
          <w:tcPr>
            <w:tcW w:type="dxa" w:w="2304"/>
            <w:vAlign w:val="top"/>
            <w:shd w:fill="F2F2F0"/>
          </w:tcPr>
          <w:p>
            <w:pPr>
              <w:spacing w:after="20"/>
            </w:pPr>
            <w:r>
              <w:rPr>
                <w:sz w:val="16"/>
              </w:rPr>
              <w:t>Core IP decisions, scoring logic</w:t>
            </w:r>
          </w:p>
        </w:tc>
        <w:tc>
          <w:tcPr>
            <w:tcW w:type="dxa" w:w="2448"/>
            <w:vAlign w:val="top"/>
            <w:shd w:fill="F2F2F0"/>
          </w:tcPr>
          <w:p>
            <w:pPr>
              <w:spacing w:after="20"/>
            </w:pPr>
            <w:r>
              <w:rPr>
                <w:sz w:val="16"/>
              </w:rPr>
              <w:t>Documentation, QA, non-core build</w:t>
            </w:r>
          </w:p>
        </w:tc>
      </w:tr>
      <w:tr>
        <w:tc>
          <w:tcPr>
            <w:tcW w:type="dxa" w:w="864"/>
            <w:vAlign w:val="top"/>
          </w:tcPr>
          <w:p>
            <w:pPr>
              <w:spacing w:after="20"/>
            </w:pPr>
            <w:r>
              <w:rPr>
                <w:sz w:val="16"/>
              </w:rPr>
              <w:t>5</w:t>
            </w:r>
          </w:p>
        </w:tc>
        <w:tc>
          <w:tcPr>
            <w:tcW w:type="dxa" w:w="2160"/>
            <w:vAlign w:val="top"/>
          </w:tcPr>
          <w:p>
            <w:pPr>
              <w:spacing w:after="20"/>
            </w:pPr>
            <w:r>
              <w:rPr>
                <w:sz w:val="16"/>
              </w:rPr>
              <w:t>Distribution / Community</w:t>
            </w:r>
          </w:p>
        </w:tc>
        <w:tc>
          <w:tcPr>
            <w:tcW w:type="dxa" w:w="3024"/>
            <w:vAlign w:val="top"/>
          </w:tcPr>
          <w:p>
            <w:pPr>
              <w:spacing w:after="20"/>
            </w:pPr>
            <w:r>
              <w:rPr>
                <w:sz w:val="16"/>
              </w:rPr>
              <w:t>Create access, relationships, and proof without becoming event staff</w:t>
            </w:r>
          </w:p>
        </w:tc>
        <w:tc>
          <w:tcPr>
            <w:tcW w:type="dxa" w:w="2304"/>
            <w:vAlign w:val="top"/>
          </w:tcPr>
          <w:p>
            <w:pPr>
              <w:spacing w:after="20"/>
            </w:pPr>
            <w:r>
              <w:rPr>
                <w:sz w:val="16"/>
              </w:rPr>
              <w:t>Room-owner relationships, core hosting</w:t>
            </w:r>
          </w:p>
        </w:tc>
        <w:tc>
          <w:tcPr>
            <w:tcW w:type="dxa" w:w="2448"/>
            <w:vAlign w:val="top"/>
          </w:tcPr>
          <w:p>
            <w:pPr>
              <w:spacing w:after="20"/>
            </w:pPr>
            <w:r>
              <w:rPr>
                <w:sz w:val="16"/>
              </w:rPr>
              <w:t>Check-in, reminders, media capture, admin</w:t>
            </w:r>
          </w:p>
        </w:tc>
      </w:tr>
    </w:tbl>
    <w:p/>
    <w:p>
      <w:pPr>
        <w:pStyle w:val="Heading1"/>
      </w:pPr>
      <w:r>
        <w:t>5. Revenue Command System</w:t>
      </w:r>
    </w:p>
    <w:p>
      <w:r>
        <w:t>The company is managed backward from collected-cash targets, not forward from activity volume.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1717"/>
            <w:vAlign w:val="center"/>
          </w:tcPr>
          <w:p>
            <w:pPr>
              <w:jc w:val="left"/>
            </w:pPr>
            <w:r>
              <w:rPr>
                <w:b/>
                <w:color w:val="FFFFFF"/>
                <w:sz w:val="17"/>
              </w:rPr>
              <w:t>Metric</w:t>
            </w:r>
          </w:p>
        </w:tc>
        <w:tc>
          <w:tcPr>
            <w:tcW w:type="dxa" w:w="7200"/>
            <w:shd w:fill="171717"/>
            <w:vAlign w:val="center"/>
          </w:tcPr>
          <w:p>
            <w:pPr>
              <w:jc w:val="left"/>
            </w:pPr>
            <w:r>
              <w:rPr>
                <w:b/>
                <w:color w:val="FFFFFF"/>
                <w:sz w:val="17"/>
              </w:rPr>
              <w:t>Formula / Rule</w:t>
            </w:r>
          </w:p>
        </w:tc>
      </w:tr>
      <w:tr>
        <w:tc>
          <w:tcPr>
            <w:tcW w:type="dxa" w:w="2592"/>
            <w:vAlign w:val="top"/>
          </w:tcPr>
          <w:p>
            <w:pPr>
              <w:spacing w:after="20"/>
            </w:pPr>
            <w:r>
              <w:rPr>
                <w:sz w:val="16"/>
              </w:rPr>
              <w:t>Revenue Gap</w:t>
            </w:r>
          </w:p>
        </w:tc>
        <w:tc>
          <w:tcPr>
            <w:tcW w:type="dxa" w:w="7200"/>
            <w:vAlign w:val="top"/>
          </w:tcPr>
          <w:p>
            <w:pPr>
              <w:spacing w:after="20"/>
            </w:pPr>
            <w:r>
              <w:rPr>
                <w:sz w:val="16"/>
              </w:rPr>
              <w:t>Cash target - collected revenue - contracted near-term collections</w:t>
            </w:r>
          </w:p>
        </w:tc>
      </w:tr>
      <w:tr>
        <w:tc>
          <w:tcPr>
            <w:tcW w:type="dxa" w:w="2592"/>
            <w:vAlign w:val="top"/>
            <w:shd w:fill="F2F2F0"/>
          </w:tcPr>
          <w:p>
            <w:pPr>
              <w:spacing w:after="20"/>
            </w:pPr>
            <w:r>
              <w:rPr>
                <w:sz w:val="16"/>
              </w:rPr>
              <w:t>Required New Revenue</w:t>
            </w:r>
          </w:p>
        </w:tc>
        <w:tc>
          <w:tcPr>
            <w:tcW w:type="dxa" w:w="7200"/>
            <w:vAlign w:val="top"/>
            <w:shd w:fill="F2F2F0"/>
          </w:tcPr>
          <w:p>
            <w:pPr>
              <w:spacing w:after="20"/>
            </w:pPr>
            <w:r>
              <w:rPr>
                <w:sz w:val="16"/>
              </w:rPr>
              <w:t>Revenue gap not covered by contracted work</w:t>
            </w:r>
          </w:p>
        </w:tc>
      </w:tr>
      <w:tr>
        <w:tc>
          <w:tcPr>
            <w:tcW w:type="dxa" w:w="2592"/>
            <w:vAlign w:val="top"/>
          </w:tcPr>
          <w:p>
            <w:pPr>
              <w:spacing w:after="20"/>
            </w:pPr>
            <w:r>
              <w:rPr>
                <w:sz w:val="16"/>
              </w:rPr>
              <w:t>Required Wins</w:t>
            </w:r>
          </w:p>
        </w:tc>
        <w:tc>
          <w:tcPr>
            <w:tcW w:type="dxa" w:w="7200"/>
            <w:vAlign w:val="top"/>
          </w:tcPr>
          <w:p>
            <w:pPr>
              <w:spacing w:after="20"/>
            </w:pPr>
            <w:r>
              <w:rPr>
                <w:sz w:val="16"/>
              </w:rPr>
              <w:t>Required new revenue / expected first-sale revenue</w:t>
            </w:r>
          </w:p>
        </w:tc>
      </w:tr>
      <w:tr>
        <w:tc>
          <w:tcPr>
            <w:tcW w:type="dxa" w:w="2592"/>
            <w:vAlign w:val="top"/>
            <w:shd w:fill="F2F2F0"/>
          </w:tcPr>
          <w:p>
            <w:pPr>
              <w:spacing w:after="20"/>
            </w:pPr>
            <w:r>
              <w:rPr>
                <w:sz w:val="16"/>
              </w:rPr>
              <w:t>Required Proposals</w:t>
            </w:r>
          </w:p>
        </w:tc>
        <w:tc>
          <w:tcPr>
            <w:tcW w:type="dxa" w:w="7200"/>
            <w:vAlign w:val="top"/>
            <w:shd w:fill="F2F2F0"/>
          </w:tcPr>
          <w:p>
            <w:pPr>
              <w:spacing w:after="20"/>
            </w:pPr>
            <w:r>
              <w:rPr>
                <w:sz w:val="16"/>
              </w:rPr>
              <w:t>Required wins / trailing proposal close rate</w:t>
            </w:r>
          </w:p>
        </w:tc>
      </w:tr>
      <w:tr>
        <w:tc>
          <w:tcPr>
            <w:tcW w:type="dxa" w:w="2592"/>
            <w:vAlign w:val="top"/>
          </w:tcPr>
          <w:p>
            <w:pPr>
              <w:spacing w:after="20"/>
            </w:pPr>
            <w:r>
              <w:rPr>
                <w:sz w:val="16"/>
              </w:rPr>
              <w:t>Required Qualified Conversations</w:t>
            </w:r>
          </w:p>
        </w:tc>
        <w:tc>
          <w:tcPr>
            <w:tcW w:type="dxa" w:w="7200"/>
            <w:vAlign w:val="top"/>
          </w:tcPr>
          <w:p>
            <w:pPr>
              <w:spacing w:after="20"/>
            </w:pPr>
            <w:r>
              <w:rPr>
                <w:sz w:val="16"/>
              </w:rPr>
              <w:t>Required proposals / conversation-to-proposal rate</w:t>
            </w:r>
          </w:p>
        </w:tc>
      </w:tr>
      <w:tr>
        <w:tc>
          <w:tcPr>
            <w:tcW w:type="dxa" w:w="2592"/>
            <w:vAlign w:val="top"/>
            <w:shd w:fill="F2F2F0"/>
          </w:tcPr>
          <w:p>
            <w:pPr>
              <w:spacing w:after="20"/>
            </w:pPr>
            <w:r>
              <w:rPr>
                <w:sz w:val="16"/>
              </w:rPr>
              <w:t>Required Qualified Opportunities</w:t>
            </w:r>
          </w:p>
        </w:tc>
        <w:tc>
          <w:tcPr>
            <w:tcW w:type="dxa" w:w="7200"/>
            <w:vAlign w:val="top"/>
            <w:shd w:fill="F2F2F0"/>
          </w:tcPr>
          <w:p>
            <w:pPr>
              <w:spacing w:after="20"/>
            </w:pPr>
            <w:r>
              <w:rPr>
                <w:sz w:val="16"/>
              </w:rPr>
              <w:t>Required conversations / opportunity-to-conversation rate</w:t>
            </w:r>
          </w:p>
        </w:tc>
      </w:tr>
      <w:tr>
        <w:tc>
          <w:tcPr>
            <w:tcW w:type="dxa" w:w="2592"/>
            <w:vAlign w:val="top"/>
          </w:tcPr>
          <w:p>
            <w:pPr>
              <w:spacing w:after="20"/>
            </w:pPr>
            <w:r>
              <w:rPr>
                <w:sz w:val="16"/>
              </w:rPr>
              <w:t>Pipeline Coverage</w:t>
            </w:r>
          </w:p>
        </w:tc>
        <w:tc>
          <w:tcPr>
            <w:tcW w:type="dxa" w:w="7200"/>
            <w:vAlign w:val="top"/>
          </w:tcPr>
          <w:p>
            <w:pPr>
              <w:spacing w:after="20"/>
            </w:pPr>
            <w:r>
              <w:rPr>
                <w:sz w:val="16"/>
              </w:rPr>
              <w:t>Open qualified pipeline / remaining revenue target</w:t>
            </w:r>
          </w:p>
        </w:tc>
      </w:tr>
      <w:tr>
        <w:tc>
          <w:tcPr>
            <w:tcW w:type="dxa" w:w="2592"/>
            <w:vAlign w:val="top"/>
            <w:shd w:fill="F2F2F0"/>
          </w:tcPr>
          <w:p>
            <w:pPr>
              <w:spacing w:after="20"/>
            </w:pPr>
            <w:r>
              <w:rPr>
                <w:sz w:val="16"/>
              </w:rPr>
              <w:t>Founder Load</w:t>
            </w:r>
          </w:p>
        </w:tc>
        <w:tc>
          <w:tcPr>
            <w:tcW w:type="dxa" w:w="7200"/>
            <w:vAlign w:val="top"/>
            <w:shd w:fill="F2F2F0"/>
          </w:tcPr>
          <w:p>
            <w:pPr>
              <w:spacing w:after="20"/>
            </w:pPr>
            <w:r>
              <w:rPr>
                <w:sz w:val="16"/>
              </w:rPr>
              <w:t>Hours of founder-only delivery committed in next 30 days</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COMMAND BEHAVIOR</w:t>
              <w:br/>
            </w:r>
            <w:r>
              <w:rPr>
                <w:color w:val="FFFFFF"/>
                <w:sz w:val="21"/>
              </w:rPr>
              <w:t>The dashboard must issue an executable command when the company is off pace. Example: 'Revenue gap requires 3 additional qualified conversations this week.' It must not merely report historical numbers.</w:t>
            </w:r>
          </w:p>
        </w:tc>
      </w:tr>
    </w:tbl>
    <w:p/>
    <w:p>
      <w:pPr>
        <w:pStyle w:val="Heading1"/>
      </w:pPr>
      <w:r>
        <w:t>6. Sales State Machine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1717"/>
            <w:vAlign w:val="center"/>
          </w:tcPr>
          <w:p>
            <w:pPr>
              <w:jc w:val="left"/>
            </w:pPr>
            <w:r>
              <w:rPr>
                <w:b/>
                <w:color w:val="FFFFFF"/>
                <w:sz w:val="17"/>
              </w:rPr>
              <w:t>Stage</w:t>
            </w:r>
          </w:p>
        </w:tc>
        <w:tc>
          <w:tcPr>
            <w:tcW w:type="dxa" w:w="4464"/>
            <w:shd w:fill="171717"/>
            <w:vAlign w:val="center"/>
          </w:tcPr>
          <w:p>
            <w:pPr>
              <w:jc w:val="left"/>
            </w:pPr>
            <w:r>
              <w:rPr>
                <w:b/>
                <w:color w:val="FFFFFF"/>
                <w:sz w:val="17"/>
              </w:rPr>
              <w:t>Exit Criterion</w:t>
            </w:r>
          </w:p>
        </w:tc>
        <w:tc>
          <w:tcPr>
            <w:tcW w:type="dxa" w:w="3888"/>
            <w:shd w:fill="171717"/>
            <w:vAlign w:val="center"/>
          </w:tcPr>
          <w:p>
            <w:pPr>
              <w:jc w:val="left"/>
            </w:pPr>
            <w:r>
              <w:rPr>
                <w:b/>
                <w:color w:val="FFFFFF"/>
                <w:sz w:val="17"/>
              </w:rPr>
              <w:t>Required Artifact</w:t>
            </w:r>
          </w:p>
        </w:tc>
      </w:tr>
      <w:tr>
        <w:tc>
          <w:tcPr>
            <w:tcW w:type="dxa" w:w="1440"/>
            <w:vAlign w:val="top"/>
          </w:tcPr>
          <w:p>
            <w:pPr>
              <w:spacing w:after="20"/>
            </w:pPr>
            <w:r>
              <w:rPr>
                <w:sz w:val="16"/>
              </w:rPr>
              <w:t>Target</w:t>
            </w:r>
          </w:p>
        </w:tc>
        <w:tc>
          <w:tcPr>
            <w:tcW w:type="dxa" w:w="4464"/>
            <w:vAlign w:val="top"/>
          </w:tcPr>
          <w:p>
            <w:pPr>
              <w:spacing w:after="20"/>
            </w:pPr>
            <w:r>
              <w:rPr>
                <w:sz w:val="16"/>
              </w:rPr>
              <w:t>ICP fit identified</w:t>
            </w:r>
          </w:p>
        </w:tc>
        <w:tc>
          <w:tcPr>
            <w:tcW w:type="dxa" w:w="3888"/>
            <w:vAlign w:val="top"/>
          </w:tcPr>
          <w:p>
            <w:pPr>
              <w:spacing w:after="20"/>
            </w:pPr>
            <w:r>
              <w:rPr>
                <w:sz w:val="16"/>
              </w:rPr>
              <w:t>Account hypothesis</w:t>
            </w:r>
          </w:p>
        </w:tc>
      </w:tr>
      <w:tr>
        <w:tc>
          <w:tcPr>
            <w:tcW w:type="dxa" w:w="1440"/>
            <w:vAlign w:val="top"/>
            <w:shd w:fill="F2F2F0"/>
          </w:tcPr>
          <w:p>
            <w:pPr>
              <w:spacing w:after="20"/>
            </w:pPr>
            <w:r>
              <w:rPr>
                <w:sz w:val="16"/>
              </w:rPr>
              <w:t>Contacted</w:t>
            </w:r>
          </w:p>
        </w:tc>
        <w:tc>
          <w:tcPr>
            <w:tcW w:type="dxa" w:w="4464"/>
            <w:vAlign w:val="top"/>
            <w:shd w:fill="F2F2F0"/>
          </w:tcPr>
          <w:p>
            <w:pPr>
              <w:spacing w:after="20"/>
            </w:pPr>
            <w:r>
              <w:rPr>
                <w:sz w:val="16"/>
              </w:rPr>
              <w:t>Decision-maker reached or warm path established</w:t>
            </w:r>
          </w:p>
        </w:tc>
        <w:tc>
          <w:tcPr>
            <w:tcW w:type="dxa" w:w="3888"/>
            <w:vAlign w:val="top"/>
            <w:shd w:fill="F2F2F0"/>
          </w:tcPr>
          <w:p>
            <w:pPr>
              <w:spacing w:after="20"/>
            </w:pPr>
            <w:r>
              <w:rPr>
                <w:sz w:val="16"/>
              </w:rPr>
              <w:t>Contact record</w:t>
            </w:r>
          </w:p>
        </w:tc>
      </w:tr>
      <w:tr>
        <w:tc>
          <w:tcPr>
            <w:tcW w:type="dxa" w:w="1440"/>
            <w:vAlign w:val="top"/>
          </w:tcPr>
          <w:p>
            <w:pPr>
              <w:spacing w:after="20"/>
            </w:pPr>
            <w:r>
              <w:rPr>
                <w:sz w:val="16"/>
              </w:rPr>
              <w:t>Conversation</w:t>
            </w:r>
          </w:p>
        </w:tc>
        <w:tc>
          <w:tcPr>
            <w:tcW w:type="dxa" w:w="4464"/>
            <w:vAlign w:val="top"/>
          </w:tcPr>
          <w:p>
            <w:pPr>
              <w:spacing w:after="20"/>
            </w:pPr>
            <w:r>
              <w:rPr>
                <w:sz w:val="16"/>
              </w:rPr>
              <w:t>Business problem confirmed</w:t>
            </w:r>
          </w:p>
        </w:tc>
        <w:tc>
          <w:tcPr>
            <w:tcW w:type="dxa" w:w="3888"/>
            <w:vAlign w:val="top"/>
          </w:tcPr>
          <w:p>
            <w:pPr>
              <w:spacing w:after="20"/>
            </w:pPr>
            <w:r>
              <w:rPr>
                <w:sz w:val="16"/>
              </w:rPr>
              <w:t>Discovery notes</w:t>
            </w:r>
          </w:p>
        </w:tc>
      </w:tr>
      <w:tr>
        <w:tc>
          <w:tcPr>
            <w:tcW w:type="dxa" w:w="1440"/>
            <w:vAlign w:val="top"/>
            <w:shd w:fill="F2F2F0"/>
          </w:tcPr>
          <w:p>
            <w:pPr>
              <w:spacing w:after="20"/>
            </w:pPr>
            <w:r>
              <w:rPr>
                <w:sz w:val="16"/>
              </w:rPr>
              <w:t>Qualified</w:t>
            </w:r>
          </w:p>
        </w:tc>
        <w:tc>
          <w:tcPr>
            <w:tcW w:type="dxa" w:w="4464"/>
            <w:vAlign w:val="top"/>
            <w:shd w:fill="F2F2F0"/>
          </w:tcPr>
          <w:p>
            <w:pPr>
              <w:spacing w:after="20"/>
            </w:pPr>
            <w:r>
              <w:rPr>
                <w:sz w:val="16"/>
              </w:rPr>
              <w:t>Authority, pain, urgency, ability to proceed verified</w:t>
            </w:r>
          </w:p>
        </w:tc>
        <w:tc>
          <w:tcPr>
            <w:tcW w:type="dxa" w:w="3888"/>
            <w:vAlign w:val="top"/>
            <w:shd w:fill="F2F2F0"/>
          </w:tcPr>
          <w:p>
            <w:pPr>
              <w:spacing w:after="20"/>
            </w:pPr>
            <w:r>
              <w:rPr>
                <w:sz w:val="16"/>
              </w:rPr>
              <w:t>Qualification record</w:t>
            </w:r>
          </w:p>
        </w:tc>
      </w:tr>
      <w:tr>
        <w:tc>
          <w:tcPr>
            <w:tcW w:type="dxa" w:w="1440"/>
            <w:vAlign w:val="top"/>
          </w:tcPr>
          <w:p>
            <w:pPr>
              <w:spacing w:after="20"/>
            </w:pPr>
            <w:r>
              <w:rPr>
                <w:sz w:val="16"/>
              </w:rPr>
              <w:t>Diagnostic</w:t>
            </w:r>
          </w:p>
        </w:tc>
        <w:tc>
          <w:tcPr>
            <w:tcW w:type="dxa" w:w="4464"/>
            <w:vAlign w:val="top"/>
          </w:tcPr>
          <w:p>
            <w:pPr>
              <w:spacing w:after="20"/>
            </w:pPr>
            <w:r>
              <w:rPr>
                <w:sz w:val="16"/>
              </w:rPr>
              <w:t>Evidence gathered and scored</w:t>
            </w:r>
          </w:p>
        </w:tc>
        <w:tc>
          <w:tcPr>
            <w:tcW w:type="dxa" w:w="3888"/>
            <w:vAlign w:val="top"/>
          </w:tcPr>
          <w:p>
            <w:pPr>
              <w:spacing w:after="20"/>
            </w:pPr>
            <w:r>
              <w:rPr>
                <w:sz w:val="16"/>
              </w:rPr>
              <w:t>Diagnostic report</w:t>
            </w:r>
          </w:p>
        </w:tc>
      </w:tr>
      <w:tr>
        <w:tc>
          <w:tcPr>
            <w:tcW w:type="dxa" w:w="1440"/>
            <w:vAlign w:val="top"/>
            <w:shd w:fill="F2F2F0"/>
          </w:tcPr>
          <w:p>
            <w:pPr>
              <w:spacing w:after="20"/>
            </w:pPr>
            <w:r>
              <w:rPr>
                <w:sz w:val="16"/>
              </w:rPr>
              <w:t>Prescription</w:t>
            </w:r>
          </w:p>
        </w:tc>
        <w:tc>
          <w:tcPr>
            <w:tcW w:type="dxa" w:w="4464"/>
            <w:vAlign w:val="top"/>
            <w:shd w:fill="F2F2F0"/>
          </w:tcPr>
          <w:p>
            <w:pPr>
              <w:spacing w:after="20"/>
            </w:pPr>
            <w:r>
              <w:rPr>
                <w:sz w:val="16"/>
              </w:rPr>
              <w:t>Intervention and scope mapped to evidence</w:t>
            </w:r>
          </w:p>
        </w:tc>
        <w:tc>
          <w:tcPr>
            <w:tcW w:type="dxa" w:w="3888"/>
            <w:vAlign w:val="top"/>
            <w:shd w:fill="F2F2F0"/>
          </w:tcPr>
          <w:p>
            <w:pPr>
              <w:spacing w:after="20"/>
            </w:pPr>
            <w:r>
              <w:rPr>
                <w:sz w:val="16"/>
              </w:rPr>
              <w:t>Prescription</w:t>
            </w:r>
          </w:p>
        </w:tc>
      </w:tr>
      <w:tr>
        <w:tc>
          <w:tcPr>
            <w:tcW w:type="dxa" w:w="1440"/>
            <w:vAlign w:val="top"/>
          </w:tcPr>
          <w:p>
            <w:pPr>
              <w:spacing w:after="20"/>
            </w:pPr>
            <w:r>
              <w:rPr>
                <w:sz w:val="16"/>
              </w:rPr>
              <w:t>Proposal</w:t>
            </w:r>
          </w:p>
        </w:tc>
        <w:tc>
          <w:tcPr>
            <w:tcW w:type="dxa" w:w="4464"/>
            <w:vAlign w:val="top"/>
          </w:tcPr>
          <w:p>
            <w:pPr>
              <w:spacing w:after="20"/>
            </w:pPr>
            <w:r>
              <w:rPr>
                <w:sz w:val="16"/>
              </w:rPr>
              <w:t>Commercial terms presented</w:t>
            </w:r>
          </w:p>
        </w:tc>
        <w:tc>
          <w:tcPr>
            <w:tcW w:type="dxa" w:w="3888"/>
            <w:vAlign w:val="top"/>
          </w:tcPr>
          <w:p>
            <w:pPr>
              <w:spacing w:after="20"/>
            </w:pPr>
            <w:r>
              <w:rPr>
                <w:sz w:val="16"/>
              </w:rPr>
              <w:t>Proposal / agreement</w:t>
            </w:r>
          </w:p>
        </w:tc>
      </w:tr>
      <w:tr>
        <w:tc>
          <w:tcPr>
            <w:tcW w:type="dxa" w:w="1440"/>
            <w:vAlign w:val="top"/>
            <w:shd w:fill="F2F2F0"/>
          </w:tcPr>
          <w:p>
            <w:pPr>
              <w:spacing w:after="20"/>
            </w:pPr>
            <w:r>
              <w:rPr>
                <w:sz w:val="16"/>
              </w:rPr>
              <w:t>Decision</w:t>
            </w:r>
          </w:p>
        </w:tc>
        <w:tc>
          <w:tcPr>
            <w:tcW w:type="dxa" w:w="4464"/>
            <w:vAlign w:val="top"/>
            <w:shd w:fill="F2F2F0"/>
          </w:tcPr>
          <w:p>
            <w:pPr>
              <w:spacing w:after="20"/>
            </w:pPr>
            <w:r>
              <w:rPr>
                <w:sz w:val="16"/>
              </w:rPr>
              <w:t>Won, lost, deferred with date, or disqualified</w:t>
            </w:r>
          </w:p>
        </w:tc>
        <w:tc>
          <w:tcPr>
            <w:tcW w:type="dxa" w:w="3888"/>
            <w:vAlign w:val="top"/>
            <w:shd w:fill="F2F2F0"/>
          </w:tcPr>
          <w:p>
            <w:pPr>
              <w:spacing w:after="20"/>
            </w:pPr>
            <w:r>
              <w:rPr>
                <w:sz w:val="16"/>
              </w:rPr>
              <w:t>Decision record</w:t>
            </w:r>
          </w:p>
        </w:tc>
      </w:tr>
      <w:tr>
        <w:tc>
          <w:tcPr>
            <w:tcW w:type="dxa" w:w="1440"/>
            <w:vAlign w:val="top"/>
          </w:tcPr>
          <w:p>
            <w:pPr>
              <w:spacing w:after="20"/>
            </w:pPr>
            <w:r>
              <w:rPr>
                <w:sz w:val="16"/>
              </w:rPr>
              <w:t>Payment</w:t>
            </w:r>
          </w:p>
        </w:tc>
        <w:tc>
          <w:tcPr>
            <w:tcW w:type="dxa" w:w="4464"/>
            <w:vAlign w:val="top"/>
          </w:tcPr>
          <w:p>
            <w:pPr>
              <w:spacing w:after="20"/>
            </w:pPr>
            <w:r>
              <w:rPr>
                <w:sz w:val="16"/>
              </w:rPr>
              <w:t>Deposit / initial payment collected</w:t>
            </w:r>
          </w:p>
        </w:tc>
        <w:tc>
          <w:tcPr>
            <w:tcW w:type="dxa" w:w="3888"/>
            <w:vAlign w:val="top"/>
          </w:tcPr>
          <w:p>
            <w:pPr>
              <w:spacing w:after="20"/>
            </w:pPr>
            <w:r>
              <w:rPr>
                <w:sz w:val="16"/>
              </w:rPr>
              <w:t>Payment confirmation</w:t>
            </w:r>
          </w:p>
        </w:tc>
      </w:tr>
      <w:tr>
        <w:tc>
          <w:tcPr>
            <w:tcW w:type="dxa" w:w="1440"/>
            <w:vAlign w:val="top"/>
            <w:shd w:fill="F2F2F0"/>
          </w:tcPr>
          <w:p>
            <w:pPr>
              <w:spacing w:after="20"/>
            </w:pPr>
            <w:r>
              <w:rPr>
                <w:sz w:val="16"/>
              </w:rPr>
              <w:t>Install</w:t>
            </w:r>
          </w:p>
        </w:tc>
        <w:tc>
          <w:tcPr>
            <w:tcW w:type="dxa" w:w="4464"/>
            <w:vAlign w:val="top"/>
            <w:shd w:fill="F2F2F0"/>
          </w:tcPr>
          <w:p>
            <w:pPr>
              <w:spacing w:after="20"/>
            </w:pPr>
            <w:r>
              <w:rPr>
                <w:sz w:val="16"/>
              </w:rPr>
              <w:t>Purchased intervention activated</w:t>
            </w:r>
          </w:p>
        </w:tc>
        <w:tc>
          <w:tcPr>
            <w:tcW w:type="dxa" w:w="3888"/>
            <w:vAlign w:val="top"/>
            <w:shd w:fill="F2F2F0"/>
          </w:tcPr>
          <w:p>
            <w:pPr>
              <w:spacing w:after="20"/>
            </w:pPr>
            <w:r>
              <w:rPr>
                <w:sz w:val="16"/>
              </w:rPr>
              <w:t>Install plan</w:t>
            </w:r>
          </w:p>
        </w:tc>
      </w:tr>
      <w:tr>
        <w:tc>
          <w:tcPr>
            <w:tcW w:type="dxa" w:w="1440"/>
            <w:vAlign w:val="top"/>
          </w:tcPr>
          <w:p>
            <w:pPr>
              <w:spacing w:after="20"/>
            </w:pPr>
            <w:r>
              <w:rPr>
                <w:sz w:val="16"/>
              </w:rPr>
              <w:t>Outcome</w:t>
            </w:r>
          </w:p>
        </w:tc>
        <w:tc>
          <w:tcPr>
            <w:tcW w:type="dxa" w:w="4464"/>
            <w:vAlign w:val="top"/>
          </w:tcPr>
          <w:p>
            <w:pPr>
              <w:spacing w:after="20"/>
            </w:pPr>
            <w:r>
              <w:rPr>
                <w:sz w:val="16"/>
              </w:rPr>
              <w:t>Baseline vs post-install measurement captured</w:t>
            </w:r>
          </w:p>
        </w:tc>
        <w:tc>
          <w:tcPr>
            <w:tcW w:type="dxa" w:w="3888"/>
            <w:vAlign w:val="top"/>
          </w:tcPr>
          <w:p>
            <w:pPr>
              <w:spacing w:after="20"/>
            </w:pPr>
            <w:r>
              <w:rPr>
                <w:sz w:val="16"/>
              </w:rPr>
              <w:t>Outcome record</w:t>
            </w:r>
          </w:p>
        </w:tc>
      </w:tr>
      <w:tr>
        <w:tc>
          <w:tcPr>
            <w:tcW w:type="dxa" w:w="1440"/>
            <w:vAlign w:val="top"/>
            <w:shd w:fill="F2F2F0"/>
          </w:tcPr>
          <w:p>
            <w:pPr>
              <w:spacing w:after="20"/>
            </w:pPr>
            <w:r>
              <w:rPr>
                <w:sz w:val="16"/>
              </w:rPr>
              <w:t>Optimization</w:t>
            </w:r>
          </w:p>
        </w:tc>
        <w:tc>
          <w:tcPr>
            <w:tcW w:type="dxa" w:w="4464"/>
            <w:vAlign w:val="top"/>
            <w:shd w:fill="F2F2F0"/>
          </w:tcPr>
          <w:p>
            <w:pPr>
              <w:spacing w:after="20"/>
            </w:pPr>
            <w:r>
              <w:rPr>
                <w:sz w:val="16"/>
              </w:rPr>
              <w:t>Recurring improvement cycle active</w:t>
            </w:r>
          </w:p>
        </w:tc>
        <w:tc>
          <w:tcPr>
            <w:tcW w:type="dxa" w:w="3888"/>
            <w:vAlign w:val="top"/>
            <w:shd w:fill="F2F2F0"/>
          </w:tcPr>
          <w:p>
            <w:pPr>
              <w:spacing w:after="20"/>
            </w:pPr>
            <w:r>
              <w:rPr>
                <w:sz w:val="16"/>
              </w:rPr>
              <w:t>Optimization plan</w:t>
            </w:r>
          </w:p>
        </w:tc>
      </w:tr>
    </w:tbl>
    <w:p/>
    <w:p>
      <w:pPr>
        <w:pStyle w:val="Heading1"/>
      </w:pPr>
      <w:r>
        <w:t>7. Delivery and Learning Loop</w:t>
      </w:r>
    </w:p>
    <w:p>
      <w:pPr>
        <w:pStyle w:val="ListNumber"/>
        <w:spacing w:after="40"/>
      </w:pPr>
      <w:r>
        <w:t>Capture baseline evidence and operating metrics before implementation.</w:t>
      </w:r>
    </w:p>
    <w:p>
      <w:pPr>
        <w:pStyle w:val="ListNumber"/>
        <w:spacing w:after="40"/>
      </w:pPr>
      <w:r>
        <w:t>Install only the interventions included in the prescription.</w:t>
      </w:r>
    </w:p>
    <w:p>
      <w:pPr>
        <w:pStyle w:val="ListNumber"/>
        <w:spacing w:after="40"/>
      </w:pPr>
      <w:r>
        <w:t>Run QA against scope, evidence, and launch requirements.</w:t>
      </w:r>
    </w:p>
    <w:p>
      <w:pPr>
        <w:pStyle w:val="ListNumber"/>
        <w:spacing w:after="40"/>
      </w:pPr>
      <w:r>
        <w:t>Record launch state and first measurable operating changes.</w:t>
      </w:r>
    </w:p>
    <w:p>
      <w:pPr>
        <w:pStyle w:val="ListNumber"/>
        <w:spacing w:after="40"/>
      </w:pPr>
      <w:r>
        <w:t>At 30 days, compare baseline, current state, and target state.</w:t>
      </w:r>
    </w:p>
    <w:p>
      <w:pPr>
        <w:pStyle w:val="ListNumber"/>
        <w:spacing w:after="40"/>
      </w:pPr>
      <w:r>
        <w:t>Classify what improved, what did not, and what cannot yet be determined.</w:t>
      </w:r>
    </w:p>
    <w:p>
      <w:pPr>
        <w:pStyle w:val="ListNumber"/>
        <w:spacing w:after="40"/>
      </w:pPr>
      <w:r>
        <w:t>Convert verified outcomes into case-study data, benchmark data, and better intervention rules.</w:t>
      </w:r>
    </w:p>
    <w:p>
      <w:pPr>
        <w:pStyle w:val="ListNumber"/>
        <w:spacing w:after="40"/>
      </w:pPr>
      <w:r>
        <w:t>Feed learnings back into the diagnostic framework without overwriting historical versions.</w:t>
      </w:r>
    </w:p>
    <w:p>
      <w:pPr>
        <w:pStyle w:val="Heading1"/>
      </w:pPr>
      <w:r>
        <w:t>8. Founder Capacity Locks</w:t>
      </w:r>
    </w:p>
    <w:p>
      <w:pPr>
        <w:pStyle w:val="ListBullet"/>
        <w:spacing w:after="40"/>
      </w:pPr>
      <w:r>
        <w:t>Founder attention, not calendar capacity, is the binding constraint.</w:t>
      </w:r>
    </w:p>
    <w:p>
      <w:pPr>
        <w:pStyle w:val="ListBullet"/>
        <w:spacing w:after="40"/>
      </w:pPr>
      <w:r>
        <w:t>Prime founder time is reserved for selling, diagnosis, closing, product architecture, teaching/facilitation, and key relationships.</w:t>
      </w:r>
    </w:p>
    <w:p>
      <w:pPr>
        <w:pStyle w:val="ListBullet"/>
        <w:spacing w:after="40"/>
      </w:pPr>
      <w:r>
        <w:t>No new service is added before delivery for the current stack is standardized or delegated.</w:t>
      </w:r>
    </w:p>
    <w:p>
      <w:pPr>
        <w:pStyle w:val="ListBullet"/>
        <w:spacing w:after="40"/>
      </w:pPr>
      <w:r>
        <w:t>Low-ticket custom creative work is killed unless it directly supports a Revenue Spine engagement.</w:t>
      </w:r>
    </w:p>
    <w:p>
      <w:pPr>
        <w:pStyle w:val="ListBullet"/>
        <w:spacing w:after="40"/>
      </w:pPr>
      <w:r>
        <w:t>One strong month is not proof of durable enterprise economics.</w:t>
      </w:r>
    </w:p>
    <w:p>
      <w:pPr>
        <w:pStyle w:val="ListBullet"/>
        <w:spacing w:after="40"/>
      </w:pPr>
      <w:r>
        <w:t>Collected revenue, booked revenue, recurring revenue, gross margin, and founder delivery hours are tracked separately.</w:t>
      </w:r>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CAPACITY TRIGGER</w:t>
              <w:br/>
            </w:r>
            <w:r>
              <w:rPr>
                <w:color w:val="FFFFFF"/>
                <w:sz w:val="21"/>
              </w:rPr>
              <w:t>Delegate before adding offers. If founder-only delivery exceeds the defined weekly cap for two consecutive weeks, new service design freezes until capacity is restored.</w:t>
            </w:r>
          </w:p>
        </w:tc>
      </w:tr>
    </w:tbl>
    <w:p/>
    <w:p>
      <w:pPr>
        <w:pStyle w:val="Heading1"/>
      </w:pPr>
      <w:r>
        <w:t>9. 90-Day Operating Rhythm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shd w:fill="171717"/>
            <w:vAlign w:val="center"/>
          </w:tcPr>
          <w:p>
            <w:pPr>
              <w:jc w:val="left"/>
            </w:pPr>
            <w:r>
              <w:rPr>
                <w:b/>
                <w:color w:val="FFFFFF"/>
                <w:sz w:val="17"/>
              </w:rPr>
              <w:t>Cadence</w:t>
            </w:r>
          </w:p>
        </w:tc>
        <w:tc>
          <w:tcPr>
            <w:tcW w:type="dxa" w:w="8208"/>
            <w:shd w:fill="171717"/>
            <w:vAlign w:val="center"/>
          </w:tcPr>
          <w:p>
            <w:pPr>
              <w:jc w:val="left"/>
            </w:pPr>
            <w:r>
              <w:rPr>
                <w:b/>
                <w:color w:val="FFFFFF"/>
                <w:sz w:val="17"/>
              </w:rPr>
              <w:t>Command</w:t>
            </w:r>
          </w:p>
        </w:tc>
      </w:tr>
      <w:tr>
        <w:tc>
          <w:tcPr>
            <w:tcW w:type="dxa" w:w="1584"/>
            <w:vAlign w:val="top"/>
          </w:tcPr>
          <w:p>
            <w:pPr>
              <w:spacing w:after="20"/>
            </w:pPr>
            <w:r>
              <w:rPr>
                <w:sz w:val="16"/>
              </w:rPr>
              <w:t>Daily</w:t>
            </w:r>
          </w:p>
        </w:tc>
        <w:tc>
          <w:tcPr>
            <w:tcW w:type="dxa" w:w="8208"/>
            <w:vAlign w:val="top"/>
          </w:tcPr>
          <w:p>
            <w:pPr>
              <w:spacing w:after="20"/>
            </w:pPr>
            <w:r>
              <w:rPr>
                <w:sz w:val="16"/>
              </w:rPr>
              <w:t>Record cash collected, next decision on every live deal, and top revenue action.</w:t>
            </w:r>
          </w:p>
        </w:tc>
      </w:tr>
      <w:tr>
        <w:tc>
          <w:tcPr>
            <w:tcW w:type="dxa" w:w="1584"/>
            <w:vAlign w:val="top"/>
            <w:shd w:fill="F2F2F0"/>
          </w:tcPr>
          <w:p>
            <w:pPr>
              <w:spacing w:after="20"/>
            </w:pPr>
            <w:r>
              <w:rPr>
                <w:sz w:val="16"/>
              </w:rPr>
              <w:t>Weekly</w:t>
            </w:r>
          </w:p>
        </w:tc>
        <w:tc>
          <w:tcPr>
            <w:tcW w:type="dxa" w:w="8208"/>
            <w:vAlign w:val="top"/>
            <w:shd w:fill="F2F2F0"/>
          </w:tcPr>
          <w:p>
            <w:pPr>
              <w:spacing w:after="20"/>
            </w:pPr>
            <w:r>
              <w:rPr>
                <w:sz w:val="16"/>
              </w:rPr>
              <w:t>Review pipeline, revenue gap, qualified opportunities, proposals, wins/losses, founder load, and one product learning.</w:t>
            </w:r>
          </w:p>
        </w:tc>
      </w:tr>
      <w:tr>
        <w:tc>
          <w:tcPr>
            <w:tcW w:type="dxa" w:w="1584"/>
            <w:vAlign w:val="top"/>
          </w:tcPr>
          <w:p>
            <w:pPr>
              <w:spacing w:after="20"/>
            </w:pPr>
            <w:r>
              <w:rPr>
                <w:sz w:val="16"/>
              </w:rPr>
              <w:t>Monthly</w:t>
            </w:r>
          </w:p>
        </w:tc>
        <w:tc>
          <w:tcPr>
            <w:tcW w:type="dxa" w:w="8208"/>
            <w:vAlign w:val="top"/>
          </w:tcPr>
          <w:p>
            <w:pPr>
              <w:spacing w:after="20"/>
            </w:pPr>
            <w:r>
              <w:rPr>
                <w:sz w:val="16"/>
              </w:rPr>
              <w:t>Reforecast cash, inspect offer economics, retainer attachment, delivery cycle time, and proof created.</w:t>
            </w:r>
          </w:p>
        </w:tc>
      </w:tr>
      <w:tr>
        <w:tc>
          <w:tcPr>
            <w:tcW w:type="dxa" w:w="1584"/>
            <w:vAlign w:val="top"/>
            <w:shd w:fill="F2F2F0"/>
          </w:tcPr>
          <w:p>
            <w:pPr>
              <w:spacing w:after="20"/>
            </w:pPr>
            <w:r>
              <w:rPr>
                <w:sz w:val="16"/>
              </w:rPr>
              <w:t>Quarterly</w:t>
            </w:r>
          </w:p>
        </w:tc>
        <w:tc>
          <w:tcPr>
            <w:tcW w:type="dxa" w:w="8208"/>
            <w:vAlign w:val="top"/>
            <w:shd w:fill="F2F2F0"/>
          </w:tcPr>
          <w:p>
            <w:pPr>
              <w:spacing w:after="20"/>
            </w:pPr>
            <w:r>
              <w:rPr>
                <w:sz w:val="16"/>
              </w:rPr>
              <w:t>Decide DOUBLE / TWEAK / PAUSE / KILL for each offer, channel, and intervention module.</w:t>
            </w:r>
          </w:p>
        </w:tc>
      </w:tr>
    </w:tbl>
    <w:p/>
    <w:p>
      <w:pPr>
        <w:pStyle w:val="Heading1"/>
      </w:pPr>
      <w:r>
        <w:t>10. Decision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1717"/>
            <w:vAlign w:val="center"/>
          </w:tcPr>
          <w:p>
            <w:pPr>
              <w:jc w:val="left"/>
            </w:pPr>
            <w:r>
              <w:rPr>
                <w:b/>
                <w:color w:val="FFFFFF"/>
                <w:sz w:val="17"/>
              </w:rPr>
              <w:t>Question</w:t>
            </w:r>
          </w:p>
        </w:tc>
        <w:tc>
          <w:tcPr>
            <w:tcW w:type="dxa" w:w="6768"/>
            <w:shd w:fill="171717"/>
            <w:vAlign w:val="center"/>
          </w:tcPr>
          <w:p>
            <w:pPr>
              <w:jc w:val="left"/>
            </w:pPr>
            <w:r>
              <w:rPr>
                <w:b/>
                <w:color w:val="FFFFFF"/>
                <w:sz w:val="17"/>
              </w:rPr>
              <w:t>Decision Rule</w:t>
            </w:r>
          </w:p>
        </w:tc>
      </w:tr>
      <w:tr>
        <w:tc>
          <w:tcPr>
            <w:tcW w:type="dxa" w:w="3024"/>
            <w:vAlign w:val="top"/>
          </w:tcPr>
          <w:p>
            <w:pPr>
              <w:spacing w:after="20"/>
            </w:pPr>
            <w:r>
              <w:rPr>
                <w:sz w:val="16"/>
              </w:rPr>
              <w:t>Does it produce cash?</w:t>
            </w:r>
          </w:p>
        </w:tc>
        <w:tc>
          <w:tcPr>
            <w:tcW w:type="dxa" w:w="6768"/>
            <w:vAlign w:val="top"/>
          </w:tcPr>
          <w:p>
            <w:pPr>
              <w:spacing w:after="20"/>
            </w:pPr>
            <w:r>
              <w:rPr>
                <w:sz w:val="16"/>
              </w:rPr>
              <w:t>Prioritize if economics and capacity fit.</w:t>
            </w:r>
          </w:p>
        </w:tc>
      </w:tr>
      <w:tr>
        <w:tc>
          <w:tcPr>
            <w:tcW w:type="dxa" w:w="3024"/>
            <w:vAlign w:val="top"/>
            <w:shd w:fill="F2F2F0"/>
          </w:tcPr>
          <w:p>
            <w:pPr>
              <w:spacing w:after="20"/>
            </w:pPr>
            <w:r>
              <w:rPr>
                <w:sz w:val="16"/>
              </w:rPr>
              <w:t>Does it create reusable IP or proof?</w:t>
            </w:r>
          </w:p>
        </w:tc>
        <w:tc>
          <w:tcPr>
            <w:tcW w:type="dxa" w:w="6768"/>
            <w:vAlign w:val="top"/>
            <w:shd w:fill="F2F2F0"/>
          </w:tcPr>
          <w:p>
            <w:pPr>
              <w:spacing w:after="20"/>
            </w:pPr>
            <w:r>
              <w:rPr>
                <w:sz w:val="16"/>
              </w:rPr>
              <w:t>Capture and standardize it.</w:t>
            </w:r>
          </w:p>
        </w:tc>
      </w:tr>
      <w:tr>
        <w:tc>
          <w:tcPr>
            <w:tcW w:type="dxa" w:w="3024"/>
            <w:vAlign w:val="top"/>
          </w:tcPr>
          <w:p>
            <w:pPr>
              <w:spacing w:after="20"/>
            </w:pPr>
            <w:r>
              <w:rPr>
                <w:sz w:val="16"/>
              </w:rPr>
              <w:t>Does it create strategic access?</w:t>
            </w:r>
          </w:p>
        </w:tc>
        <w:tc>
          <w:tcPr>
            <w:tcW w:type="dxa" w:w="6768"/>
            <w:vAlign w:val="top"/>
          </w:tcPr>
          <w:p>
            <w:pPr>
              <w:spacing w:after="20"/>
            </w:pPr>
            <w:r>
              <w:rPr>
                <w:sz w:val="16"/>
              </w:rPr>
              <w:t>Proceed only with a defined conversion path or asset value.</w:t>
            </w:r>
          </w:p>
        </w:tc>
      </w:tr>
      <w:tr>
        <w:tc>
          <w:tcPr>
            <w:tcW w:type="dxa" w:w="3024"/>
            <w:vAlign w:val="top"/>
            <w:shd w:fill="F2F2F0"/>
          </w:tcPr>
          <w:p>
            <w:pPr>
              <w:spacing w:after="20"/>
            </w:pPr>
            <w:r>
              <w:rPr>
                <w:sz w:val="16"/>
              </w:rPr>
              <w:t>Does it require founder-only recurring fulfillment?</w:t>
            </w:r>
          </w:p>
        </w:tc>
        <w:tc>
          <w:tcPr>
            <w:tcW w:type="dxa" w:w="6768"/>
            <w:vAlign w:val="top"/>
            <w:shd w:fill="F2F2F0"/>
          </w:tcPr>
          <w:p>
            <w:pPr>
              <w:spacing w:after="20"/>
            </w:pPr>
            <w:r>
              <w:rPr>
                <w:sz w:val="16"/>
              </w:rPr>
              <w:t>Redesign, delegate, price materially higher, or reject.</w:t>
            </w:r>
          </w:p>
        </w:tc>
      </w:tr>
      <w:tr>
        <w:tc>
          <w:tcPr>
            <w:tcW w:type="dxa" w:w="3024"/>
            <w:vAlign w:val="top"/>
          </w:tcPr>
          <w:p>
            <w:pPr>
              <w:spacing w:after="20"/>
            </w:pPr>
            <w:r>
              <w:rPr>
                <w:sz w:val="16"/>
              </w:rPr>
              <w:t>Does it conflict with Revenue Spine positioning?</w:t>
            </w:r>
          </w:p>
        </w:tc>
        <w:tc>
          <w:tcPr>
            <w:tcW w:type="dxa" w:w="6768"/>
            <w:vAlign w:val="top"/>
          </w:tcPr>
          <w:p>
            <w:pPr>
              <w:spacing w:after="20"/>
            </w:pPr>
            <w:r>
              <w:rPr>
                <w:sz w:val="16"/>
              </w:rPr>
              <w:t>Parking lot unless evidence justifies a strategy change.</w:t>
            </w:r>
          </w:p>
        </w:tc>
      </w:tr>
      <w:tr>
        <w:tc>
          <w:tcPr>
            <w:tcW w:type="dxa" w:w="3024"/>
            <w:vAlign w:val="top"/>
            <w:shd w:fill="F2F2F0"/>
          </w:tcPr>
          <w:p>
            <w:pPr>
              <w:spacing w:after="20"/>
            </w:pPr>
            <w:r>
              <w:rPr>
                <w:sz w:val="16"/>
              </w:rPr>
              <w:t>Is the evidence weak?</w:t>
            </w:r>
          </w:p>
        </w:tc>
        <w:tc>
          <w:tcPr>
            <w:tcW w:type="dxa" w:w="6768"/>
            <w:vAlign w:val="top"/>
            <w:shd w:fill="F2F2F0"/>
          </w:tcPr>
          <w:p>
            <w:pPr>
              <w:spacing w:after="20"/>
            </w:pPr>
            <w:r>
              <w:rPr>
                <w:sz w:val="16"/>
              </w:rPr>
              <w:t>Test narrowly. Do not scale.</w:t>
            </w:r>
          </w:p>
        </w:tc>
      </w:tr>
    </w:tbl>
    <w:p/>
    <w:p>
      <w:pPr>
        <w:pStyle w:val="Heading1"/>
      </w:pPr>
      <w:r>
        <w:t>11. Operating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1717"/>
            <w:vAlign w:val="center"/>
          </w:tcPr>
          <w:p>
            <w:pPr>
              <w:jc w:val="left"/>
            </w:pPr>
            <w:r>
              <w:rPr>
                <w:b/>
                <w:color w:val="FFFFFF"/>
                <w:sz w:val="17"/>
              </w:rPr>
              <w:t>Category</w:t>
            </w:r>
          </w:p>
        </w:tc>
        <w:tc>
          <w:tcPr>
            <w:tcW w:type="dxa" w:w="4176"/>
            <w:shd w:fill="171717"/>
            <w:vAlign w:val="center"/>
          </w:tcPr>
          <w:p>
            <w:pPr>
              <w:jc w:val="left"/>
            </w:pPr>
            <w:r>
              <w:rPr>
                <w:b/>
                <w:color w:val="FFFFFF"/>
                <w:sz w:val="17"/>
              </w:rPr>
              <w:t>Primary KPI</w:t>
            </w:r>
          </w:p>
        </w:tc>
        <w:tc>
          <w:tcPr>
            <w:tcW w:type="dxa" w:w="4176"/>
            <w:shd w:fill="171717"/>
            <w:vAlign w:val="center"/>
          </w:tcPr>
          <w:p>
            <w:pPr>
              <w:jc w:val="left"/>
            </w:pPr>
            <w:r>
              <w:rPr>
                <w:b/>
                <w:color w:val="FFFFFF"/>
                <w:sz w:val="17"/>
              </w:rPr>
              <w:t>Secondary KPI</w:t>
            </w:r>
          </w:p>
        </w:tc>
      </w:tr>
      <w:tr>
        <w:tc>
          <w:tcPr>
            <w:tcW w:type="dxa" w:w="1728"/>
            <w:vAlign w:val="top"/>
          </w:tcPr>
          <w:p>
            <w:pPr>
              <w:spacing w:after="20"/>
            </w:pPr>
            <w:r>
              <w:rPr>
                <w:sz w:val="16"/>
              </w:rPr>
              <w:t>Cash</w:t>
            </w:r>
          </w:p>
        </w:tc>
        <w:tc>
          <w:tcPr>
            <w:tcW w:type="dxa" w:w="4176"/>
            <w:vAlign w:val="top"/>
          </w:tcPr>
          <w:p>
            <w:pPr>
              <w:spacing w:after="20"/>
            </w:pPr>
            <w:r>
              <w:rPr>
                <w:sz w:val="16"/>
              </w:rPr>
              <w:t>Collected revenue</w:t>
            </w:r>
          </w:p>
        </w:tc>
        <w:tc>
          <w:tcPr>
            <w:tcW w:type="dxa" w:w="4176"/>
            <w:vAlign w:val="top"/>
          </w:tcPr>
          <w:p>
            <w:pPr>
              <w:spacing w:after="20"/>
            </w:pPr>
            <w:r>
              <w:rPr>
                <w:sz w:val="16"/>
              </w:rPr>
              <w:t>Booked revenue</w:t>
            </w:r>
          </w:p>
        </w:tc>
      </w:tr>
      <w:tr>
        <w:tc>
          <w:tcPr>
            <w:tcW w:type="dxa" w:w="1728"/>
            <w:vAlign w:val="top"/>
            <w:shd w:fill="F2F2F0"/>
          </w:tcPr>
          <w:p>
            <w:pPr>
              <w:spacing w:after="20"/>
            </w:pPr>
            <w:r>
              <w:rPr>
                <w:sz w:val="16"/>
              </w:rPr>
              <w:t>Pipeline</w:t>
            </w:r>
          </w:p>
        </w:tc>
        <w:tc>
          <w:tcPr>
            <w:tcW w:type="dxa" w:w="4176"/>
            <w:vAlign w:val="top"/>
            <w:shd w:fill="F2F2F0"/>
          </w:tcPr>
          <w:p>
            <w:pPr>
              <w:spacing w:after="20"/>
            </w:pPr>
            <w:r>
              <w:rPr>
                <w:sz w:val="16"/>
              </w:rPr>
              <w:t>Qualified opportunities</w:t>
            </w:r>
          </w:p>
        </w:tc>
        <w:tc>
          <w:tcPr>
            <w:tcW w:type="dxa" w:w="4176"/>
            <w:vAlign w:val="top"/>
            <w:shd w:fill="F2F2F0"/>
          </w:tcPr>
          <w:p>
            <w:pPr>
              <w:spacing w:after="20"/>
            </w:pPr>
            <w:r>
              <w:rPr>
                <w:sz w:val="16"/>
              </w:rPr>
              <w:t>Pipeline coverage</w:t>
            </w:r>
          </w:p>
        </w:tc>
      </w:tr>
      <w:tr>
        <w:tc>
          <w:tcPr>
            <w:tcW w:type="dxa" w:w="1728"/>
            <w:vAlign w:val="top"/>
          </w:tcPr>
          <w:p>
            <w:pPr>
              <w:spacing w:after="20"/>
            </w:pPr>
            <w:r>
              <w:rPr>
                <w:sz w:val="16"/>
              </w:rPr>
              <w:t>Sales</w:t>
            </w:r>
          </w:p>
        </w:tc>
        <w:tc>
          <w:tcPr>
            <w:tcW w:type="dxa" w:w="4176"/>
            <w:vAlign w:val="top"/>
          </w:tcPr>
          <w:p>
            <w:pPr>
              <w:spacing w:after="20"/>
            </w:pPr>
            <w:r>
              <w:rPr>
                <w:sz w:val="16"/>
              </w:rPr>
              <w:t>Proposal close rate</w:t>
            </w:r>
          </w:p>
        </w:tc>
        <w:tc>
          <w:tcPr>
            <w:tcW w:type="dxa" w:w="4176"/>
            <w:vAlign w:val="top"/>
          </w:tcPr>
          <w:p>
            <w:pPr>
              <w:spacing w:after="20"/>
            </w:pPr>
            <w:r>
              <w:rPr>
                <w:sz w:val="16"/>
              </w:rPr>
              <w:t>Sales-cycle days</w:t>
            </w:r>
          </w:p>
        </w:tc>
      </w:tr>
      <w:tr>
        <w:tc>
          <w:tcPr>
            <w:tcW w:type="dxa" w:w="1728"/>
            <w:vAlign w:val="top"/>
            <w:shd w:fill="F2F2F0"/>
          </w:tcPr>
          <w:p>
            <w:pPr>
              <w:spacing w:after="20"/>
            </w:pPr>
            <w:r>
              <w:rPr>
                <w:sz w:val="16"/>
              </w:rPr>
              <w:t>Delivery</w:t>
            </w:r>
          </w:p>
        </w:tc>
        <w:tc>
          <w:tcPr>
            <w:tcW w:type="dxa" w:w="4176"/>
            <w:vAlign w:val="top"/>
            <w:shd w:fill="F2F2F0"/>
          </w:tcPr>
          <w:p>
            <w:pPr>
              <w:spacing w:after="20"/>
            </w:pPr>
            <w:r>
              <w:rPr>
                <w:sz w:val="16"/>
              </w:rPr>
              <w:t>Cycle time</w:t>
            </w:r>
          </w:p>
        </w:tc>
        <w:tc>
          <w:tcPr>
            <w:tcW w:type="dxa" w:w="4176"/>
            <w:vAlign w:val="top"/>
            <w:shd w:fill="F2F2F0"/>
          </w:tcPr>
          <w:p>
            <w:pPr>
              <w:spacing w:after="20"/>
            </w:pPr>
            <w:r>
              <w:rPr>
                <w:sz w:val="16"/>
              </w:rPr>
              <w:t>Founder hours per install</w:t>
            </w:r>
          </w:p>
        </w:tc>
      </w:tr>
      <w:tr>
        <w:tc>
          <w:tcPr>
            <w:tcW w:type="dxa" w:w="1728"/>
            <w:vAlign w:val="top"/>
          </w:tcPr>
          <w:p>
            <w:pPr>
              <w:spacing w:after="20"/>
            </w:pPr>
            <w:r>
              <w:rPr>
                <w:sz w:val="16"/>
              </w:rPr>
              <w:t>Recurring</w:t>
            </w:r>
          </w:p>
        </w:tc>
        <w:tc>
          <w:tcPr>
            <w:tcW w:type="dxa" w:w="4176"/>
            <w:vAlign w:val="top"/>
          </w:tcPr>
          <w:p>
            <w:pPr>
              <w:spacing w:after="20"/>
            </w:pPr>
            <w:r>
              <w:rPr>
                <w:sz w:val="16"/>
              </w:rPr>
              <w:t>Optimization MRR</w:t>
            </w:r>
          </w:p>
        </w:tc>
        <w:tc>
          <w:tcPr>
            <w:tcW w:type="dxa" w:w="4176"/>
            <w:vAlign w:val="top"/>
          </w:tcPr>
          <w:p>
            <w:pPr>
              <w:spacing w:after="20"/>
            </w:pPr>
            <w:r>
              <w:rPr>
                <w:sz w:val="16"/>
              </w:rPr>
              <w:t>Retainer attachment rate</w:t>
            </w:r>
          </w:p>
        </w:tc>
      </w:tr>
      <w:tr>
        <w:tc>
          <w:tcPr>
            <w:tcW w:type="dxa" w:w="1728"/>
            <w:vAlign w:val="top"/>
            <w:shd w:fill="F2F2F0"/>
          </w:tcPr>
          <w:p>
            <w:pPr>
              <w:spacing w:after="20"/>
            </w:pPr>
            <w:r>
              <w:rPr>
                <w:sz w:val="16"/>
              </w:rPr>
              <w:t>Economics</w:t>
            </w:r>
          </w:p>
        </w:tc>
        <w:tc>
          <w:tcPr>
            <w:tcW w:type="dxa" w:w="4176"/>
            <w:vAlign w:val="top"/>
            <w:shd w:fill="F2F2F0"/>
          </w:tcPr>
          <w:p>
            <w:pPr>
              <w:spacing w:after="20"/>
            </w:pPr>
            <w:r>
              <w:rPr>
                <w:sz w:val="16"/>
              </w:rPr>
              <w:t>Gross margin</w:t>
            </w:r>
          </w:p>
        </w:tc>
        <w:tc>
          <w:tcPr>
            <w:tcW w:type="dxa" w:w="4176"/>
            <w:vAlign w:val="top"/>
            <w:shd w:fill="F2F2F0"/>
          </w:tcPr>
          <w:p>
            <w:pPr>
              <w:spacing w:after="20"/>
            </w:pPr>
            <w:r>
              <w:rPr>
                <w:sz w:val="16"/>
              </w:rPr>
              <w:t>CAC / payback when measurable</w:t>
            </w:r>
          </w:p>
        </w:tc>
      </w:tr>
      <w:tr>
        <w:tc>
          <w:tcPr>
            <w:tcW w:type="dxa" w:w="1728"/>
            <w:vAlign w:val="top"/>
          </w:tcPr>
          <w:p>
            <w:pPr>
              <w:spacing w:after="20"/>
            </w:pPr>
            <w:r>
              <w:rPr>
                <w:sz w:val="16"/>
              </w:rPr>
              <w:t>Proof</w:t>
            </w:r>
          </w:p>
        </w:tc>
        <w:tc>
          <w:tcPr>
            <w:tcW w:type="dxa" w:w="4176"/>
            <w:vAlign w:val="top"/>
          </w:tcPr>
          <w:p>
            <w:pPr>
              <w:spacing w:after="20"/>
            </w:pPr>
            <w:r>
              <w:rPr>
                <w:sz w:val="16"/>
              </w:rPr>
              <w:t>Verified case studies</w:t>
            </w:r>
          </w:p>
        </w:tc>
        <w:tc>
          <w:tcPr>
            <w:tcW w:type="dxa" w:w="4176"/>
            <w:vAlign w:val="top"/>
          </w:tcPr>
          <w:p>
            <w:pPr>
              <w:spacing w:after="20"/>
            </w:pPr>
            <w:r>
              <w:rPr>
                <w:sz w:val="16"/>
              </w:rPr>
              <w:t>Testimonials / benchmark records</w:t>
            </w:r>
          </w:p>
        </w:tc>
      </w:tr>
      <w:tr>
        <w:tc>
          <w:tcPr>
            <w:tcW w:type="dxa" w:w="1728"/>
            <w:vAlign w:val="top"/>
            <w:shd w:fill="F2F2F0"/>
          </w:tcPr>
          <w:p>
            <w:pPr>
              <w:spacing w:after="20"/>
            </w:pPr>
            <w:r>
              <w:rPr>
                <w:sz w:val="16"/>
              </w:rPr>
              <w:t>Product</w:t>
            </w:r>
          </w:p>
        </w:tc>
        <w:tc>
          <w:tcPr>
            <w:tcW w:type="dxa" w:w="4176"/>
            <w:vAlign w:val="top"/>
            <w:shd w:fill="F2F2F0"/>
          </w:tcPr>
          <w:p>
            <w:pPr>
              <w:spacing w:after="20"/>
            </w:pPr>
            <w:r>
              <w:rPr>
                <w:sz w:val="16"/>
              </w:rPr>
              <w:t>Reusable interventions</w:t>
            </w:r>
          </w:p>
        </w:tc>
        <w:tc>
          <w:tcPr>
            <w:tcW w:type="dxa" w:w="4176"/>
            <w:vAlign w:val="top"/>
            <w:shd w:fill="F2F2F0"/>
          </w:tcPr>
          <w:p>
            <w:pPr>
              <w:spacing w:after="20"/>
            </w:pPr>
            <w:r>
              <w:rPr>
                <w:sz w:val="16"/>
              </w:rPr>
              <w:t>Framework version improvements</w:t>
            </w:r>
          </w:p>
        </w:tc>
      </w:tr>
    </w:tbl>
    <w:p/>
    <w:p>
      <w:pPr>
        <w:pStyle w:val="Heading1"/>
      </w:pPr>
      <w:r>
        <w:t>12. Next 30-Day Commands</w:t>
      </w:r>
    </w:p>
    <w:p>
      <w:pPr>
        <w:pStyle w:val="ListNumber"/>
        <w:spacing w:after="40"/>
      </w:pPr>
      <w:r>
        <w:t>Adopt Revenue Spine as the company-wide commercial method and freeze new standalone service names.</w:t>
      </w:r>
    </w:p>
    <w:p>
      <w:pPr>
        <w:pStyle w:val="ListNumber"/>
        <w:spacing w:after="40"/>
      </w:pPr>
      <w:r>
        <w:t>Define one primary ICP for the next 90 days and one secondary ICP only.</w:t>
      </w:r>
    </w:p>
    <w:p>
      <w:pPr>
        <w:pStyle w:val="ListNumber"/>
        <w:spacing w:after="40"/>
      </w:pPr>
      <w:r>
        <w:t>Package Diagnostic, Install, and Optimization into standardized scopes with minimum price floors.</w:t>
      </w:r>
    </w:p>
    <w:p>
      <w:pPr>
        <w:pStyle w:val="ListNumber"/>
        <w:spacing w:after="40"/>
      </w:pPr>
      <w:r>
        <w:t>Create the intervention library and map each intervention to evidence, effort, price logic, gross-margin floor, and time-to-value.</w:t>
      </w:r>
    </w:p>
    <w:p>
      <w:pPr>
        <w:pStyle w:val="ListNumber"/>
        <w:spacing w:after="40"/>
      </w:pPr>
      <w:r>
        <w:t>Rebuild the pipeline stages to match the Sales State Machine.</w:t>
      </w:r>
    </w:p>
    <w:p>
      <w:pPr>
        <w:pStyle w:val="ListNumber"/>
        <w:spacing w:after="40"/>
      </w:pPr>
      <w:r>
        <w:t>Replace passive KPI reporting with target-to-activity revenue commands.</w:t>
      </w:r>
    </w:p>
    <w:p>
      <w:pPr>
        <w:pStyle w:val="ListNumber"/>
        <w:spacing w:after="40"/>
      </w:pPr>
      <w:r>
        <w:t>Begin collecting baseline/outcome data on every active Revenue Spine engagement.</w:t>
      </w:r>
    </w:p>
    <w:p>
      <w:pPr>
        <w:pStyle w:val="ListNumber"/>
        <w:spacing w:after="40"/>
      </w:pPr>
      <w:r>
        <w:t>Reposition the website around diagnosis -&gt; install -&gt; optimize while keeping the 14-day local-service install as a specific edition, not the identity of the whole company.</w:t>
      </w:r>
    </w:p>
    <w:p>
      <w:pPr>
        <w:pStyle w:val="Heading1"/>
      </w:pPr>
      <w:r>
        <w:t>13. 95%-Confidence Startup Revision</w:t>
      </w:r>
    </w:p>
    <w:p>
      <w:pPr>
        <w:pStyle w:val="Heading1"/>
      </w:pPr>
      <w:r>
        <w:t>Market Reality and Confidence Framework</w:t>
      </w:r>
    </w:p>
    <w:p>
      <w:r>
        <w:t>The 2026 market strengthens the case for Revenue Spine, but it does not justify assuming demand. Small businesses are under cost pressure and increasingly prioritize efficiency, stability, and deeper customer relationships. AI use is widespread, while scaled ROI remains uneven. The operating consequence is clear: RUN It BAC should sell measurable constraint removal, not abstract transformation or AI novelty.</w:t>
      </w:r>
    </w:p>
    <w:tbl>
      <w:tblPr>
        <w:tblStyle w:val="TableGrid"/>
        <w:tblW w:type="auto" w:w="0"/>
        <w:jc w:val="center"/>
        <w:tblLook w:firstColumn="1" w:firstRow="1" w:lastColumn="0" w:lastRow="0" w:noHBand="0" w:noVBand="1" w:val="04A0"/>
      </w:tblPr>
      <w:tblGrid>
        <w:gridCol w:w="5083"/>
        <w:gridCol w:w="5083"/>
      </w:tblGrid>
      <w:tr>
        <w:tc>
          <w:tcPr>
            <w:tcW w:type="dxa" w:w="4464"/>
            <w:shd w:fill="171717"/>
            <w:vAlign w:val="center"/>
          </w:tcPr>
          <w:p>
            <w:r>
              <w:rPr>
                <w:b/>
                <w:color w:val="FFFFFF"/>
                <w:sz w:val="17"/>
              </w:rPr>
              <w:t>2026 Signal</w:t>
            </w:r>
          </w:p>
        </w:tc>
        <w:tc>
          <w:tcPr>
            <w:tcW w:type="dxa" w:w="5328"/>
            <w:shd w:fill="171717"/>
            <w:vAlign w:val="center"/>
          </w:tcPr>
          <w:p>
            <w:r>
              <w:rPr>
                <w:b/>
                <w:color w:val="FFFFFF"/>
                <w:sz w:val="17"/>
              </w:rPr>
              <w:t>Implication for RUN It BAC</w:t>
            </w:r>
          </w:p>
        </w:tc>
      </w:tr>
      <w:tr>
        <w:tc>
          <w:tcPr>
            <w:tcW w:type="dxa" w:w="4464"/>
            <w:vAlign w:val="top"/>
          </w:tcPr>
          <w:p>
            <w:r>
              <w:rPr>
                <w:sz w:val="16"/>
              </w:rPr>
              <w:t>Small-business AI use is widespread, but many firms remain early in practical adoption.</w:t>
            </w:r>
          </w:p>
        </w:tc>
        <w:tc>
          <w:tcPr>
            <w:tcW w:type="dxa" w:w="5328"/>
            <w:vAlign w:val="top"/>
          </w:tcPr>
          <w:p>
            <w:r>
              <w:rPr>
                <w:sz w:val="16"/>
              </w:rPr>
              <w:t>Do not sell AI access. Sell one measurable workflow or revenue constraint solved.</w:t>
            </w:r>
          </w:p>
        </w:tc>
      </w:tr>
      <w:tr>
        <w:tc>
          <w:tcPr>
            <w:tcW w:type="dxa" w:w="4464"/>
            <w:vAlign w:val="top"/>
            <w:shd w:fill="F2F2F0"/>
          </w:tcPr>
          <w:p>
            <w:r>
              <w:rPr>
                <w:sz w:val="16"/>
              </w:rPr>
              <w:t>Cost, unclear ROI, fragmented data, and workforce readiness are major blockers.</w:t>
            </w:r>
          </w:p>
        </w:tc>
        <w:tc>
          <w:tcPr>
            <w:tcW w:type="dxa" w:w="5328"/>
            <w:vAlign w:val="top"/>
            <w:shd w:fill="F2F2F0"/>
          </w:tcPr>
          <w:p>
            <w:r>
              <w:rPr>
                <w:sz w:val="16"/>
              </w:rPr>
              <w:t>Start with bounded interventions, explicit baselines, and human-in-the-loop adoption.</w:t>
            </w:r>
          </w:p>
        </w:tc>
      </w:tr>
      <w:tr>
        <w:tc>
          <w:tcPr>
            <w:tcW w:type="dxa" w:w="4464"/>
            <w:vAlign w:val="top"/>
          </w:tcPr>
          <w:p>
            <w:r>
              <w:rPr>
                <w:sz w:val="16"/>
              </w:rPr>
              <w:t>Small businesses face high prices and are cautious about expansion and capital spending.</w:t>
            </w:r>
          </w:p>
        </w:tc>
        <w:tc>
          <w:tcPr>
            <w:tcW w:type="dxa" w:w="5328"/>
            <w:vAlign w:val="top"/>
          </w:tcPr>
          <w:p>
            <w:r>
              <w:rPr>
                <w:sz w:val="16"/>
              </w:rPr>
              <w:t>Reduce upfront scope; use fast payback logic and staged expansion after proof.</w:t>
            </w:r>
          </w:p>
        </w:tc>
      </w:tr>
      <w:tr>
        <w:tc>
          <w:tcPr>
            <w:tcW w:type="dxa" w:w="4464"/>
            <w:vAlign w:val="top"/>
            <w:shd w:fill="F2F2F0"/>
          </w:tcPr>
          <w:p>
            <w:r>
              <w:rPr>
                <w:sz w:val="16"/>
              </w:rPr>
              <w:t>Businesses increasingly want stability and stronger customer relationships.</w:t>
            </w:r>
          </w:p>
        </w:tc>
        <w:tc>
          <w:tcPr>
            <w:tcW w:type="dxa" w:w="5328"/>
            <w:vAlign w:val="top"/>
            <w:shd w:fill="F2F2F0"/>
          </w:tcPr>
          <w:p>
            <w:r>
              <w:rPr>
                <w:sz w:val="16"/>
              </w:rPr>
              <w:t>Emphasize conversion, retention, response, follow-up, and operational reliability.</w:t>
            </w:r>
          </w:p>
        </w:tc>
      </w:tr>
      <w:tr>
        <w:tc>
          <w:tcPr>
            <w:tcW w:type="dxa" w:w="4464"/>
            <w:vAlign w:val="top"/>
          </w:tcPr>
          <w:p>
            <w:r>
              <w:rPr>
                <w:sz w:val="16"/>
              </w:rPr>
              <w:t>Enterprise AI use is broad, but most organizations are not yet scaling AI deeply into workflows.</w:t>
            </w:r>
          </w:p>
        </w:tc>
        <w:tc>
          <w:tcPr>
            <w:tcW w:type="dxa" w:w="5328"/>
            <w:vAlign w:val="top"/>
          </w:tcPr>
          <w:p>
            <w:r>
              <w:rPr>
                <w:sz w:val="16"/>
              </w:rPr>
              <w:t>Revenue Spine's workflow diagnosis + implementation layer is more defensible than generic AI consulting.</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CONFIDENCE RULE</w:t>
              <w:br/>
            </w:r>
            <w:r>
              <w:rPr>
                <w:color w:val="FFFFFF"/>
                <w:sz w:val="21"/>
              </w:rPr>
              <w:t>No artifact can make a startup 95% certain to produce revenue before the market validates willingness to pay, close rate, delivery margin, and retention. The objective is 95% confidence that the operating system will discover those answers quickly, protect cash, and scale only after evidence.</w:t>
            </w:r>
          </w:p>
        </w:tc>
      </w:tr>
    </w:tbl>
    <w:p/>
    <w:p>
      <w:pPr>
        <w:pStyle w:val="Heading2"/>
      </w:pPr>
      <w:r>
        <w:t>Startup Wedge: First 90 Days</w:t>
      </w:r>
    </w:p>
    <w:p>
      <w:r>
        <w:t>Use one commercial wedge before expanding the full platform:</w:t>
      </w:r>
    </w:p>
    <w:tbl>
      <w:tblPr>
        <w:tblW w:type="auto" w:w="0"/>
        <w:jc w:val="center"/>
        <w:tblLook w:firstColumn="1" w:firstRow="1" w:lastColumn="0" w:lastRow="0" w:noHBand="0" w:noVBand="1" w:val="04A0"/>
      </w:tblPr>
      <w:tblGrid>
        <w:gridCol w:w="10166"/>
      </w:tblGrid>
      <w:tr>
        <w:tc>
          <w:tcPr>
            <w:tcW w:type="dxa" w:w="10166"/>
            <w:shd w:fill="C91524"/>
            <w:tcBorders>
              <w:left w:val="single" w:sz="18" w:color="FFFFFF"/>
              <w:top w:val="single" w:sz="2" w:color="C91524"/>
              <w:bottom w:val="single" w:sz="2" w:color="C91524"/>
              <w:right w:val="single" w:sz="2" w:color="C91524"/>
            </w:tcBorders>
          </w:tcPr>
          <w:p>
            <w:r>
              <w:rPr>
                <w:b/>
                <w:color w:val="FFFFFF"/>
                <w:sz w:val="17"/>
              </w:rPr>
              <w:t>WEDGE</w:t>
              <w:br/>
            </w:r>
            <w:r>
              <w:rPr>
                <w:color w:val="FFFFFF"/>
                <w:sz w:val="21"/>
              </w:rPr>
              <w:t>Revenue Spine Conversion Infrastructure for high-value local and professional service businesses.</w:t>
            </w:r>
          </w:p>
        </w:tc>
      </w:tr>
    </w:tbl>
    <w:p/>
    <w:p>
      <w:pPr>
        <w:pStyle w:val="ListBullet"/>
        <w:spacing w:after="40"/>
      </w:pPr>
      <w:r>
        <w:t>Buyer: owner/CEO/COO with decision authority.</w:t>
      </w:r>
    </w:p>
    <w:p>
      <w:pPr>
        <w:pStyle w:val="ListBullet"/>
        <w:spacing w:after="40"/>
      </w:pPr>
      <w:r>
        <w:t>Business condition: already has meaningful traffic, referrals, advertising, or inquiry volume. Do not sell conversion infrastructure to a business with no demand source.</w:t>
      </w:r>
    </w:p>
    <w:p>
      <w:pPr>
        <w:pStyle w:val="ListBullet"/>
        <w:spacing w:after="40"/>
      </w:pPr>
      <w:r>
        <w:t>Economic condition: a small number of additional qualified bookings can plausibly repay the engagement.</w:t>
      </w:r>
    </w:p>
    <w:p>
      <w:pPr>
        <w:pStyle w:val="ListBullet"/>
        <w:spacing w:after="40"/>
      </w:pPr>
      <w:r>
        <w:t>Problem: weak message clarity, booking friction, slow response, fragmented follow-up, or missing measurement.</w:t>
      </w:r>
    </w:p>
    <w:p>
      <w:pPr>
        <w:pStyle w:val="ListBullet"/>
        <w:spacing w:after="40"/>
      </w:pPr>
      <w:r>
        <w:t>Promise: diagnose the highest-cost leak, install the minimum conversion infrastructure required, establish a baseline, and review measured change.</w:t>
      </w:r>
    </w:p>
    <w:p>
      <w:pPr>
        <w:pStyle w:val="ListBullet"/>
        <w:spacing w:after="40"/>
      </w:pPr>
      <w:r>
        <w:t>Boundary: no general branding retainers, social-media management, random AI agents, or large custom builds during the validation window.</w:t>
      </w:r>
    </w:p>
    <w:p>
      <w:pPr>
        <w:pStyle w:val="Heading2"/>
      </w:pPr>
      <w:r>
        <w:t>Sequential Expansion Rule</w:t>
      </w:r>
    </w:p>
    <w:p>
      <w:pPr>
        <w:pStyle w:val="ListNumber"/>
        <w:spacing w:after="40"/>
      </w:pPr>
      <w:r>
        <w:t>Prove the Local/Professional Service wedge.</w:t>
      </w:r>
    </w:p>
    <w:p>
      <w:pPr>
        <w:pStyle w:val="ListNumber"/>
        <w:spacing w:after="40"/>
      </w:pPr>
      <w:r>
        <w:t>Create at least three verified outcome records and a repeatable gross-margin profile.</w:t>
      </w:r>
    </w:p>
    <w:p>
      <w:pPr>
        <w:pStyle w:val="ListNumber"/>
        <w:spacing w:after="40"/>
      </w:pPr>
      <w:r>
        <w:t>Only then expand Revenue Spine to broader operational/AI workflows.</w:t>
      </w:r>
    </w:p>
    <w:p>
      <w:pPr>
        <w:pStyle w:val="ListNumber"/>
        <w:spacing w:after="40"/>
      </w:pPr>
      <w:r>
        <w:t>Only after repeatable services should external software licensing become a build priority.</w:t>
      </w:r>
    </w:p>
    <w:p>
      <w:pPr>
        <w:pStyle w:val="Heading2"/>
      </w:pPr>
      <w:r>
        <w:t>Validation Gates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71717"/>
            <w:vAlign w:val="center"/>
          </w:tcPr>
          <w:p>
            <w:r>
              <w:rPr>
                <w:b/>
                <w:color w:val="FFFFFF"/>
                <w:sz w:val="17"/>
              </w:rPr>
              <w:t>Gate</w:t>
            </w:r>
          </w:p>
        </w:tc>
        <w:tc>
          <w:tcPr>
            <w:tcW w:type="dxa" w:w="5040"/>
            <w:shd w:fill="171717"/>
            <w:vAlign w:val="center"/>
          </w:tcPr>
          <w:p>
            <w:r>
              <w:rPr>
                <w:b/>
                <w:color w:val="FFFFFF"/>
                <w:sz w:val="17"/>
              </w:rPr>
              <w:t>Threshold / Evidence</w:t>
            </w:r>
          </w:p>
        </w:tc>
        <w:tc>
          <w:tcPr>
            <w:tcW w:type="dxa" w:w="3312"/>
            <w:shd w:fill="171717"/>
            <w:vAlign w:val="center"/>
          </w:tcPr>
          <w:p>
            <w:r>
              <w:rPr>
                <w:b/>
                <w:color w:val="FFFFFF"/>
                <w:sz w:val="17"/>
              </w:rPr>
              <w:t>Action if Failed</w:t>
            </w:r>
          </w:p>
        </w:tc>
      </w:tr>
      <w:tr>
        <w:tc>
          <w:tcPr>
            <w:tcW w:type="dxa" w:w="1440"/>
            <w:vAlign w:val="top"/>
          </w:tcPr>
          <w:p>
            <w:r>
              <w:rPr>
                <w:sz w:val="16"/>
              </w:rPr>
              <w:t>Demand</w:t>
            </w:r>
          </w:p>
        </w:tc>
        <w:tc>
          <w:tcPr>
            <w:tcW w:type="dxa" w:w="5040"/>
            <w:vAlign w:val="top"/>
          </w:tcPr>
          <w:p>
            <w:r>
              <w:rPr>
                <w:sz w:val="16"/>
              </w:rPr>
              <w:t>At least 5 qualified buyer conversations in 30 days and at least 2 buyers advance to a commercial next step.</w:t>
            </w:r>
          </w:p>
        </w:tc>
        <w:tc>
          <w:tcPr>
            <w:tcW w:type="dxa" w:w="3312"/>
            <w:vAlign w:val="top"/>
          </w:tcPr>
          <w:p>
            <w:r>
              <w:rPr>
                <w:sz w:val="16"/>
              </w:rPr>
              <w:t>Change ICP/message/channel before adding features.</w:t>
            </w:r>
          </w:p>
        </w:tc>
      </w:tr>
      <w:tr>
        <w:tc>
          <w:tcPr>
            <w:tcW w:type="dxa" w:w="1440"/>
            <w:vAlign w:val="top"/>
            <w:shd w:fill="F2F2F0"/>
          </w:tcPr>
          <w:p>
            <w:r>
              <w:rPr>
                <w:sz w:val="16"/>
              </w:rPr>
              <w:t>Willingness to Pay</w:t>
            </w:r>
          </w:p>
        </w:tc>
        <w:tc>
          <w:tcPr>
            <w:tcW w:type="dxa" w:w="5040"/>
            <w:vAlign w:val="top"/>
            <w:shd w:fill="F2F2F0"/>
          </w:tcPr>
          <w:p>
            <w:r>
              <w:rPr>
                <w:sz w:val="16"/>
              </w:rPr>
              <w:t>At least 2 paid engagements or deposits from qualified buyers.</w:t>
            </w:r>
          </w:p>
        </w:tc>
        <w:tc>
          <w:tcPr>
            <w:tcW w:type="dxa" w:w="3312"/>
            <w:vAlign w:val="top"/>
            <w:shd w:fill="F2F2F0"/>
          </w:tcPr>
          <w:p>
            <w:r>
              <w:rPr>
                <w:sz w:val="16"/>
              </w:rPr>
              <w:t>Do not call the offer validated.</w:t>
            </w:r>
          </w:p>
        </w:tc>
      </w:tr>
      <w:tr>
        <w:tc>
          <w:tcPr>
            <w:tcW w:type="dxa" w:w="1440"/>
            <w:vAlign w:val="top"/>
          </w:tcPr>
          <w:p>
            <w:r>
              <w:rPr>
                <w:sz w:val="16"/>
              </w:rPr>
              <w:t>Delivery</w:t>
            </w:r>
          </w:p>
        </w:tc>
        <w:tc>
          <w:tcPr>
            <w:tcW w:type="dxa" w:w="5040"/>
            <w:vAlign w:val="top"/>
          </w:tcPr>
          <w:p>
            <w:r>
              <w:rPr>
                <w:sz w:val="16"/>
              </w:rPr>
              <w:t>Scope delivered within promised window without founder overload.</w:t>
            </w:r>
          </w:p>
        </w:tc>
        <w:tc>
          <w:tcPr>
            <w:tcW w:type="dxa" w:w="3312"/>
            <w:vAlign w:val="top"/>
          </w:tcPr>
          <w:p>
            <w:r>
              <w:rPr>
                <w:sz w:val="16"/>
              </w:rPr>
              <w:t>Reduce scope or increase price / delegation.</w:t>
            </w:r>
          </w:p>
        </w:tc>
      </w:tr>
      <w:tr>
        <w:tc>
          <w:tcPr>
            <w:tcW w:type="dxa" w:w="1440"/>
            <w:vAlign w:val="top"/>
            <w:shd w:fill="F2F2F0"/>
          </w:tcPr>
          <w:p>
            <w:r>
              <w:rPr>
                <w:sz w:val="16"/>
              </w:rPr>
              <w:t>Economics</w:t>
            </w:r>
          </w:p>
        </w:tc>
        <w:tc>
          <w:tcPr>
            <w:tcW w:type="dxa" w:w="5040"/>
            <w:vAlign w:val="top"/>
            <w:shd w:fill="F2F2F0"/>
          </w:tcPr>
          <w:p>
            <w:r>
              <w:rPr>
                <w:sz w:val="16"/>
              </w:rPr>
              <w:t>Positive contribution margin and a clear path to the target gross-margin floor.</w:t>
            </w:r>
          </w:p>
        </w:tc>
        <w:tc>
          <w:tcPr>
            <w:tcW w:type="dxa" w:w="3312"/>
            <w:vAlign w:val="top"/>
            <w:shd w:fill="F2F2F0"/>
          </w:tcPr>
          <w:p>
            <w:r>
              <w:rPr>
                <w:sz w:val="16"/>
              </w:rPr>
              <w:t>Redesign or kill the intervention.</w:t>
            </w:r>
          </w:p>
        </w:tc>
      </w:tr>
      <w:tr>
        <w:tc>
          <w:tcPr>
            <w:tcW w:type="dxa" w:w="1440"/>
            <w:vAlign w:val="top"/>
          </w:tcPr>
          <w:p>
            <w:r>
              <w:rPr>
                <w:sz w:val="16"/>
              </w:rPr>
              <w:t>Outcome</w:t>
            </w:r>
          </w:p>
        </w:tc>
        <w:tc>
          <w:tcPr>
            <w:tcW w:type="dxa" w:w="5040"/>
            <w:vAlign w:val="top"/>
          </w:tcPr>
          <w:p>
            <w:r>
              <w:rPr>
                <w:sz w:val="16"/>
              </w:rPr>
              <w:t>At least 3 clients produce verified operational or commercial improvement, or clear learning about why not.</w:t>
            </w:r>
          </w:p>
        </w:tc>
        <w:tc>
          <w:tcPr>
            <w:tcW w:type="dxa" w:w="3312"/>
            <w:vAlign w:val="top"/>
          </w:tcPr>
          <w:p>
            <w:r>
              <w:rPr>
                <w:sz w:val="16"/>
              </w:rPr>
              <w:t>Do not scale claims or paid acquisition.</w:t>
            </w:r>
          </w:p>
        </w:tc>
      </w:tr>
      <w:tr>
        <w:tc>
          <w:tcPr>
            <w:tcW w:type="dxa" w:w="1440"/>
            <w:vAlign w:val="top"/>
            <w:shd w:fill="F2F2F0"/>
          </w:tcPr>
          <w:p>
            <w:r>
              <w:rPr>
                <w:sz w:val="16"/>
              </w:rPr>
              <w:t>Recurring</w:t>
            </w:r>
          </w:p>
        </w:tc>
        <w:tc>
          <w:tcPr>
            <w:tcW w:type="dxa" w:w="5040"/>
            <w:vAlign w:val="top"/>
            <w:shd w:fill="F2F2F0"/>
          </w:tcPr>
          <w:p>
            <w:r>
              <w:rPr>
                <w:sz w:val="16"/>
              </w:rPr>
              <w:t>Optimization produces a defined ongoing job and clients retain because of measurable value.</w:t>
            </w:r>
          </w:p>
        </w:tc>
        <w:tc>
          <w:tcPr>
            <w:tcW w:type="dxa" w:w="3312"/>
            <w:vAlign w:val="top"/>
            <w:shd w:fill="F2F2F0"/>
          </w:tcPr>
          <w:p>
            <w:r>
              <w:rPr>
                <w:sz w:val="16"/>
              </w:rPr>
              <w:t>Do not force a retainer that lacks a continuing job.</w:t>
            </w:r>
          </w:p>
        </w:tc>
      </w:tr>
    </w:tbl>
    <w:p/>
    <w:p>
      <w:pPr>
        <w:pStyle w:val="Heading2"/>
      </w:pPr>
      <w:r>
        <w:t>Founder Resource Allocation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1717"/>
            <w:vAlign w:val="center"/>
          </w:tcPr>
          <w:p>
            <w:r>
              <w:rPr>
                <w:b/>
                <w:color w:val="FFFFFF"/>
                <w:sz w:val="17"/>
              </w:rPr>
              <w:t>Resource</w:t>
            </w:r>
          </w:p>
        </w:tc>
        <w:tc>
          <w:tcPr>
            <w:tcW w:type="dxa" w:w="2304"/>
            <w:shd w:fill="171717"/>
            <w:vAlign w:val="center"/>
          </w:tcPr>
          <w:p>
            <w:r>
              <w:rPr>
                <w:b/>
                <w:color w:val="FFFFFF"/>
                <w:sz w:val="17"/>
              </w:rPr>
              <w:t>Default Allocation</w:t>
            </w:r>
          </w:p>
        </w:tc>
        <w:tc>
          <w:tcPr>
            <w:tcW w:type="dxa" w:w="4608"/>
            <w:shd w:fill="171717"/>
            <w:vAlign w:val="center"/>
          </w:tcPr>
          <w:p>
            <w:r>
              <w:rPr>
                <w:b/>
                <w:color w:val="FFFFFF"/>
                <w:sz w:val="17"/>
              </w:rPr>
              <w:t>Reason</w:t>
            </w:r>
          </w:p>
        </w:tc>
      </w:tr>
      <w:tr>
        <w:tc>
          <w:tcPr>
            <w:tcW w:type="dxa" w:w="2880"/>
            <w:vAlign w:val="top"/>
          </w:tcPr>
          <w:p>
            <w:r>
              <w:rPr>
                <w:sz w:val="16"/>
              </w:rPr>
              <w:t>Founder selling / diagnosis</w:t>
            </w:r>
          </w:p>
        </w:tc>
        <w:tc>
          <w:tcPr>
            <w:tcW w:type="dxa" w:w="2304"/>
            <w:vAlign w:val="top"/>
          </w:tcPr>
          <w:p>
            <w:r>
              <w:rPr>
                <w:sz w:val="16"/>
              </w:rPr>
              <w:t>40% of RUN It BAC time</w:t>
            </w:r>
          </w:p>
        </w:tc>
        <w:tc>
          <w:tcPr>
            <w:tcW w:type="dxa" w:w="4608"/>
            <w:vAlign w:val="top"/>
          </w:tcPr>
          <w:p>
            <w:r>
              <w:rPr>
                <w:sz w:val="16"/>
              </w:rPr>
              <w:t>Fastest source of market truth and cash.</w:t>
            </w:r>
          </w:p>
        </w:tc>
      </w:tr>
      <w:tr>
        <w:tc>
          <w:tcPr>
            <w:tcW w:type="dxa" w:w="2880"/>
            <w:vAlign w:val="top"/>
            <w:shd w:fill="F2F2F0"/>
          </w:tcPr>
          <w:p>
            <w:r>
              <w:rPr>
                <w:sz w:val="16"/>
              </w:rPr>
              <w:t>Delivery / QA</w:t>
            </w:r>
          </w:p>
        </w:tc>
        <w:tc>
          <w:tcPr>
            <w:tcW w:type="dxa" w:w="2304"/>
            <w:vAlign w:val="top"/>
            <w:shd w:fill="F2F2F0"/>
          </w:tcPr>
          <w:p>
            <w:r>
              <w:rPr>
                <w:sz w:val="16"/>
              </w:rPr>
              <w:t>30%</w:t>
            </w:r>
          </w:p>
        </w:tc>
        <w:tc>
          <w:tcPr>
            <w:tcW w:type="dxa" w:w="4608"/>
            <w:vAlign w:val="top"/>
            <w:shd w:fill="F2F2F0"/>
          </w:tcPr>
          <w:p>
            <w:r>
              <w:rPr>
                <w:sz w:val="16"/>
              </w:rPr>
              <w:t>Enough to learn the work before delegating it.</w:t>
            </w:r>
          </w:p>
        </w:tc>
      </w:tr>
      <w:tr>
        <w:tc>
          <w:tcPr>
            <w:tcW w:type="dxa" w:w="2880"/>
            <w:vAlign w:val="top"/>
          </w:tcPr>
          <w:p>
            <w:r>
              <w:rPr>
                <w:sz w:val="16"/>
              </w:rPr>
              <w:t>Proof / content / referrals</w:t>
            </w:r>
          </w:p>
        </w:tc>
        <w:tc>
          <w:tcPr>
            <w:tcW w:type="dxa" w:w="2304"/>
            <w:vAlign w:val="top"/>
          </w:tcPr>
          <w:p>
            <w:r>
              <w:rPr>
                <w:sz w:val="16"/>
              </w:rPr>
              <w:t>20%</w:t>
            </w:r>
          </w:p>
        </w:tc>
        <w:tc>
          <w:tcPr>
            <w:tcW w:type="dxa" w:w="4608"/>
            <w:vAlign w:val="top"/>
          </w:tcPr>
          <w:p>
            <w:r>
              <w:rPr>
                <w:sz w:val="16"/>
              </w:rPr>
              <w:t>Turns completed work into lower-cost acquisition.</w:t>
            </w:r>
          </w:p>
        </w:tc>
      </w:tr>
      <w:tr>
        <w:tc>
          <w:tcPr>
            <w:tcW w:type="dxa" w:w="2880"/>
            <w:vAlign w:val="top"/>
            <w:shd w:fill="F2F2F0"/>
          </w:tcPr>
          <w:p>
            <w:r>
              <w:rPr>
                <w:sz w:val="16"/>
              </w:rPr>
              <w:t>Product / app build</w:t>
            </w:r>
          </w:p>
        </w:tc>
        <w:tc>
          <w:tcPr>
            <w:tcW w:type="dxa" w:w="2304"/>
            <w:vAlign w:val="top"/>
            <w:shd w:fill="F2F2F0"/>
          </w:tcPr>
          <w:p>
            <w:r>
              <w:rPr>
                <w:sz w:val="16"/>
              </w:rPr>
              <w:t>10%</w:t>
            </w:r>
          </w:p>
        </w:tc>
        <w:tc>
          <w:tcPr>
            <w:tcW w:type="dxa" w:w="4608"/>
            <w:vAlign w:val="top"/>
            <w:shd w:fill="F2F2F0"/>
          </w:tcPr>
          <w:p>
            <w:r>
              <w:rPr>
                <w:sz w:val="16"/>
              </w:rPr>
              <w:t>Build only what compresses validated work.</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BUILD FREEZE</w:t>
              <w:br/>
            </w:r>
            <w:r>
              <w:rPr>
                <w:color w:val="FFFFFF"/>
                <w:sz w:val="21"/>
              </w:rPr>
              <w:t>If selling and delivery do not consume the majority of founder business time in the first 90 days, the startup is likely overbuilding.</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PROPRIETARY WORKING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rPr>
        <w:b/>
        <w:color w:val="C91524"/>
      </w:rPr>
      <w:t>RUN IT BAC MEDIA  |  REVENUE SPINE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A0A0A"/>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C915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D9A5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A0A0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7070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20"/>
    </w:pPr>
    <w:rPr>
      <w:rFonts w:ascii="Aptos" w:hAnsi="Aptos"/>
      <w:b/>
      <w:color w:val="D9A514"/>
      <w:sz w:val="17"/>
    </w:rPr>
  </w:style>
  <w:style w:type="paragraph" w:customStyle="1" w:styleId="Callout">
    <w:name w:val="Callout"/>
    <w:pPr>
      <w:spacing w:after="0" w:line="252" w:lineRule="auto"/>
    </w:pPr>
    <w:rPr>
      <w:rFonts w:ascii="Aptos" w:hAnsi="Aptos"/>
      <w:b/>
      <w:color w:val="FFFFFF"/>
      <w:sz w:val="22"/>
    </w:rPr>
  </w:style>
  <w:style w:type="paragraph" w:customStyle="1" w:styleId="Small">
    <w:name w:val="Small"/>
    <w:pPr>
      <w:spacing w:after="60"/>
    </w:pPr>
    <w:rPr>
      <w:rFonts w:ascii="Aptos" w:hAnsi="Aptos"/>
      <w:color w:val="7070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