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RUN IT BAC MEDIA</w:t>
      </w:r>
    </w:p>
    <w:p>
      <w:pPr>
        <w:pStyle w:val="Title"/>
      </w:pPr>
      <w:r>
        <w:t>RUN It BAC Media Business &amp; Marketing Plan</w:t>
      </w:r>
    </w:p>
    <w:p>
      <w:pPr>
        <w:pStyle w:val="Subtitle"/>
      </w:pPr>
      <w:r>
        <w:t>Go-to-market, offer architecture, sales system, content strategy, revenue model, and 12-month execution logic.</w:t>
      </w:r>
    </w:p>
    <w:p>
      <w:pPr>
        <w:pStyle w:val="Small"/>
      </w:pPr>
      <w:r>
        <w:t>Version 2.0  |  September 2026</w:t>
      </w:r>
    </w:p>
    <w:tbl>
      <w:tblPr>
        <w:tblW w:type="auto" w:w="0"/>
        <w:jc w:val="left"/>
        <w:tblLayout w:type="fixed"/>
        <w:tblLook w:firstColumn="1" w:firstRow="1" w:lastColumn="0" w:lastRow="0" w:noHBand="0" w:noVBand="1" w:val="04A0"/>
      </w:tblPr>
      <w:tblGrid>
        <w:gridCol w:w="3389"/>
        <w:gridCol w:w="3389"/>
        <w:gridCol w:w="3389"/>
      </w:tblGrid>
      <w:tr>
        <w:tc>
          <w:tcPr>
            <w:tcW w:type="dxa" w:w="6912"/>
            <w:shd w:fill="C91524"/>
            <w:tcBorders>
              <w:top w:val="nil"/>
              <w:left w:val="nil"/>
              <w:bottom w:val="nil"/>
              <w:right w:val="nil"/>
            </w:tcBorders>
          </w:tcPr>
          <w:p>
            <w:r/>
          </w:p>
        </w:tc>
        <w:tc>
          <w:tcPr>
            <w:tcW w:type="dxa" w:w="1440"/>
            <w:shd w:fill="D9A514"/>
            <w:tcBorders>
              <w:top w:val="nil"/>
              <w:left w:val="nil"/>
              <w:bottom w:val="nil"/>
              <w:right w:val="nil"/>
            </w:tcBorders>
          </w:tcPr>
          <w:p>
            <w:r/>
          </w:p>
        </w:tc>
        <w:tc>
          <w:tcPr>
            <w:tcW w:type="dxa" w:w="1440"/>
            <w:shd w:fill="24A148"/>
            <w:tcBorders>
              <w:top w:val="nil"/>
              <w:left w:val="nil"/>
              <w:bottom w:val="nil"/>
              <w:right w:val="nil"/>
            </w:tcBorders>
          </w:tcPr>
          <w:p>
            <w:r/>
          </w:p>
        </w:tc>
      </w:tr>
    </w:tbl>
    <w:p/>
    <w:tbl>
      <w:tblPr>
        <w:tblW w:type="auto" w:w="0"/>
        <w:jc w:val="center"/>
        <w:tblLook w:firstColumn="1" w:firstRow="1" w:lastColumn="0" w:lastRow="0" w:noHBand="0" w:noVBand="1" w:val="04A0"/>
      </w:tblPr>
      <w:tblGrid>
        <w:gridCol w:w="10166"/>
      </w:tblGrid>
      <w:tr>
        <w:tc>
          <w:tcPr>
            <w:tcW w:type="dxa" w:w="10166"/>
            <w:shd w:fill="171717"/>
            <w:tcBorders>
              <w:top w:sz="2" w:val="single" w:color="171717"/>
              <w:left w:sz="18" w:val="single" w:color="D9A514"/>
              <w:bottom w:sz="2" w:val="single" w:color="171717"/>
              <w:right w:sz="2" w:val="single" w:color="171717"/>
            </w:tcBorders>
          </w:tcPr>
          <w:p>
            <w:pPr>
              <w:pStyle w:val="Callout"/>
            </w:pPr>
            <w:r>
              <w:rPr>
                <w:color w:val="D9A514"/>
                <w:sz w:val="17"/>
              </w:rPr>
              <w:t>PLAN THESIS</w:t>
              <w:br/>
            </w:r>
            <w:r>
              <w:rPr>
                <w:color w:val="FFFFFF"/>
                <w:sz w:val="21"/>
              </w:rPr>
              <w:t>Revenue Spine is the front door. Diagnosis creates trust, prescription creates relevance, installation creates cash, optimization creates recurring revenue, and outcomes create proof and IP.</w:t>
            </w:r>
          </w:p>
        </w:tc>
      </w:tr>
    </w:tbl>
    <w:p/>
    <w:p>
      <w:pPr>
        <w:pStyle w:val="Heading2"/>
      </w:pPr>
      <w:r>
        <w:t>Source Basis and Decision Rule</w:t>
      </w:r>
    </w:p>
    <w:p>
      <w:r>
        <w:t>This document is a rebuild, not a silent rewrite of the existing materials. It preserves the strongest validated operating principles and explicitly replaces the website-only constraints where the new Revenue Spine architecture requires it.</w:t>
      </w:r>
    </w:p>
    <w:p>
      <w:pPr>
        <w:pStyle w:val="ListBullet"/>
        <w:spacing w:after="40"/>
      </w:pPr>
      <w:r>
        <w:t>Business Flywheel Strategy 2026 and handoff: $1M+ target, established-service ICP, AI-enabled systems, institutional training, retainers, and distribution through partnerships.</w:t>
      </w:r>
    </w:p>
    <w:p>
      <w:pPr>
        <w:pStyle w:val="ListBullet"/>
        <w:spacing w:after="40"/>
      </w:pPr>
      <w:r>
        <w:t>Revenue Spine Install Outline and current-site screenshots: 14-day website/booking/follow-up install, free audit CTA, current $1.5K/$2.5K/$3.5K package structure, and $500-$800 monthly optimization range.</w:t>
      </w:r>
    </w:p>
    <w:p>
      <w:pPr>
        <w:pStyle w:val="ListBullet"/>
        <w:spacing w:after="40"/>
      </w:pPr>
      <w:r>
        <w:t>Founder operating documents: prioritize one repeatable paid offer, founder-capacity controls, and commercial simplicity.</w:t>
      </w:r>
    </w:p>
    <w:p>
      <w:pPr>
        <w:pStyle w:val="ListBullet"/>
        <w:spacing w:after="40"/>
      </w:pPr>
      <w:r>
        <w:t>Revenue Spine OS v1: evidence-based diagnosis, structured recommendations, QA, and outcome tracking.</w:t>
      </w:r>
    </w:p>
    <w:tbl>
      <w:tblPr>
        <w:tblW w:type="auto" w:w="0"/>
        <w:jc w:val="center"/>
        <w:tblLook w:firstColumn="1" w:firstRow="1" w:lastColumn="0" w:lastRow="0" w:noHBand="0" w:noVBand="1" w:val="04A0"/>
      </w:tblPr>
      <w:tblGrid>
        <w:gridCol w:w="10166"/>
      </w:tblGrid>
      <w:tr>
        <w:tc>
          <w:tcPr>
            <w:tcW w:type="dxa" w:w="10166"/>
            <w:shd w:fill="252525"/>
            <w:tcBorders>
              <w:top w:sz="2" w:val="single" w:color="252525"/>
              <w:left w:sz="18" w:val="single" w:color="D9A514"/>
              <w:bottom w:sz="2" w:val="single" w:color="252525"/>
              <w:right w:sz="2" w:val="single" w:color="252525"/>
            </w:tcBorders>
          </w:tcPr>
          <w:p>
            <w:pPr>
              <w:pStyle w:val="Callout"/>
            </w:pPr>
            <w:r>
              <w:rPr>
                <w:color w:val="D9A514"/>
                <w:sz w:val="17"/>
              </w:rPr>
              <w:t>VERSIONING RULE</w:t>
              <w:br/>
            </w:r>
            <w:r>
              <w:rPr>
                <w:color w:val="FFFFFF"/>
                <w:sz w:val="21"/>
              </w:rPr>
              <w:t>When this document conflicts with earlier website-package or app instructions, this document governs only after the founder formally adopts Version 2.0. Historical reports and prior methodology remain reproducible.</w:t>
            </w:r>
          </w:p>
        </w:tc>
      </w:tr>
    </w:tbl>
    <w:p/>
    <w:p>
      <w:pPr>
        <w:pStyle w:val="Heading1"/>
      </w:pPr>
      <w:r>
        <w:t>1. Executive Summary</w:t>
      </w:r>
    </w:p>
    <w:p>
      <w:r>
        <w:t>RUN It BAC Media will transition from website-first selling to a Revenue Spine business model. The company will sell a proprietary diagnosis-to-outcome operating method and deploy websites, AI workflows, automation, messaging, booking systems, training, and other interventions only when the evidence calls for them.</w:t>
      </w:r>
    </w:p>
    <w:p>
      <w:pPr>
        <w:pStyle w:val="Heading2"/>
      </w:pPr>
      <w:r>
        <w:t>12-Month Objective</w:t>
      </w:r>
    </w:p>
    <w:p>
      <w:r>
        <w:t>The historical strategy set a $1M+ collected-revenue goal and used a $1.2M operating target for execution. This plan preserves that ambition but treats it as a target to be validated through actual conversion rates, sales cycle, delivery capacity, and collected cash. The model must reforecast monthly.</w:t>
      </w:r>
    </w:p>
    <w:tbl>
      <w:tblPr>
        <w:tblW w:type="auto" w:w="0"/>
        <w:jc w:val="center"/>
        <w:tblLook w:firstColumn="1" w:firstRow="1" w:lastColumn="0" w:lastRow="0" w:noHBand="0" w:noVBand="1" w:val="04A0"/>
      </w:tblPr>
      <w:tblGrid>
        <w:gridCol w:w="10166"/>
      </w:tblGrid>
      <w:tr>
        <w:tc>
          <w:tcPr>
            <w:tcW w:type="dxa" w:w="10166"/>
            <w:shd w:fill="171717"/>
            <w:tcBorders>
              <w:top w:sz="2" w:val="single" w:color="171717"/>
              <w:left w:sz="18" w:val="single" w:color="D9A514"/>
              <w:bottom w:sz="2" w:val="single" w:color="171717"/>
              <w:right w:sz="2" w:val="single" w:color="171717"/>
            </w:tcBorders>
          </w:tcPr>
          <w:p>
            <w:pPr>
              <w:pStyle w:val="Callout"/>
            </w:pPr>
            <w:r>
              <w:rPr>
                <w:color w:val="D9A514"/>
                <w:sz w:val="17"/>
              </w:rPr>
              <w:t>NO FABRICATED FORECAST</w:t>
              <w:br/>
            </w:r>
            <w:r>
              <w:rPr>
                <w:color w:val="FFFFFF"/>
                <w:sz w:val="21"/>
              </w:rPr>
              <w:t>The exact probability of reaching $1M+ cannot be determined from the current information. The plan therefore uses a target model and requires monthly evidence-based reforecasting.</w:t>
            </w:r>
          </w:p>
        </w:tc>
      </w:tr>
    </w:tbl>
    <w:p/>
    <w:p>
      <w:pPr>
        <w:pStyle w:val="Heading1"/>
      </w:pPr>
      <w:r>
        <w:t>2. Market Position</w:t>
      </w:r>
    </w:p>
    <w:p>
      <w:pPr>
        <w:pStyle w:val="Heading2"/>
      </w:pPr>
      <w:r>
        <w:t>Category</w:t>
      </w:r>
    </w:p>
    <w:p>
      <w:r>
        <w:t>Revenue infrastructure / revenue systems. The company competes against web agencies, automation consultants, AI implementers, conversion consultants, and operational advisors by integrating diagnosis, intervention, implementation, measurement, and optimization.</w:t>
      </w:r>
    </w:p>
    <w:p>
      <w:pPr>
        <w:pStyle w:val="Heading2"/>
      </w:pPr>
      <w:r>
        <w:t>Core message</w:t>
      </w:r>
    </w:p>
    <w:tbl>
      <w:tblPr>
        <w:tblW w:type="auto" w:w="0"/>
        <w:jc w:val="center"/>
        <w:tblLook w:firstColumn="1" w:firstRow="1" w:lastColumn="0" w:lastRow="0" w:noHBand="0" w:noVBand="1" w:val="04A0"/>
      </w:tblPr>
      <w:tblGrid>
        <w:gridCol w:w="10166"/>
      </w:tblGrid>
      <w:tr>
        <w:tc>
          <w:tcPr>
            <w:tcW w:type="dxa" w:w="10166"/>
            <w:shd w:fill="C91524"/>
            <w:tcBorders>
              <w:top w:sz="2" w:val="single" w:color="C91524"/>
              <w:left w:sz="18" w:val="single" w:color="FFFFFF"/>
              <w:bottom w:sz="2" w:val="single" w:color="C91524"/>
              <w:right w:sz="2" w:val="single" w:color="C91524"/>
            </w:tcBorders>
          </w:tcPr>
          <w:p>
            <w:pPr>
              <w:pStyle w:val="Callout"/>
            </w:pPr>
            <w:r>
              <w:rPr>
                <w:color w:val="FFFFFF"/>
                <w:sz w:val="17"/>
              </w:rPr>
              <w:t>PRIMARY MARKET MESSAGE</w:t>
              <w:br/>
            </w:r>
            <w:r>
              <w:rPr>
                <w:color w:val="FFFFFF"/>
                <w:sz w:val="21"/>
              </w:rPr>
              <w:t>Find where revenue is leaking. Install what is missing. Track what improves.</w:t>
            </w:r>
          </w:p>
        </w:tc>
      </w:tr>
    </w:tbl>
    <w:p/>
    <w:p>
      <w:pPr>
        <w:pStyle w:val="Heading2"/>
      </w:pPr>
      <w:r>
        <w:t>Primary ICP for next 90 days</w:t>
      </w:r>
    </w:p>
    <w:p>
      <w:pPr>
        <w:pStyle w:val="ListBullet"/>
        <w:spacing w:after="40"/>
      </w:pPr>
      <w:r>
        <w:t>Established service organizations with enough transaction value that conversion or workflow friction is economically material.</w:t>
      </w:r>
    </w:p>
    <w:p>
      <w:pPr>
        <w:pStyle w:val="ListBullet"/>
        <w:spacing w:after="40"/>
      </w:pPr>
      <w:r>
        <w:t>Decision-maker access to founder, CEO, COO, president, managing partner, or executive director.</w:t>
      </w:r>
    </w:p>
    <w:p>
      <w:pPr>
        <w:pStyle w:val="ListBullet"/>
        <w:spacing w:after="40"/>
      </w:pPr>
      <w:r>
        <w:t>Fragmented website, CRM, booking, follow-up, reporting, onboarding, or AI usage.</w:t>
      </w:r>
    </w:p>
    <w:p>
      <w:pPr>
        <w:pStyle w:val="ListBullet"/>
        <w:spacing w:after="40"/>
      </w:pPr>
      <w:r>
        <w:t>Leadership already believes systems matter and can fund implementation.</w:t>
      </w:r>
    </w:p>
    <w:p>
      <w:pPr>
        <w:pStyle w:val="ListBullet"/>
        <w:spacing w:after="40"/>
      </w:pPr>
      <w:r>
        <w:t>Preference for Atlanta-metro access first, then national delivery where the model is proven.</w:t>
      </w:r>
    </w:p>
    <w:p>
      <w:pPr>
        <w:pStyle w:val="Heading2"/>
      </w:pPr>
      <w:r>
        <w:t>Secondary ICP</w:t>
      </w:r>
    </w:p>
    <w:p>
      <w:r>
        <w:t>Owner-operated local service businesses remain a valid edition of Revenue Spine when the core problem is website conversion, booking friction, and follow-up. This segment should not define the entire company.</w:t>
      </w:r>
    </w:p>
    <w:p>
      <w:pPr>
        <w:pStyle w:val="Heading1"/>
      </w:pPr>
      <w:r>
        <w:t>3. Offer Architecture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16"/>
            <w:shd w:fill="171717"/>
            <w:vAlign w:val="center"/>
          </w:tcPr>
          <w:p>
            <w:pPr>
              <w:jc w:val="left"/>
            </w:pPr>
            <w:r>
              <w:rPr>
                <w:b/>
                <w:color w:val="FFFFFF"/>
                <w:sz w:val="17"/>
              </w:rPr>
              <w:t>Offer</w:t>
            </w:r>
          </w:p>
        </w:tc>
        <w:tc>
          <w:tcPr>
            <w:tcW w:type="dxa" w:w="2448"/>
            <w:shd w:fill="171717"/>
            <w:vAlign w:val="center"/>
          </w:tcPr>
          <w:p>
            <w:pPr>
              <w:jc w:val="left"/>
            </w:pPr>
            <w:r>
              <w:rPr>
                <w:b/>
                <w:color w:val="FFFFFF"/>
                <w:sz w:val="17"/>
              </w:rPr>
              <w:t>Outcome</w:t>
            </w:r>
          </w:p>
        </w:tc>
        <w:tc>
          <w:tcPr>
            <w:tcW w:type="dxa" w:w="3600"/>
            <w:shd w:fill="171717"/>
            <w:vAlign w:val="center"/>
          </w:tcPr>
          <w:p>
            <w:pPr>
              <w:jc w:val="left"/>
            </w:pPr>
            <w:r>
              <w:rPr>
                <w:b/>
                <w:color w:val="FFFFFF"/>
                <w:sz w:val="17"/>
              </w:rPr>
              <w:t>Indicative Scope</w:t>
            </w:r>
          </w:p>
        </w:tc>
        <w:tc>
          <w:tcPr>
            <w:tcW w:type="dxa" w:w="2304"/>
            <w:shd w:fill="171717"/>
            <w:vAlign w:val="center"/>
          </w:tcPr>
          <w:p>
            <w:pPr>
              <w:jc w:val="left"/>
            </w:pPr>
            <w:r>
              <w:rPr>
                <w:b/>
                <w:color w:val="FFFFFF"/>
                <w:sz w:val="17"/>
              </w:rPr>
              <w:t>Pricing Status</w:t>
            </w:r>
          </w:p>
        </w:tc>
      </w:tr>
      <w:tr>
        <w:tc>
          <w:tcPr>
            <w:tcW w:type="dxa" w:w="2016"/>
            <w:vAlign w:val="top"/>
          </w:tcPr>
          <w:p>
            <w:pPr>
              <w:spacing w:after="20"/>
            </w:pPr>
            <w:r>
              <w:rPr>
                <w:sz w:val="16"/>
              </w:rPr>
              <w:t>Revenue Spine Diagnostic</w:t>
            </w:r>
          </w:p>
        </w:tc>
        <w:tc>
          <w:tcPr>
            <w:tcW w:type="dxa" w:w="2448"/>
            <w:vAlign w:val="top"/>
          </w:tcPr>
          <w:p>
            <w:pPr>
              <w:spacing w:after="20"/>
            </w:pPr>
            <w:r>
              <w:rPr>
                <w:sz w:val="16"/>
              </w:rPr>
              <w:t>Economic leak + 90-day prescription</w:t>
            </w:r>
          </w:p>
        </w:tc>
        <w:tc>
          <w:tcPr>
            <w:tcW w:type="dxa" w:w="3600"/>
            <w:vAlign w:val="top"/>
          </w:tcPr>
          <w:p>
            <w:pPr>
              <w:spacing w:after="20"/>
            </w:pPr>
            <w:r>
              <w:rPr>
                <w:sz w:val="16"/>
              </w:rPr>
              <w:t>Interviews, evidence, scoring, opportunity map, ROI scenarios</w:t>
            </w:r>
          </w:p>
        </w:tc>
        <w:tc>
          <w:tcPr>
            <w:tcW w:type="dxa" w:w="2304"/>
            <w:vAlign w:val="top"/>
          </w:tcPr>
          <w:p>
            <w:pPr>
              <w:spacing w:after="20"/>
            </w:pPr>
            <w:r>
              <w:rPr>
                <w:sz w:val="16"/>
              </w:rPr>
              <w:t>Price to be validated; historical AI-audit range $2.5K-$5K</w:t>
            </w:r>
          </w:p>
        </w:tc>
      </w:tr>
      <w:tr>
        <w:tc>
          <w:tcPr>
            <w:tcW w:type="dxa" w:w="2016"/>
            <w:vAlign w:val="top"/>
            <w:shd w:fill="F2F2F0"/>
          </w:tcPr>
          <w:p>
            <w:pPr>
              <w:spacing w:after="20"/>
            </w:pPr>
            <w:r>
              <w:rPr>
                <w:sz w:val="16"/>
              </w:rPr>
              <w:t>Revenue Spine Sprint</w:t>
            </w:r>
          </w:p>
        </w:tc>
        <w:tc>
          <w:tcPr>
            <w:tcW w:type="dxa" w:w="2448"/>
            <w:vAlign w:val="top"/>
            <w:shd w:fill="F2F2F0"/>
          </w:tcPr>
          <w:p>
            <w:pPr>
              <w:spacing w:after="20"/>
            </w:pPr>
            <w:r>
              <w:rPr>
                <w:sz w:val="16"/>
              </w:rPr>
              <w:t>One validated constraint repaired</w:t>
            </w:r>
          </w:p>
        </w:tc>
        <w:tc>
          <w:tcPr>
            <w:tcW w:type="dxa" w:w="3600"/>
            <w:vAlign w:val="top"/>
            <w:shd w:fill="F2F2F0"/>
          </w:tcPr>
          <w:p>
            <w:pPr>
              <w:spacing w:after="20"/>
            </w:pPr>
            <w:r>
              <w:rPr>
                <w:sz w:val="16"/>
              </w:rPr>
              <w:t>One workflow / conversion / follow-up intervention</w:t>
            </w:r>
          </w:p>
        </w:tc>
        <w:tc>
          <w:tcPr>
            <w:tcW w:type="dxa" w:w="2304"/>
            <w:vAlign w:val="top"/>
            <w:shd w:fill="F2F2F0"/>
          </w:tcPr>
          <w:p>
            <w:pPr>
              <w:spacing w:after="20"/>
            </w:pPr>
            <w:r>
              <w:rPr>
                <w:sz w:val="16"/>
              </w:rPr>
              <w:t>Historical strategic range $10K-$15K; validate</w:t>
            </w:r>
          </w:p>
        </w:tc>
      </w:tr>
      <w:tr>
        <w:tc>
          <w:tcPr>
            <w:tcW w:type="dxa" w:w="2016"/>
            <w:vAlign w:val="top"/>
          </w:tcPr>
          <w:p>
            <w:pPr>
              <w:spacing w:after="20"/>
            </w:pPr>
            <w:r>
              <w:rPr>
                <w:sz w:val="16"/>
              </w:rPr>
              <w:t>Revenue Spine Install</w:t>
            </w:r>
          </w:p>
        </w:tc>
        <w:tc>
          <w:tcPr>
            <w:tcW w:type="dxa" w:w="2448"/>
            <w:vAlign w:val="top"/>
          </w:tcPr>
          <w:p>
            <w:pPr>
              <w:spacing w:after="20"/>
            </w:pPr>
            <w:r>
              <w:rPr>
                <w:sz w:val="16"/>
              </w:rPr>
              <w:t>Core revenue infrastructure installed</w:t>
            </w:r>
          </w:p>
        </w:tc>
        <w:tc>
          <w:tcPr>
            <w:tcW w:type="dxa" w:w="3600"/>
            <w:vAlign w:val="top"/>
          </w:tcPr>
          <w:p>
            <w:pPr>
              <w:spacing w:after="20"/>
            </w:pPr>
            <w:r>
              <w:rPr>
                <w:sz w:val="16"/>
              </w:rPr>
              <w:t>Multi-intervention build; local-service edition may retain 14-day delivery</w:t>
            </w:r>
          </w:p>
        </w:tc>
        <w:tc>
          <w:tcPr>
            <w:tcW w:type="dxa" w:w="2304"/>
            <w:vAlign w:val="top"/>
          </w:tcPr>
          <w:p>
            <w:pPr>
              <w:spacing w:after="20"/>
            </w:pPr>
            <w:r>
              <w:rPr>
                <w:sz w:val="16"/>
              </w:rPr>
              <w:t>Higher-ticket system price to be validated</w:t>
            </w:r>
          </w:p>
        </w:tc>
      </w:tr>
      <w:tr>
        <w:tc>
          <w:tcPr>
            <w:tcW w:type="dxa" w:w="2016"/>
            <w:vAlign w:val="top"/>
            <w:shd w:fill="F2F2F0"/>
          </w:tcPr>
          <w:p>
            <w:pPr>
              <w:spacing w:after="20"/>
            </w:pPr>
            <w:r>
              <w:rPr>
                <w:sz w:val="16"/>
              </w:rPr>
              <w:t>Revenue Spine Optimization</w:t>
            </w:r>
          </w:p>
        </w:tc>
        <w:tc>
          <w:tcPr>
            <w:tcW w:type="dxa" w:w="2448"/>
            <w:vAlign w:val="top"/>
            <w:shd w:fill="F2F2F0"/>
          </w:tcPr>
          <w:p>
            <w:pPr>
              <w:spacing w:after="20"/>
            </w:pPr>
            <w:r>
              <w:rPr>
                <w:sz w:val="16"/>
              </w:rPr>
              <w:t>Monthly measurement and improvement</w:t>
            </w:r>
          </w:p>
        </w:tc>
        <w:tc>
          <w:tcPr>
            <w:tcW w:type="dxa" w:w="3600"/>
            <w:vAlign w:val="top"/>
            <w:shd w:fill="F2F2F0"/>
          </w:tcPr>
          <w:p>
            <w:pPr>
              <w:spacing w:after="20"/>
            </w:pPr>
            <w:r>
              <w:rPr>
                <w:sz w:val="16"/>
              </w:rPr>
              <w:t>Analytics, experiments, maintenance, new interventions, quarterly roadmap</w:t>
            </w:r>
          </w:p>
        </w:tc>
        <w:tc>
          <w:tcPr>
            <w:tcW w:type="dxa" w:w="2304"/>
            <w:vAlign w:val="top"/>
            <w:shd w:fill="F2F2F0"/>
          </w:tcPr>
          <w:p>
            <w:pPr>
              <w:spacing w:after="20"/>
            </w:pPr>
            <w:r>
              <w:rPr>
                <w:sz w:val="16"/>
              </w:rPr>
              <w:t>Historical strategic range $2K-$5K/mo; current site shows $500-$800/mo local-service retainer</w:t>
            </w:r>
          </w:p>
        </w:tc>
      </w:tr>
      <w:tr>
        <w:tc>
          <w:tcPr>
            <w:tcW w:type="dxa" w:w="2016"/>
            <w:vAlign w:val="top"/>
          </w:tcPr>
          <w:p>
            <w:pPr>
              <w:spacing w:after="20"/>
            </w:pPr>
            <w:r>
              <w:rPr>
                <w:sz w:val="16"/>
              </w:rPr>
              <w:t>Revenue Spine Institutional</w:t>
            </w:r>
          </w:p>
        </w:tc>
        <w:tc>
          <w:tcPr>
            <w:tcW w:type="dxa" w:w="2448"/>
            <w:vAlign w:val="top"/>
          </w:tcPr>
          <w:p>
            <w:pPr>
              <w:spacing w:after="20"/>
            </w:pPr>
            <w:r>
              <w:rPr>
                <w:sz w:val="16"/>
              </w:rPr>
              <w:t>Train + implement across teams</w:t>
            </w:r>
          </w:p>
        </w:tc>
        <w:tc>
          <w:tcPr>
            <w:tcW w:type="dxa" w:w="3600"/>
            <w:vAlign w:val="top"/>
          </w:tcPr>
          <w:p>
            <w:pPr>
              <w:spacing w:after="20"/>
            </w:pPr>
            <w:r>
              <w:rPr>
                <w:sz w:val="16"/>
              </w:rPr>
              <w:t>Workshop, governance, workflow deployment, train-the-trainer</w:t>
            </w:r>
          </w:p>
        </w:tc>
        <w:tc>
          <w:tcPr>
            <w:tcW w:type="dxa" w:w="2304"/>
            <w:vAlign w:val="top"/>
          </w:tcPr>
          <w:p>
            <w:pPr>
              <w:spacing w:after="20"/>
            </w:pPr>
            <w:r>
              <w:rPr>
                <w:sz w:val="16"/>
              </w:rPr>
              <w:t>Historical strategic range $7.5K-$60K+; validate by institution</w:t>
            </w:r>
          </w:p>
        </w:tc>
      </w:tr>
    </w:tbl>
    <w:p/>
    <w:tbl>
      <w:tblPr>
        <w:tblW w:type="auto" w:w="0"/>
        <w:jc w:val="center"/>
        <w:tblLook w:firstColumn="1" w:firstRow="1" w:lastColumn="0" w:lastRow="0" w:noHBand="0" w:noVBand="1" w:val="04A0"/>
      </w:tblPr>
      <w:tblGrid>
        <w:gridCol w:w="10166"/>
      </w:tblGrid>
      <w:tr>
        <w:tc>
          <w:tcPr>
            <w:tcW w:type="dxa" w:w="10166"/>
            <w:shd w:fill="171717"/>
            <w:tcBorders>
              <w:top w:sz="2" w:val="single" w:color="171717"/>
              <w:left w:sz="18" w:val="single" w:color="D9A514"/>
              <w:bottom w:sz="2" w:val="single" w:color="171717"/>
              <w:right w:sz="2" w:val="single" w:color="171717"/>
            </w:tcBorders>
          </w:tcPr>
          <w:p>
            <w:pPr>
              <w:pStyle w:val="Callout"/>
            </w:pPr>
            <w:r>
              <w:rPr>
                <w:color w:val="D9A514"/>
                <w:sz w:val="17"/>
              </w:rPr>
              <w:t>TRANSITIONAL PRICING RULE</w:t>
              <w:br/>
            </w:r>
            <w:r>
              <w:rPr>
                <w:color w:val="FFFFFF"/>
                <w:sz w:val="21"/>
              </w:rPr>
              <w:t>Do not raise prices because the new architecture sounds more valuable. Raise them only as scope, proof, buyer economics, and delivery capability support it. Current website packages can remain temporarily as a Local Service Edition while the higher-value Revenue Spine offers are validated.</w:t>
            </w:r>
          </w:p>
        </w:tc>
      </w:tr>
    </w:tbl>
    <w:p/>
    <w:p>
      <w:pPr>
        <w:pStyle w:val="Heading1"/>
      </w:pPr>
      <w:r>
        <w:t>4. Current Website: What Changes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744"/>
            <w:shd w:fill="171717"/>
            <w:vAlign w:val="center"/>
          </w:tcPr>
          <w:p>
            <w:pPr>
              <w:jc w:val="left"/>
            </w:pPr>
            <w:r>
              <w:rPr>
                <w:b/>
                <w:color w:val="FFFFFF"/>
                <w:sz w:val="17"/>
              </w:rPr>
              <w:t>Current Signal from Supplied Screenshots</w:t>
            </w:r>
          </w:p>
        </w:tc>
        <w:tc>
          <w:tcPr>
            <w:tcW w:type="dxa" w:w="2016"/>
            <w:shd w:fill="171717"/>
            <w:vAlign w:val="center"/>
          </w:tcPr>
          <w:p>
            <w:pPr>
              <w:jc w:val="left"/>
            </w:pPr>
            <w:r>
              <w:rPr>
                <w:b/>
                <w:color w:val="FFFFFF"/>
                <w:sz w:val="17"/>
              </w:rPr>
              <w:t>Keep / Change</w:t>
            </w:r>
          </w:p>
        </w:tc>
        <w:tc>
          <w:tcPr>
            <w:tcW w:type="dxa" w:w="4608"/>
            <w:shd w:fill="171717"/>
            <w:vAlign w:val="center"/>
          </w:tcPr>
          <w:p>
            <w:pPr>
              <w:jc w:val="left"/>
            </w:pPr>
            <w:r>
              <w:rPr>
                <w:b/>
                <w:color w:val="FFFFFF"/>
                <w:sz w:val="17"/>
              </w:rPr>
              <w:t>Action</w:t>
            </w:r>
          </w:p>
        </w:tc>
      </w:tr>
      <w:tr>
        <w:tc>
          <w:tcPr>
            <w:tcW w:type="dxa" w:w="3744"/>
            <w:vAlign w:val="top"/>
          </w:tcPr>
          <w:p>
            <w:pPr>
              <w:spacing w:after="20"/>
            </w:pPr>
            <w:r>
              <w:rPr>
                <w:sz w:val="16"/>
              </w:rPr>
              <w:t>'Atlanta's Revenue Infrastructure Builder'</w:t>
            </w:r>
          </w:p>
        </w:tc>
        <w:tc>
          <w:tcPr>
            <w:tcW w:type="dxa" w:w="2016"/>
            <w:vAlign w:val="top"/>
          </w:tcPr>
          <w:p>
            <w:pPr>
              <w:spacing w:after="20"/>
            </w:pPr>
            <w:r>
              <w:rPr>
                <w:sz w:val="16"/>
              </w:rPr>
              <w:t>KEEP</w:t>
            </w:r>
          </w:p>
        </w:tc>
        <w:tc>
          <w:tcPr>
            <w:tcW w:type="dxa" w:w="4608"/>
            <w:vAlign w:val="top"/>
          </w:tcPr>
          <w:p>
            <w:pPr>
              <w:spacing w:after="20"/>
            </w:pPr>
            <w:r>
              <w:rPr>
                <w:sz w:val="16"/>
              </w:rPr>
              <w:t>Strong category direction. Expand beyond website-only framing.</w:t>
            </w:r>
          </w:p>
        </w:tc>
      </w:tr>
      <w:tr>
        <w:tc>
          <w:tcPr>
            <w:tcW w:type="dxa" w:w="3744"/>
            <w:vAlign w:val="top"/>
            <w:shd w:fill="F2F2F0"/>
          </w:tcPr>
          <w:p>
            <w:pPr>
              <w:spacing w:after="20"/>
            </w:pPr>
            <w:r>
              <w:rPr>
                <w:sz w:val="16"/>
              </w:rPr>
              <w:t>'Your website should be booking calls'</w:t>
            </w:r>
          </w:p>
        </w:tc>
        <w:tc>
          <w:tcPr>
            <w:tcW w:type="dxa" w:w="2016"/>
            <w:vAlign w:val="top"/>
            <w:shd w:fill="F2F2F0"/>
          </w:tcPr>
          <w:p>
            <w:pPr>
              <w:spacing w:after="20"/>
            </w:pPr>
            <w:r>
              <w:rPr>
                <w:sz w:val="16"/>
              </w:rPr>
              <w:t>NARROW</w:t>
            </w:r>
          </w:p>
        </w:tc>
        <w:tc>
          <w:tcPr>
            <w:tcW w:type="dxa" w:w="4608"/>
            <w:vAlign w:val="top"/>
            <w:shd w:fill="F2F2F0"/>
          </w:tcPr>
          <w:p>
            <w:pPr>
              <w:spacing w:after="20"/>
            </w:pPr>
            <w:r>
              <w:rPr>
                <w:sz w:val="16"/>
              </w:rPr>
              <w:t>Use on Local Service Edition page, not as company-wide hero.</w:t>
            </w:r>
          </w:p>
        </w:tc>
      </w:tr>
      <w:tr>
        <w:tc>
          <w:tcPr>
            <w:tcW w:type="dxa" w:w="3744"/>
            <w:vAlign w:val="top"/>
          </w:tcPr>
          <w:p>
            <w:pPr>
              <w:spacing w:after="20"/>
            </w:pPr>
            <w:r>
              <w:rPr>
                <w:sz w:val="16"/>
              </w:rPr>
              <w:t>Free 15-minute audit</w:t>
            </w:r>
          </w:p>
        </w:tc>
        <w:tc>
          <w:tcPr>
            <w:tcW w:type="dxa" w:w="2016"/>
            <w:vAlign w:val="top"/>
          </w:tcPr>
          <w:p>
            <w:pPr>
              <w:spacing w:after="20"/>
            </w:pPr>
            <w:r>
              <w:rPr>
                <w:sz w:val="16"/>
              </w:rPr>
              <w:t>TEST</w:t>
            </w:r>
          </w:p>
        </w:tc>
        <w:tc>
          <w:tcPr>
            <w:tcW w:type="dxa" w:w="4608"/>
            <w:vAlign w:val="top"/>
          </w:tcPr>
          <w:p>
            <w:pPr>
              <w:spacing w:after="20"/>
            </w:pPr>
            <w:r>
              <w:rPr>
                <w:sz w:val="16"/>
              </w:rPr>
              <w:t>Qualify tightly or replace with diagnostic application if unqualified volume rises.</w:t>
            </w:r>
          </w:p>
        </w:tc>
      </w:tr>
      <w:tr>
        <w:tc>
          <w:tcPr>
            <w:tcW w:type="dxa" w:w="3744"/>
            <w:vAlign w:val="top"/>
            <w:shd w:fill="F2F2F0"/>
          </w:tcPr>
          <w:p>
            <w:pPr>
              <w:spacing w:after="20"/>
            </w:pPr>
            <w:r>
              <w:rPr>
                <w:sz w:val="16"/>
              </w:rPr>
              <w:t>14-day delivery</w:t>
            </w:r>
          </w:p>
        </w:tc>
        <w:tc>
          <w:tcPr>
            <w:tcW w:type="dxa" w:w="2016"/>
            <w:vAlign w:val="top"/>
            <w:shd w:fill="F2F2F0"/>
          </w:tcPr>
          <w:p>
            <w:pPr>
              <w:spacing w:after="20"/>
            </w:pPr>
            <w:r>
              <w:rPr>
                <w:sz w:val="16"/>
              </w:rPr>
              <w:t>KEEP WITH BOUNDARY</w:t>
            </w:r>
          </w:p>
        </w:tc>
        <w:tc>
          <w:tcPr>
            <w:tcW w:type="dxa" w:w="4608"/>
            <w:vAlign w:val="top"/>
            <w:shd w:fill="F2F2F0"/>
          </w:tcPr>
          <w:p>
            <w:pPr>
              <w:spacing w:after="20"/>
            </w:pPr>
            <w:r>
              <w:rPr>
                <w:sz w:val="16"/>
              </w:rPr>
              <w:t>Apply to standardized local-service install only.</w:t>
            </w:r>
          </w:p>
        </w:tc>
      </w:tr>
      <w:tr>
        <w:tc>
          <w:tcPr>
            <w:tcW w:type="dxa" w:w="3744"/>
            <w:vAlign w:val="top"/>
          </w:tcPr>
          <w:p>
            <w:pPr>
              <w:spacing w:after="20"/>
            </w:pPr>
            <w:r>
              <w:rPr>
                <w:sz w:val="16"/>
              </w:rPr>
              <w:t>Three website packages at $1.5K/$2.5K/$3.5K</w:t>
            </w:r>
          </w:p>
        </w:tc>
        <w:tc>
          <w:tcPr>
            <w:tcW w:type="dxa" w:w="2016"/>
            <w:vAlign w:val="top"/>
          </w:tcPr>
          <w:p>
            <w:pPr>
              <w:spacing w:after="20"/>
            </w:pPr>
            <w:r>
              <w:rPr>
                <w:sz w:val="16"/>
              </w:rPr>
              <w:t>TRANSITION</w:t>
            </w:r>
          </w:p>
        </w:tc>
        <w:tc>
          <w:tcPr>
            <w:tcW w:type="dxa" w:w="4608"/>
            <w:vAlign w:val="top"/>
          </w:tcPr>
          <w:p>
            <w:pPr>
              <w:spacing w:after="20"/>
            </w:pPr>
            <w:r>
              <w:rPr>
                <w:sz w:val="16"/>
              </w:rPr>
              <w:t>Move under Local Service Edition; stop treating them as the full Revenue Spine ladder.</w:t>
            </w:r>
          </w:p>
        </w:tc>
      </w:tr>
      <w:tr>
        <w:tc>
          <w:tcPr>
            <w:tcW w:type="dxa" w:w="3744"/>
            <w:vAlign w:val="top"/>
            <w:shd w:fill="F2F2F0"/>
          </w:tcPr>
          <w:p>
            <w:pPr>
              <w:spacing w:after="20"/>
            </w:pPr>
            <w:r>
              <w:rPr>
                <w:sz w:val="16"/>
              </w:rPr>
              <w:t>$500-$800/mo optimization retainer</w:t>
            </w:r>
          </w:p>
        </w:tc>
        <w:tc>
          <w:tcPr>
            <w:tcW w:type="dxa" w:w="2016"/>
            <w:vAlign w:val="top"/>
            <w:shd w:fill="F2F2F0"/>
          </w:tcPr>
          <w:p>
            <w:pPr>
              <w:spacing w:after="20"/>
            </w:pPr>
            <w:r>
              <w:rPr>
                <w:sz w:val="16"/>
              </w:rPr>
              <w:t>TRANSITION</w:t>
            </w:r>
          </w:p>
        </w:tc>
        <w:tc>
          <w:tcPr>
            <w:tcW w:type="dxa" w:w="4608"/>
            <w:vAlign w:val="top"/>
            <w:shd w:fill="F2F2F0"/>
          </w:tcPr>
          <w:p>
            <w:pPr>
              <w:spacing w:after="20"/>
            </w:pPr>
            <w:r>
              <w:rPr>
                <w:sz w:val="16"/>
              </w:rPr>
              <w:t>Keep for local-service edition; build higher-scope optimization for larger organizations.</w:t>
            </w:r>
          </w:p>
        </w:tc>
      </w:tr>
      <w:tr>
        <w:tc>
          <w:tcPr>
            <w:tcW w:type="dxa" w:w="3744"/>
            <w:vAlign w:val="top"/>
          </w:tcPr>
          <w:p>
            <w:pPr>
              <w:spacing w:after="20"/>
            </w:pPr>
            <w:r>
              <w:rPr>
                <w:sz w:val="16"/>
              </w:rPr>
              <w:t>Navigation includes AI Workshop, DJ Bookings, BSOE, Events, Books, Podcast</w:t>
            </w:r>
          </w:p>
        </w:tc>
        <w:tc>
          <w:tcPr>
            <w:tcW w:type="dxa" w:w="2016"/>
            <w:vAlign w:val="top"/>
          </w:tcPr>
          <w:p>
            <w:pPr>
              <w:spacing w:after="20"/>
            </w:pPr>
            <w:r>
              <w:rPr>
                <w:sz w:val="16"/>
              </w:rPr>
              <w:t>REDUCE COMMERCIAL COMPETITION</w:t>
            </w:r>
          </w:p>
        </w:tc>
        <w:tc>
          <w:tcPr>
            <w:tcW w:type="dxa" w:w="4608"/>
            <w:vAlign w:val="top"/>
          </w:tcPr>
          <w:p>
            <w:pPr>
              <w:spacing w:after="20"/>
            </w:pPr>
            <w:r>
              <w:rPr>
                <w:sz w:val="16"/>
              </w:rPr>
              <w:t>Preserve ecosystem access but make Revenue Spine the dominant commercial path.</w:t>
            </w:r>
          </w:p>
        </w:tc>
      </w:tr>
      <w:tr>
        <w:tc>
          <w:tcPr>
            <w:tcW w:type="dxa" w:w="3744"/>
            <w:vAlign w:val="top"/>
            <w:shd w:fill="F2F2F0"/>
          </w:tcPr>
          <w:p>
            <w:pPr>
              <w:spacing w:after="20"/>
            </w:pPr>
            <w:r>
              <w:rPr>
                <w:sz w:val="16"/>
              </w:rPr>
              <w:t>Claims such as '3x avg booking increase' and '65%+ gross margin delivered'</w:t>
            </w:r>
          </w:p>
        </w:tc>
        <w:tc>
          <w:tcPr>
            <w:tcW w:type="dxa" w:w="2016"/>
            <w:vAlign w:val="top"/>
            <w:shd w:fill="F2F2F0"/>
          </w:tcPr>
          <w:p>
            <w:pPr>
              <w:spacing w:after="20"/>
            </w:pPr>
            <w:r>
              <w:rPr>
                <w:sz w:val="16"/>
              </w:rPr>
              <w:t>VERIFY</w:t>
            </w:r>
          </w:p>
        </w:tc>
        <w:tc>
          <w:tcPr>
            <w:tcW w:type="dxa" w:w="4608"/>
            <w:vAlign w:val="top"/>
            <w:shd w:fill="F2F2F0"/>
          </w:tcPr>
          <w:p>
            <w:pPr>
              <w:spacing w:after="20"/>
            </w:pPr>
            <w:r>
              <w:rPr>
                <w:sz w:val="16"/>
              </w:rPr>
              <w:t>Publish only if supported by auditable client data and a clearly defined calculation basis.</w:t>
            </w:r>
          </w:p>
        </w:tc>
      </w:tr>
    </w:tbl>
    <w:p/>
    <w:p>
      <w:pPr>
        <w:pStyle w:val="Heading1"/>
      </w:pPr>
      <w:r>
        <w:t>5. Website Information Architecture</w:t>
      </w:r>
    </w:p>
    <w:p>
      <w:pPr>
        <w:pStyle w:val="ListNumber"/>
        <w:spacing w:after="40"/>
      </w:pPr>
      <w:r>
        <w:t>Home: category, problem, method, proof, CTA.</w:t>
      </w:r>
    </w:p>
    <w:p>
      <w:pPr>
        <w:pStyle w:val="ListNumber"/>
        <w:spacing w:after="40"/>
      </w:pPr>
      <w:r>
        <w:t>Revenue Spine: methodology and diagnostic framework.</w:t>
      </w:r>
    </w:p>
    <w:p>
      <w:pPr>
        <w:pStyle w:val="ListNumber"/>
        <w:spacing w:after="40"/>
      </w:pPr>
      <w:r>
        <w:t>Solutions: Local Service Edition, Operations/AI Edition, Institutional Edition.</w:t>
      </w:r>
    </w:p>
    <w:p>
      <w:pPr>
        <w:pStyle w:val="ListNumber"/>
        <w:spacing w:after="40"/>
      </w:pPr>
      <w:r>
        <w:t>Case Studies: verified baseline -&gt; intervention -&gt; result.</w:t>
      </w:r>
    </w:p>
    <w:p>
      <w:pPr>
        <w:pStyle w:val="ListNumber"/>
        <w:spacing w:after="40"/>
      </w:pPr>
      <w:r>
        <w:t>Resources / Insights: authority content and diagnostic tools.</w:t>
      </w:r>
    </w:p>
    <w:p>
      <w:pPr>
        <w:pStyle w:val="ListNumber"/>
        <w:spacing w:after="40"/>
      </w:pPr>
      <w:r>
        <w:t>About: founder credibility and operating philosophy.</w:t>
      </w:r>
    </w:p>
    <w:p>
      <w:pPr>
        <w:pStyle w:val="ListNumber"/>
        <w:spacing w:after="40"/>
      </w:pPr>
      <w:r>
        <w:t>Book Diagnostic / Apply: qualification and scheduling.</w:t>
      </w:r>
    </w:p>
    <w:p>
      <w:pPr>
        <w:pStyle w:val="Heading2"/>
      </w:pPr>
      <w:r>
        <w:t>Homepage narrative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171717"/>
            <w:vAlign w:val="center"/>
          </w:tcPr>
          <w:p>
            <w:pPr>
              <w:jc w:val="left"/>
            </w:pPr>
            <w:r>
              <w:rPr>
                <w:b/>
                <w:color w:val="FFFFFF"/>
                <w:sz w:val="17"/>
              </w:rPr>
              <w:t>Section</w:t>
            </w:r>
          </w:p>
        </w:tc>
        <w:tc>
          <w:tcPr>
            <w:tcW w:type="dxa" w:w="7488"/>
            <w:shd w:fill="171717"/>
            <w:vAlign w:val="center"/>
          </w:tcPr>
          <w:p>
            <w:pPr>
              <w:jc w:val="left"/>
            </w:pPr>
            <w:r>
              <w:rPr>
                <w:b/>
                <w:color w:val="FFFFFF"/>
                <w:sz w:val="17"/>
              </w:rPr>
              <w:t>Job</w:t>
            </w:r>
          </w:p>
        </w:tc>
      </w:tr>
      <w:tr>
        <w:tc>
          <w:tcPr>
            <w:tcW w:type="dxa" w:w="2304"/>
            <w:vAlign w:val="top"/>
          </w:tcPr>
          <w:p>
            <w:pPr>
              <w:spacing w:after="20"/>
            </w:pPr>
            <w:r>
              <w:rPr>
                <w:sz w:val="16"/>
              </w:rPr>
              <w:t>Hero</w:t>
            </w:r>
          </w:p>
        </w:tc>
        <w:tc>
          <w:tcPr>
            <w:tcW w:type="dxa" w:w="7488"/>
            <w:vAlign w:val="top"/>
          </w:tcPr>
          <w:p>
            <w:pPr>
              <w:spacing w:after="20"/>
            </w:pPr>
            <w:r>
              <w:rPr>
                <w:sz w:val="16"/>
              </w:rPr>
              <w:t>State the economic problem and method in one sentence.</w:t>
            </w:r>
          </w:p>
        </w:tc>
      </w:tr>
      <w:tr>
        <w:tc>
          <w:tcPr>
            <w:tcW w:type="dxa" w:w="2304"/>
            <w:vAlign w:val="top"/>
            <w:shd w:fill="F2F2F0"/>
          </w:tcPr>
          <w:p>
            <w:pPr>
              <w:spacing w:after="20"/>
            </w:pPr>
            <w:r>
              <w:rPr>
                <w:sz w:val="16"/>
              </w:rPr>
              <w:t>What Revenue Spine Diagnoses</w:t>
            </w:r>
          </w:p>
        </w:tc>
        <w:tc>
          <w:tcPr>
            <w:tcW w:type="dxa" w:w="7488"/>
            <w:vAlign w:val="top"/>
            <w:shd w:fill="F2F2F0"/>
          </w:tcPr>
          <w:p>
            <w:pPr>
              <w:spacing w:after="20"/>
            </w:pPr>
            <w:r>
              <w:rPr>
                <w:sz w:val="16"/>
              </w:rPr>
              <w:t>Show the path from attention / operations to money.</w:t>
            </w:r>
          </w:p>
        </w:tc>
      </w:tr>
      <w:tr>
        <w:tc>
          <w:tcPr>
            <w:tcW w:type="dxa" w:w="2304"/>
            <w:vAlign w:val="top"/>
          </w:tcPr>
          <w:p>
            <w:pPr>
              <w:spacing w:after="20"/>
            </w:pPr>
            <w:r>
              <w:rPr>
                <w:sz w:val="16"/>
              </w:rPr>
              <w:t>How It Works</w:t>
            </w:r>
          </w:p>
        </w:tc>
        <w:tc>
          <w:tcPr>
            <w:tcW w:type="dxa" w:w="7488"/>
            <w:vAlign w:val="top"/>
          </w:tcPr>
          <w:p>
            <w:pPr>
              <w:spacing w:after="20"/>
            </w:pPr>
            <w:r>
              <w:rPr>
                <w:sz w:val="16"/>
              </w:rPr>
              <w:t>Diagnose -&gt; Prescribe -&gt; Install -&gt; Measure -&gt; Optimize.</w:t>
            </w:r>
          </w:p>
        </w:tc>
      </w:tr>
      <w:tr>
        <w:tc>
          <w:tcPr>
            <w:tcW w:type="dxa" w:w="2304"/>
            <w:vAlign w:val="top"/>
            <w:shd w:fill="F2F2F0"/>
          </w:tcPr>
          <w:p>
            <w:pPr>
              <w:spacing w:after="20"/>
            </w:pPr>
            <w:r>
              <w:rPr>
                <w:sz w:val="16"/>
              </w:rPr>
              <w:t>Editions</w:t>
            </w:r>
          </w:p>
        </w:tc>
        <w:tc>
          <w:tcPr>
            <w:tcW w:type="dxa" w:w="7488"/>
            <w:vAlign w:val="top"/>
            <w:shd w:fill="F2F2F0"/>
          </w:tcPr>
          <w:p>
            <w:pPr>
              <w:spacing w:after="20"/>
            </w:pPr>
            <w:r>
              <w:rPr>
                <w:sz w:val="16"/>
              </w:rPr>
              <w:t>Show the same method applied to different buyer contexts.</w:t>
            </w:r>
          </w:p>
        </w:tc>
      </w:tr>
      <w:tr>
        <w:tc>
          <w:tcPr>
            <w:tcW w:type="dxa" w:w="2304"/>
            <w:vAlign w:val="top"/>
          </w:tcPr>
          <w:p>
            <w:pPr>
              <w:spacing w:after="20"/>
            </w:pPr>
            <w:r>
              <w:rPr>
                <w:sz w:val="16"/>
              </w:rPr>
              <w:t>Proof</w:t>
            </w:r>
          </w:p>
        </w:tc>
        <w:tc>
          <w:tcPr>
            <w:tcW w:type="dxa" w:w="7488"/>
            <w:vAlign w:val="top"/>
          </w:tcPr>
          <w:p>
            <w:pPr>
              <w:spacing w:after="20"/>
            </w:pPr>
            <w:r>
              <w:rPr>
                <w:sz w:val="16"/>
              </w:rPr>
              <w:t>Only verified outcomes, case studies, and specific evidence.</w:t>
            </w:r>
          </w:p>
        </w:tc>
      </w:tr>
      <w:tr>
        <w:tc>
          <w:tcPr>
            <w:tcW w:type="dxa" w:w="2304"/>
            <w:vAlign w:val="top"/>
            <w:shd w:fill="F2F2F0"/>
          </w:tcPr>
          <w:p>
            <w:pPr>
              <w:spacing w:after="20"/>
            </w:pPr>
            <w:r>
              <w:rPr>
                <w:sz w:val="16"/>
              </w:rPr>
              <w:t>Offer Ladder</w:t>
            </w:r>
          </w:p>
        </w:tc>
        <w:tc>
          <w:tcPr>
            <w:tcW w:type="dxa" w:w="7488"/>
            <w:vAlign w:val="top"/>
            <w:shd w:fill="F2F2F0"/>
          </w:tcPr>
          <w:p>
            <w:pPr>
              <w:spacing w:after="20"/>
            </w:pPr>
            <w:r>
              <w:rPr>
                <w:sz w:val="16"/>
              </w:rPr>
              <w:t>Diagnostic -&gt; Sprint/Install -&gt; Optimization.</w:t>
            </w:r>
          </w:p>
        </w:tc>
      </w:tr>
      <w:tr>
        <w:tc>
          <w:tcPr>
            <w:tcW w:type="dxa" w:w="2304"/>
            <w:vAlign w:val="top"/>
          </w:tcPr>
          <w:p>
            <w:pPr>
              <w:spacing w:after="20"/>
            </w:pPr>
            <w:r>
              <w:rPr>
                <w:sz w:val="16"/>
              </w:rPr>
              <w:t>Founder / Authority</w:t>
            </w:r>
          </w:p>
        </w:tc>
        <w:tc>
          <w:tcPr>
            <w:tcW w:type="dxa" w:w="7488"/>
            <w:vAlign w:val="top"/>
          </w:tcPr>
          <w:p>
            <w:pPr>
              <w:spacing w:after="20"/>
            </w:pPr>
            <w:r>
              <w:rPr>
                <w:sz w:val="16"/>
              </w:rPr>
              <w:t>Credibility tied to systems, media, education, and implementation.</w:t>
            </w:r>
          </w:p>
        </w:tc>
      </w:tr>
      <w:tr>
        <w:tc>
          <w:tcPr>
            <w:tcW w:type="dxa" w:w="2304"/>
            <w:vAlign w:val="top"/>
            <w:shd w:fill="F2F2F0"/>
          </w:tcPr>
          <w:p>
            <w:pPr>
              <w:spacing w:after="20"/>
            </w:pPr>
            <w:r>
              <w:rPr>
                <w:sz w:val="16"/>
              </w:rPr>
              <w:t>CTA</w:t>
            </w:r>
          </w:p>
        </w:tc>
        <w:tc>
          <w:tcPr>
            <w:tcW w:type="dxa" w:w="7488"/>
            <w:vAlign w:val="top"/>
            <w:shd w:fill="F2F2F0"/>
          </w:tcPr>
          <w:p>
            <w:pPr>
              <w:spacing w:after="20"/>
            </w:pPr>
            <w:r>
              <w:rPr>
                <w:sz w:val="16"/>
              </w:rPr>
              <w:t>Apply for a Revenue Spine Diagnostic.</w:t>
            </w:r>
          </w:p>
        </w:tc>
      </w:tr>
    </w:tbl>
    <w:p/>
    <w:p>
      <w:pPr>
        <w:pStyle w:val="Heading1"/>
      </w:pPr>
      <w:r>
        <w:t>6. Distribution Strategy</w:t>
      </w:r>
    </w:p>
    <w:p>
      <w:pPr>
        <w:pStyle w:val="Heading2"/>
      </w:pPr>
      <w:r>
        <w:t>Channel priority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08"/>
            <w:shd w:fill="171717"/>
            <w:vAlign w:val="center"/>
          </w:tcPr>
          <w:p>
            <w:pPr>
              <w:jc w:val="left"/>
            </w:pPr>
            <w:r>
              <w:rPr>
                <w:b/>
                <w:color w:val="FFFFFF"/>
                <w:sz w:val="17"/>
              </w:rPr>
              <w:t>Priority</w:t>
            </w:r>
          </w:p>
        </w:tc>
        <w:tc>
          <w:tcPr>
            <w:tcW w:type="dxa" w:w="2880"/>
            <w:shd w:fill="171717"/>
            <w:vAlign w:val="center"/>
          </w:tcPr>
          <w:p>
            <w:pPr>
              <w:jc w:val="left"/>
            </w:pPr>
            <w:r>
              <w:rPr>
                <w:b/>
                <w:color w:val="FFFFFF"/>
                <w:sz w:val="17"/>
              </w:rPr>
              <w:t>Channel</w:t>
            </w:r>
          </w:p>
        </w:tc>
        <w:tc>
          <w:tcPr>
            <w:tcW w:type="dxa" w:w="5904"/>
            <w:shd w:fill="171717"/>
            <w:vAlign w:val="center"/>
          </w:tcPr>
          <w:p>
            <w:pPr>
              <w:jc w:val="left"/>
            </w:pPr>
            <w:r>
              <w:rPr>
                <w:b/>
                <w:color w:val="FFFFFF"/>
                <w:sz w:val="17"/>
              </w:rPr>
              <w:t>Why</w:t>
            </w:r>
          </w:p>
        </w:tc>
      </w:tr>
      <w:tr>
        <w:tc>
          <w:tcPr>
            <w:tcW w:type="dxa" w:w="1008"/>
            <w:vAlign w:val="top"/>
          </w:tcPr>
          <w:p>
            <w:pPr>
              <w:spacing w:after="20"/>
            </w:pPr>
            <w:r>
              <w:rPr>
                <w:sz w:val="16"/>
              </w:rPr>
              <w:t>1</w:t>
            </w:r>
          </w:p>
        </w:tc>
        <w:tc>
          <w:tcPr>
            <w:tcW w:type="dxa" w:w="2880"/>
            <w:vAlign w:val="top"/>
          </w:tcPr>
          <w:p>
            <w:pPr>
              <w:spacing w:after="20"/>
            </w:pPr>
            <w:r>
              <w:rPr>
                <w:sz w:val="16"/>
              </w:rPr>
              <w:t>Direct executive outreach</w:t>
            </w:r>
          </w:p>
        </w:tc>
        <w:tc>
          <w:tcPr>
            <w:tcW w:type="dxa" w:w="5904"/>
            <w:vAlign w:val="top"/>
          </w:tcPr>
          <w:p>
            <w:pPr>
              <w:spacing w:after="20"/>
            </w:pPr>
            <w:r>
              <w:rPr>
                <w:sz w:val="16"/>
              </w:rPr>
              <w:t>Fastest path to qualified conversations and learning.</w:t>
            </w:r>
          </w:p>
        </w:tc>
      </w:tr>
      <w:tr>
        <w:tc>
          <w:tcPr>
            <w:tcW w:type="dxa" w:w="1008"/>
            <w:vAlign w:val="top"/>
            <w:shd w:fill="F2F2F0"/>
          </w:tcPr>
          <w:p>
            <w:pPr>
              <w:spacing w:after="20"/>
            </w:pPr>
            <w:r>
              <w:rPr>
                <w:sz w:val="16"/>
              </w:rPr>
              <w:t>2</w:t>
            </w:r>
          </w:p>
        </w:tc>
        <w:tc>
          <w:tcPr>
            <w:tcW w:type="dxa" w:w="2880"/>
            <w:vAlign w:val="top"/>
            <w:shd w:fill="F2F2F0"/>
          </w:tcPr>
          <w:p>
            <w:pPr>
              <w:spacing w:after="20"/>
            </w:pPr>
            <w:r>
              <w:rPr>
                <w:sz w:val="16"/>
              </w:rPr>
              <w:t>Strategic referral partners</w:t>
            </w:r>
          </w:p>
        </w:tc>
        <w:tc>
          <w:tcPr>
            <w:tcW w:type="dxa" w:w="5904"/>
            <w:vAlign w:val="top"/>
            <w:shd w:fill="F2F2F0"/>
          </w:tcPr>
          <w:p>
            <w:pPr>
              <w:spacing w:after="20"/>
            </w:pPr>
            <w:r>
              <w:rPr>
                <w:sz w:val="16"/>
              </w:rPr>
              <w:t>Leverages trusted access: CPAs, MSPs, COOs, CRM consultants, attorneys, agencies.</w:t>
            </w:r>
          </w:p>
        </w:tc>
      </w:tr>
      <w:tr>
        <w:tc>
          <w:tcPr>
            <w:tcW w:type="dxa" w:w="1008"/>
            <w:vAlign w:val="top"/>
          </w:tcPr>
          <w:p>
            <w:pPr>
              <w:spacing w:after="20"/>
            </w:pPr>
            <w:r>
              <w:rPr>
                <w:sz w:val="16"/>
              </w:rPr>
              <w:t>3</w:t>
            </w:r>
          </w:p>
        </w:tc>
        <w:tc>
          <w:tcPr>
            <w:tcW w:type="dxa" w:w="2880"/>
            <w:vAlign w:val="top"/>
          </w:tcPr>
          <w:p>
            <w:pPr>
              <w:spacing w:after="20"/>
            </w:pPr>
            <w:r>
              <w:rPr>
                <w:sz w:val="16"/>
              </w:rPr>
              <w:t>Room owners / associations</w:t>
            </w:r>
          </w:p>
        </w:tc>
        <w:tc>
          <w:tcPr>
            <w:tcW w:type="dxa" w:w="5904"/>
            <w:vAlign w:val="top"/>
          </w:tcPr>
          <w:p>
            <w:pPr>
              <w:spacing w:after="20"/>
            </w:pPr>
            <w:r>
              <w:rPr>
                <w:sz w:val="16"/>
              </w:rPr>
              <w:t>One relationship can access dozens of qualified buyers.</w:t>
            </w:r>
          </w:p>
        </w:tc>
      </w:tr>
      <w:tr>
        <w:tc>
          <w:tcPr>
            <w:tcW w:type="dxa" w:w="1008"/>
            <w:vAlign w:val="top"/>
            <w:shd w:fill="F2F2F0"/>
          </w:tcPr>
          <w:p>
            <w:pPr>
              <w:spacing w:after="20"/>
            </w:pPr>
            <w:r>
              <w:rPr>
                <w:sz w:val="16"/>
              </w:rPr>
              <w:t>4</w:t>
            </w:r>
          </w:p>
        </w:tc>
        <w:tc>
          <w:tcPr>
            <w:tcW w:type="dxa" w:w="2880"/>
            <w:vAlign w:val="top"/>
            <w:shd w:fill="F2F2F0"/>
          </w:tcPr>
          <w:p>
            <w:pPr>
              <w:spacing w:after="20"/>
            </w:pPr>
            <w:r>
              <w:rPr>
                <w:sz w:val="16"/>
              </w:rPr>
              <w:t>LinkedIn authority</w:t>
            </w:r>
          </w:p>
        </w:tc>
        <w:tc>
          <w:tcPr>
            <w:tcW w:type="dxa" w:w="5904"/>
            <w:vAlign w:val="top"/>
            <w:shd w:fill="F2F2F0"/>
          </w:tcPr>
          <w:p>
            <w:pPr>
              <w:spacing w:after="20"/>
            </w:pPr>
            <w:r>
              <w:rPr>
                <w:sz w:val="16"/>
              </w:rPr>
              <w:t>Supports credibility, proof, and warm conversion.</w:t>
            </w:r>
          </w:p>
        </w:tc>
      </w:tr>
      <w:tr>
        <w:tc>
          <w:tcPr>
            <w:tcW w:type="dxa" w:w="1008"/>
            <w:vAlign w:val="top"/>
          </w:tcPr>
          <w:p>
            <w:pPr>
              <w:spacing w:after="20"/>
            </w:pPr>
            <w:r>
              <w:rPr>
                <w:sz w:val="16"/>
              </w:rPr>
              <w:t>5</w:t>
            </w:r>
          </w:p>
        </w:tc>
        <w:tc>
          <w:tcPr>
            <w:tcW w:type="dxa" w:w="2880"/>
            <w:vAlign w:val="top"/>
          </w:tcPr>
          <w:p>
            <w:pPr>
              <w:spacing w:after="20"/>
            </w:pPr>
            <w:r>
              <w:rPr>
                <w:sz w:val="16"/>
              </w:rPr>
              <w:t>Workshops / speaking</w:t>
            </w:r>
          </w:p>
        </w:tc>
        <w:tc>
          <w:tcPr>
            <w:tcW w:type="dxa" w:w="5904"/>
            <w:vAlign w:val="top"/>
          </w:tcPr>
          <w:p>
            <w:pPr>
              <w:spacing w:after="20"/>
            </w:pPr>
            <w:r>
              <w:rPr>
                <w:sz w:val="16"/>
              </w:rPr>
              <w:t>Creates diagnosis conversations and institutional access.</w:t>
            </w:r>
          </w:p>
        </w:tc>
      </w:tr>
      <w:tr>
        <w:tc>
          <w:tcPr>
            <w:tcW w:type="dxa" w:w="1008"/>
            <w:vAlign w:val="top"/>
            <w:shd w:fill="F2F2F0"/>
          </w:tcPr>
          <w:p>
            <w:pPr>
              <w:spacing w:after="20"/>
            </w:pPr>
            <w:r>
              <w:rPr>
                <w:sz w:val="16"/>
              </w:rPr>
              <w:t>6</w:t>
            </w:r>
          </w:p>
        </w:tc>
        <w:tc>
          <w:tcPr>
            <w:tcW w:type="dxa" w:w="2880"/>
            <w:vAlign w:val="top"/>
            <w:shd w:fill="F2F2F0"/>
          </w:tcPr>
          <w:p>
            <w:pPr>
              <w:spacing w:after="20"/>
            </w:pPr>
            <w:r>
              <w:rPr>
                <w:sz w:val="16"/>
              </w:rPr>
              <w:t>Owned website / email</w:t>
            </w:r>
          </w:p>
        </w:tc>
        <w:tc>
          <w:tcPr>
            <w:tcW w:type="dxa" w:w="5904"/>
            <w:vAlign w:val="top"/>
            <w:shd w:fill="F2F2F0"/>
          </w:tcPr>
          <w:p>
            <w:pPr>
              <w:spacing w:after="20"/>
            </w:pPr>
            <w:r>
              <w:rPr>
                <w:sz w:val="16"/>
              </w:rPr>
              <w:t>Converts attention into diagnostics and nurtures evidence.</w:t>
            </w:r>
          </w:p>
        </w:tc>
      </w:tr>
    </w:tbl>
    <w:p/>
    <w:p>
      <w:pPr>
        <w:pStyle w:val="Heading2"/>
      </w:pPr>
      <w:r>
        <w:t>Dominant message angles</w:t>
      </w:r>
    </w:p>
    <w:p>
      <w:pPr>
        <w:pStyle w:val="ListBullet"/>
        <w:spacing w:after="40"/>
      </w:pPr>
      <w:r>
        <w:t>Revenue is not only lost at the top of the funnel. It leaks between attention, clarity, booking, follow-up, sales, and operations.</w:t>
      </w:r>
    </w:p>
    <w:p>
      <w:pPr>
        <w:pStyle w:val="ListBullet"/>
        <w:spacing w:after="40"/>
      </w:pPr>
      <w:r>
        <w:t>AI is useful only when it removes a measurable constraint or operating burden.</w:t>
      </w:r>
    </w:p>
    <w:p>
      <w:pPr>
        <w:pStyle w:val="ListBullet"/>
        <w:spacing w:after="40"/>
      </w:pPr>
      <w:r>
        <w:t>A website is not the product. It is one component of a revenue system.</w:t>
      </w:r>
    </w:p>
    <w:p>
      <w:pPr>
        <w:pStyle w:val="ListBullet"/>
        <w:spacing w:after="40"/>
      </w:pPr>
      <w:r>
        <w:t>Diagnosis before prescription: do not buy another tool until the constraint is verified.</w:t>
      </w:r>
    </w:p>
    <w:p>
      <w:pPr>
        <w:pStyle w:val="ListBullet"/>
        <w:spacing w:after="40"/>
      </w:pPr>
      <w:r>
        <w:t>Your next growth lever may be conversion or follow-up, not more traffic.</w:t>
      </w:r>
    </w:p>
    <w:p>
      <w:pPr>
        <w:pStyle w:val="Heading1"/>
      </w:pPr>
      <w:r>
        <w:t>7. Content Engine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584"/>
            <w:shd w:fill="171717"/>
            <w:vAlign w:val="center"/>
          </w:tcPr>
          <w:p>
            <w:pPr>
              <w:jc w:val="left"/>
            </w:pPr>
            <w:r>
              <w:rPr>
                <w:b/>
                <w:color w:val="FFFFFF"/>
                <w:sz w:val="17"/>
              </w:rPr>
              <w:t>Content Type</w:t>
            </w:r>
          </w:p>
        </w:tc>
        <w:tc>
          <w:tcPr>
            <w:tcW w:type="dxa" w:w="2016"/>
            <w:shd w:fill="171717"/>
            <w:vAlign w:val="center"/>
          </w:tcPr>
          <w:p>
            <w:pPr>
              <w:jc w:val="left"/>
            </w:pPr>
            <w:r>
              <w:rPr>
                <w:b/>
                <w:color w:val="FFFFFF"/>
                <w:sz w:val="17"/>
              </w:rPr>
              <w:t>Function</w:t>
            </w:r>
          </w:p>
        </w:tc>
        <w:tc>
          <w:tcPr>
            <w:tcW w:type="dxa" w:w="4176"/>
            <w:shd w:fill="171717"/>
            <w:vAlign w:val="center"/>
          </w:tcPr>
          <w:p>
            <w:pPr>
              <w:jc w:val="left"/>
            </w:pPr>
            <w:r>
              <w:rPr>
                <w:b/>
                <w:color w:val="FFFFFF"/>
                <w:sz w:val="17"/>
              </w:rPr>
              <w:t>Examples</w:t>
            </w:r>
          </w:p>
        </w:tc>
        <w:tc>
          <w:tcPr>
            <w:tcW w:type="dxa" w:w="2016"/>
            <w:shd w:fill="171717"/>
            <w:vAlign w:val="center"/>
          </w:tcPr>
          <w:p>
            <w:pPr>
              <w:jc w:val="left"/>
            </w:pPr>
            <w:r>
              <w:rPr>
                <w:b/>
                <w:color w:val="FFFFFF"/>
                <w:sz w:val="17"/>
              </w:rPr>
              <w:t>CTA</w:t>
            </w:r>
          </w:p>
        </w:tc>
      </w:tr>
      <w:tr>
        <w:tc>
          <w:tcPr>
            <w:tcW w:type="dxa" w:w="1584"/>
            <w:vAlign w:val="top"/>
          </w:tcPr>
          <w:p>
            <w:pPr>
              <w:spacing w:after="20"/>
            </w:pPr>
            <w:r>
              <w:rPr>
                <w:sz w:val="16"/>
              </w:rPr>
              <w:t>Authority</w:t>
            </w:r>
          </w:p>
        </w:tc>
        <w:tc>
          <w:tcPr>
            <w:tcW w:type="dxa" w:w="2016"/>
            <w:vAlign w:val="top"/>
          </w:tcPr>
          <w:p>
            <w:pPr>
              <w:spacing w:after="20"/>
            </w:pPr>
            <w:r>
              <w:rPr>
                <w:sz w:val="16"/>
              </w:rPr>
              <w:t>Teach the method</w:t>
            </w:r>
          </w:p>
        </w:tc>
        <w:tc>
          <w:tcPr>
            <w:tcW w:type="dxa" w:w="4176"/>
            <w:vAlign w:val="top"/>
          </w:tcPr>
          <w:p>
            <w:pPr>
              <w:spacing w:after="20"/>
            </w:pPr>
            <w:r>
              <w:rPr>
                <w:sz w:val="16"/>
              </w:rPr>
              <w:t>Revenue leak maps, AI economics, workflow waste</w:t>
            </w:r>
          </w:p>
        </w:tc>
        <w:tc>
          <w:tcPr>
            <w:tcW w:type="dxa" w:w="2016"/>
            <w:vAlign w:val="top"/>
          </w:tcPr>
          <w:p>
            <w:pPr>
              <w:spacing w:after="20"/>
            </w:pPr>
            <w:r>
              <w:rPr>
                <w:sz w:val="16"/>
              </w:rPr>
              <w:t>Diagnostic</w:t>
            </w:r>
          </w:p>
        </w:tc>
      </w:tr>
      <w:tr>
        <w:tc>
          <w:tcPr>
            <w:tcW w:type="dxa" w:w="1584"/>
            <w:vAlign w:val="top"/>
            <w:shd w:fill="F2F2F0"/>
          </w:tcPr>
          <w:p>
            <w:pPr>
              <w:spacing w:after="20"/>
            </w:pPr>
            <w:r>
              <w:rPr>
                <w:sz w:val="16"/>
              </w:rPr>
              <w:t>Proof</w:t>
            </w:r>
          </w:p>
        </w:tc>
        <w:tc>
          <w:tcPr>
            <w:tcW w:type="dxa" w:w="2016"/>
            <w:vAlign w:val="top"/>
            <w:shd w:fill="F2F2F0"/>
          </w:tcPr>
          <w:p>
            <w:pPr>
              <w:spacing w:after="20"/>
            </w:pPr>
            <w:r>
              <w:rPr>
                <w:sz w:val="16"/>
              </w:rPr>
              <w:t>Reduce skepticism</w:t>
            </w:r>
          </w:p>
        </w:tc>
        <w:tc>
          <w:tcPr>
            <w:tcW w:type="dxa" w:w="4176"/>
            <w:vAlign w:val="top"/>
            <w:shd w:fill="F2F2F0"/>
          </w:tcPr>
          <w:p>
            <w:pPr>
              <w:spacing w:after="20"/>
            </w:pPr>
            <w:r>
              <w:rPr>
                <w:sz w:val="16"/>
              </w:rPr>
              <w:t>Before/after, process evidence, case study</w:t>
            </w:r>
          </w:p>
        </w:tc>
        <w:tc>
          <w:tcPr>
            <w:tcW w:type="dxa" w:w="2016"/>
            <w:vAlign w:val="top"/>
            <w:shd w:fill="F2F2F0"/>
          </w:tcPr>
          <w:p>
            <w:pPr>
              <w:spacing w:after="20"/>
            </w:pPr>
            <w:r>
              <w:rPr>
                <w:sz w:val="16"/>
              </w:rPr>
              <w:t>Diagnostic / install</w:t>
            </w:r>
          </w:p>
        </w:tc>
      </w:tr>
      <w:tr>
        <w:tc>
          <w:tcPr>
            <w:tcW w:type="dxa" w:w="1584"/>
            <w:vAlign w:val="top"/>
          </w:tcPr>
          <w:p>
            <w:pPr>
              <w:spacing w:after="20"/>
            </w:pPr>
            <w:r>
              <w:rPr>
                <w:sz w:val="16"/>
              </w:rPr>
              <w:t>Story</w:t>
            </w:r>
          </w:p>
        </w:tc>
        <w:tc>
          <w:tcPr>
            <w:tcW w:type="dxa" w:w="2016"/>
            <w:vAlign w:val="top"/>
          </w:tcPr>
          <w:p>
            <w:pPr>
              <w:spacing w:after="20"/>
            </w:pPr>
            <w:r>
              <w:rPr>
                <w:sz w:val="16"/>
              </w:rPr>
              <w:t>Humanize competence</w:t>
            </w:r>
          </w:p>
        </w:tc>
        <w:tc>
          <w:tcPr>
            <w:tcW w:type="dxa" w:w="4176"/>
            <w:vAlign w:val="top"/>
          </w:tcPr>
          <w:p>
            <w:pPr>
              <w:spacing w:after="20"/>
            </w:pPr>
            <w:r>
              <w:rPr>
                <w:sz w:val="16"/>
              </w:rPr>
              <w:t>Founder field notes, build stories, operational lessons</w:t>
            </w:r>
          </w:p>
        </w:tc>
        <w:tc>
          <w:tcPr>
            <w:tcW w:type="dxa" w:w="2016"/>
            <w:vAlign w:val="top"/>
          </w:tcPr>
          <w:p>
            <w:pPr>
              <w:spacing w:after="20"/>
            </w:pPr>
            <w:r>
              <w:rPr>
                <w:sz w:val="16"/>
              </w:rPr>
              <w:t>Follow / reply</w:t>
            </w:r>
          </w:p>
        </w:tc>
      </w:tr>
      <w:tr>
        <w:tc>
          <w:tcPr>
            <w:tcW w:type="dxa" w:w="1584"/>
            <w:vAlign w:val="top"/>
            <w:shd w:fill="F2F2F0"/>
          </w:tcPr>
          <w:p>
            <w:pPr>
              <w:spacing w:after="20"/>
            </w:pPr>
            <w:r>
              <w:rPr>
                <w:sz w:val="16"/>
              </w:rPr>
              <w:t>Conversion</w:t>
            </w:r>
          </w:p>
        </w:tc>
        <w:tc>
          <w:tcPr>
            <w:tcW w:type="dxa" w:w="2016"/>
            <w:vAlign w:val="top"/>
            <w:shd w:fill="F2F2F0"/>
          </w:tcPr>
          <w:p>
            <w:pPr>
              <w:spacing w:after="20"/>
            </w:pPr>
            <w:r>
              <w:rPr>
                <w:sz w:val="16"/>
              </w:rPr>
              <w:t>Move decision</w:t>
            </w:r>
          </w:p>
        </w:tc>
        <w:tc>
          <w:tcPr>
            <w:tcW w:type="dxa" w:w="4176"/>
            <w:vAlign w:val="top"/>
            <w:shd w:fill="F2F2F0"/>
          </w:tcPr>
          <w:p>
            <w:pPr>
              <w:spacing w:after="20"/>
            </w:pPr>
            <w:r>
              <w:rPr>
                <w:sz w:val="16"/>
              </w:rPr>
              <w:t>Diagnostic breakdown, cost-of-delay scenario, offer explanation</w:t>
            </w:r>
          </w:p>
        </w:tc>
        <w:tc>
          <w:tcPr>
            <w:tcW w:type="dxa" w:w="2016"/>
            <w:vAlign w:val="top"/>
            <w:shd w:fill="F2F2F0"/>
          </w:tcPr>
          <w:p>
            <w:pPr>
              <w:spacing w:after="20"/>
            </w:pPr>
            <w:r>
              <w:rPr>
                <w:sz w:val="16"/>
              </w:rPr>
              <w:t>Apply / book</w:t>
            </w:r>
          </w:p>
        </w:tc>
      </w:tr>
    </w:tbl>
    <w:p/>
    <w:tbl>
      <w:tblPr>
        <w:tblW w:type="auto" w:w="0"/>
        <w:jc w:val="center"/>
        <w:tblLook w:firstColumn="1" w:firstRow="1" w:lastColumn="0" w:lastRow="0" w:noHBand="0" w:noVBand="1" w:val="04A0"/>
      </w:tblPr>
      <w:tblGrid>
        <w:gridCol w:w="10166"/>
      </w:tblGrid>
      <w:tr>
        <w:tc>
          <w:tcPr>
            <w:tcW w:type="dxa" w:w="10166"/>
            <w:shd w:fill="171717"/>
            <w:tcBorders>
              <w:top w:sz="2" w:val="single" w:color="171717"/>
              <w:left w:sz="18" w:val="single" w:color="D9A514"/>
              <w:bottom w:sz="2" w:val="single" w:color="171717"/>
              <w:right w:sz="2" w:val="single" w:color="171717"/>
            </w:tcBorders>
          </w:tcPr>
          <w:p>
            <w:pPr>
              <w:pStyle w:val="Callout"/>
            </w:pPr>
            <w:r>
              <w:rPr>
                <w:color w:val="D9A514"/>
                <w:sz w:val="17"/>
              </w:rPr>
              <w:t>MEDIA RULE</w:t>
              <w:br/>
            </w:r>
            <w:r>
              <w:rPr>
                <w:color w:val="FFFFFF"/>
                <w:sz w:val="21"/>
              </w:rPr>
              <w:t>No content without a monetization or asset link. Every substantive idea should become a sales asset, proof asset, reusable IP asset, or relationship asset.</w:t>
            </w:r>
          </w:p>
        </w:tc>
      </w:tr>
    </w:tbl>
    <w:p/>
    <w:p>
      <w:pPr>
        <w:pStyle w:val="Heading1"/>
      </w:pPr>
      <w:r>
        <w:t>8. Sales System</w:t>
      </w:r>
    </w:p>
    <w:p>
      <w:pPr>
        <w:pStyle w:val="Heading2"/>
      </w:pPr>
      <w:r>
        <w:t>Qualification</w:t>
      </w:r>
    </w:p>
    <w:p>
      <w:pPr>
        <w:pStyle w:val="ListBullet"/>
        <w:spacing w:after="40"/>
      </w:pPr>
      <w:r>
        <w:t>Economic pain exists.</w:t>
      </w:r>
    </w:p>
    <w:p>
      <w:pPr>
        <w:pStyle w:val="ListBullet"/>
        <w:spacing w:after="40"/>
      </w:pPr>
      <w:r>
        <w:t>Decision authority is reachable.</w:t>
      </w:r>
    </w:p>
    <w:p>
      <w:pPr>
        <w:pStyle w:val="ListBullet"/>
        <w:spacing w:after="40"/>
      </w:pPr>
      <w:r>
        <w:t>Buyer has a meaningful outcome and timeline.</w:t>
      </w:r>
    </w:p>
    <w:p>
      <w:pPr>
        <w:pStyle w:val="ListBullet"/>
        <w:spacing w:after="40"/>
      </w:pPr>
      <w:r>
        <w:t>Current state can be evidenced.</w:t>
      </w:r>
    </w:p>
    <w:p>
      <w:pPr>
        <w:pStyle w:val="ListBullet"/>
        <w:spacing w:after="40"/>
      </w:pPr>
      <w:r>
        <w:t>RUN It BAC has a standardized intervention or a tightly bounded test.</w:t>
      </w:r>
    </w:p>
    <w:p>
      <w:pPr>
        <w:pStyle w:val="ListBullet"/>
        <w:spacing w:after="40"/>
      </w:pPr>
      <w:r>
        <w:t>Buyer can fund the intervention.</w:t>
      </w:r>
    </w:p>
    <w:p>
      <w:pPr>
        <w:pStyle w:val="Heading2"/>
      </w:pPr>
      <w:r>
        <w:t>Diagnostic close</w:t>
      </w:r>
    </w:p>
    <w:p>
      <w:pPr>
        <w:pStyle w:val="ListNumber"/>
        <w:spacing w:after="40"/>
      </w:pPr>
      <w:r>
        <w:t>Restate buyer objective.</w:t>
      </w:r>
    </w:p>
    <w:p>
      <w:pPr>
        <w:pStyle w:val="ListNumber"/>
        <w:spacing w:after="40"/>
      </w:pPr>
      <w:r>
        <w:t>Show verified current-state evidence.</w:t>
      </w:r>
    </w:p>
    <w:p>
      <w:pPr>
        <w:pStyle w:val="ListNumber"/>
        <w:spacing w:after="40"/>
      </w:pPr>
      <w:r>
        <w:t>Identify the primary constraint and secondary leaks.</w:t>
      </w:r>
    </w:p>
    <w:p>
      <w:pPr>
        <w:pStyle w:val="ListNumber"/>
        <w:spacing w:after="40"/>
      </w:pPr>
      <w:r>
        <w:t>Explain economic exposure as verified data or labeled scenario assumptions.</w:t>
      </w:r>
    </w:p>
    <w:p>
      <w:pPr>
        <w:pStyle w:val="ListNumber"/>
        <w:spacing w:after="40"/>
      </w:pPr>
      <w:r>
        <w:t>Present the minimum viable prescription.</w:t>
      </w:r>
    </w:p>
    <w:p>
      <w:pPr>
        <w:pStyle w:val="ListNumber"/>
        <w:spacing w:after="40"/>
      </w:pPr>
      <w:r>
        <w:t>Explain why the lower scope is insufficient and why unnecessary scope is excluded.</w:t>
      </w:r>
    </w:p>
    <w:p>
      <w:pPr>
        <w:pStyle w:val="ListNumber"/>
        <w:spacing w:after="40"/>
      </w:pPr>
      <w:r>
        <w:t>Present investment and implementation window.</w:t>
      </w:r>
    </w:p>
    <w:p>
      <w:pPr>
        <w:pStyle w:val="ListNumber"/>
        <w:spacing w:after="40"/>
      </w:pPr>
      <w:r>
        <w:t>Ask for a decision: proceed, decline, or defer with a date.</w:t>
      </w:r>
    </w:p>
    <w:p>
      <w:pPr>
        <w:pStyle w:val="Heading1"/>
      </w:pPr>
      <w:r>
        <w:t>9. Revenue Model</w:t>
      </w:r>
    </w:p>
    <w:p>
      <w:r>
        <w:t>Two models should be tracked simultaneously: the strategic 12-month target model and the actual trailing economics.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171717"/>
            <w:vAlign w:val="center"/>
          </w:tcPr>
          <w:p>
            <w:pPr>
              <w:jc w:val="left"/>
            </w:pPr>
            <w:r>
              <w:rPr>
                <w:b/>
                <w:color w:val="FFFFFF"/>
                <w:sz w:val="17"/>
              </w:rPr>
              <w:t>Engine</w:t>
            </w:r>
          </w:p>
        </w:tc>
        <w:tc>
          <w:tcPr>
            <w:tcW w:type="dxa" w:w="3024"/>
            <w:shd w:fill="171717"/>
            <w:vAlign w:val="center"/>
          </w:tcPr>
          <w:p>
            <w:pPr>
              <w:jc w:val="left"/>
            </w:pPr>
            <w:r>
              <w:rPr>
                <w:b/>
                <w:color w:val="FFFFFF"/>
                <w:sz w:val="17"/>
              </w:rPr>
              <w:t>Historical Target / Range</w:t>
            </w:r>
          </w:p>
        </w:tc>
        <w:tc>
          <w:tcPr>
            <w:tcW w:type="dxa" w:w="4464"/>
            <w:shd w:fill="171717"/>
            <w:vAlign w:val="center"/>
          </w:tcPr>
          <w:p>
            <w:pPr>
              <w:jc w:val="left"/>
            </w:pPr>
            <w:r>
              <w:rPr>
                <w:b/>
                <w:color w:val="FFFFFF"/>
                <w:sz w:val="17"/>
              </w:rPr>
              <w:t>New Role</w:t>
            </w:r>
          </w:p>
        </w:tc>
      </w:tr>
      <w:tr>
        <w:tc>
          <w:tcPr>
            <w:tcW w:type="dxa" w:w="2304"/>
            <w:vAlign w:val="top"/>
          </w:tcPr>
          <w:p>
            <w:pPr>
              <w:spacing w:after="20"/>
            </w:pPr>
            <w:r>
              <w:rPr>
                <w:sz w:val="16"/>
              </w:rPr>
              <w:t>Systems implementations</w:t>
            </w:r>
          </w:p>
        </w:tc>
        <w:tc>
          <w:tcPr>
            <w:tcW w:type="dxa" w:w="3024"/>
            <w:vAlign w:val="top"/>
          </w:tcPr>
          <w:p>
            <w:pPr>
              <w:spacing w:after="20"/>
            </w:pPr>
            <w:r>
              <w:rPr>
                <w:sz w:val="16"/>
              </w:rPr>
              <w:t>$450K target in 2026 strategy</w:t>
            </w:r>
          </w:p>
        </w:tc>
        <w:tc>
          <w:tcPr>
            <w:tcW w:type="dxa" w:w="4464"/>
            <w:vAlign w:val="top"/>
          </w:tcPr>
          <w:p>
            <w:pPr>
              <w:spacing w:after="20"/>
            </w:pPr>
            <w:r>
              <w:rPr>
                <w:sz w:val="16"/>
              </w:rPr>
              <w:t>Revenue Spine Installs / Sprints</w:t>
            </w:r>
          </w:p>
        </w:tc>
      </w:tr>
      <w:tr>
        <w:tc>
          <w:tcPr>
            <w:tcW w:type="dxa" w:w="2304"/>
            <w:vAlign w:val="top"/>
            <w:shd w:fill="F2F2F0"/>
          </w:tcPr>
          <w:p>
            <w:pPr>
              <w:spacing w:after="20"/>
            </w:pPr>
            <w:r>
              <w:rPr>
                <w:sz w:val="16"/>
              </w:rPr>
              <w:t>Institutional programs</w:t>
            </w:r>
          </w:p>
        </w:tc>
        <w:tc>
          <w:tcPr>
            <w:tcW w:type="dxa" w:w="3024"/>
            <w:vAlign w:val="top"/>
            <w:shd w:fill="F2F2F0"/>
          </w:tcPr>
          <w:p>
            <w:pPr>
              <w:spacing w:after="20"/>
            </w:pPr>
            <w:r>
              <w:rPr>
                <w:sz w:val="16"/>
              </w:rPr>
              <w:t>$360K target</w:t>
            </w:r>
          </w:p>
        </w:tc>
        <w:tc>
          <w:tcPr>
            <w:tcW w:type="dxa" w:w="4464"/>
            <w:vAlign w:val="top"/>
            <w:shd w:fill="F2F2F0"/>
          </w:tcPr>
          <w:p>
            <w:pPr>
              <w:spacing w:after="20"/>
            </w:pPr>
            <w:r>
              <w:rPr>
                <w:sz w:val="16"/>
              </w:rPr>
              <w:t>Revenue Spine Institutional</w:t>
            </w:r>
          </w:p>
        </w:tc>
      </w:tr>
      <w:tr>
        <w:tc>
          <w:tcPr>
            <w:tcW w:type="dxa" w:w="2304"/>
            <w:vAlign w:val="top"/>
          </w:tcPr>
          <w:p>
            <w:pPr>
              <w:spacing w:after="20"/>
            </w:pPr>
            <w:r>
              <w:rPr>
                <w:sz w:val="16"/>
              </w:rPr>
              <w:t>Operations retainers</w:t>
            </w:r>
          </w:p>
        </w:tc>
        <w:tc>
          <w:tcPr>
            <w:tcW w:type="dxa" w:w="3024"/>
            <w:vAlign w:val="top"/>
          </w:tcPr>
          <w:p>
            <w:pPr>
              <w:spacing w:after="20"/>
            </w:pPr>
            <w:r>
              <w:rPr>
                <w:sz w:val="16"/>
              </w:rPr>
              <w:t>$180K target</w:t>
            </w:r>
          </w:p>
        </w:tc>
        <w:tc>
          <w:tcPr>
            <w:tcW w:type="dxa" w:w="4464"/>
            <w:vAlign w:val="top"/>
          </w:tcPr>
          <w:p>
            <w:pPr>
              <w:spacing w:after="20"/>
            </w:pPr>
            <w:r>
              <w:rPr>
                <w:sz w:val="16"/>
              </w:rPr>
              <w:t>Revenue Spine Optimization</w:t>
            </w:r>
          </w:p>
        </w:tc>
      </w:tr>
      <w:tr>
        <w:tc>
          <w:tcPr>
            <w:tcW w:type="dxa" w:w="2304"/>
            <w:vAlign w:val="top"/>
            <w:shd w:fill="F2F2F0"/>
          </w:tcPr>
          <w:p>
            <w:pPr>
              <w:spacing w:after="20"/>
            </w:pPr>
            <w:r>
              <w:rPr>
                <w:sz w:val="16"/>
              </w:rPr>
              <w:t>LexiRise pilots/licensing</w:t>
            </w:r>
          </w:p>
        </w:tc>
        <w:tc>
          <w:tcPr>
            <w:tcW w:type="dxa" w:w="3024"/>
            <w:vAlign w:val="top"/>
            <w:shd w:fill="F2F2F0"/>
          </w:tcPr>
          <w:p>
            <w:pPr>
              <w:spacing w:after="20"/>
            </w:pPr>
            <w:r>
              <w:rPr>
                <w:sz w:val="16"/>
              </w:rPr>
              <w:t>$150K target</w:t>
            </w:r>
          </w:p>
        </w:tc>
        <w:tc>
          <w:tcPr>
            <w:tcW w:type="dxa" w:w="4464"/>
            <w:vAlign w:val="top"/>
            <w:shd w:fill="F2F2F0"/>
          </w:tcPr>
          <w:p>
            <w:pPr>
              <w:spacing w:after="20"/>
            </w:pPr>
            <w:r>
              <w:rPr>
                <w:sz w:val="16"/>
              </w:rPr>
              <w:t>Separate equity/IP engine; do not fold into Revenue Spine sales unless directly relevant</w:t>
            </w:r>
          </w:p>
        </w:tc>
      </w:tr>
      <w:tr>
        <w:tc>
          <w:tcPr>
            <w:tcW w:type="dxa" w:w="2304"/>
            <w:vAlign w:val="top"/>
          </w:tcPr>
          <w:p>
            <w:pPr>
              <w:spacing w:after="20"/>
            </w:pPr>
            <w:r>
              <w:rPr>
                <w:sz w:val="16"/>
              </w:rPr>
              <w:t>Speaking / intensives</w:t>
            </w:r>
          </w:p>
        </w:tc>
        <w:tc>
          <w:tcPr>
            <w:tcW w:type="dxa" w:w="3024"/>
            <w:vAlign w:val="top"/>
          </w:tcPr>
          <w:p>
            <w:pPr>
              <w:spacing w:after="20"/>
            </w:pPr>
            <w:r>
              <w:rPr>
                <w:sz w:val="16"/>
              </w:rPr>
              <w:t>$60K target</w:t>
            </w:r>
          </w:p>
        </w:tc>
        <w:tc>
          <w:tcPr>
            <w:tcW w:type="dxa" w:w="4464"/>
            <w:vAlign w:val="top"/>
          </w:tcPr>
          <w:p>
            <w:pPr>
              <w:spacing w:after="20"/>
            </w:pPr>
            <w:r>
              <w:rPr>
                <w:sz w:val="16"/>
              </w:rPr>
              <w:t>Authority / acquisition / paid intensives</w:t>
            </w:r>
          </w:p>
        </w:tc>
      </w:tr>
    </w:tbl>
    <w:p/>
    <w:p>
      <w:pPr>
        <w:pStyle w:val="Heading2"/>
      </w:pPr>
      <w:r>
        <w:t>Required monthly reforecast</w:t>
      </w:r>
    </w:p>
    <w:p>
      <w:pPr>
        <w:pStyle w:val="ListBullet"/>
        <w:spacing w:after="40"/>
      </w:pPr>
      <w:r>
        <w:t>Collected cash versus target.</w:t>
      </w:r>
    </w:p>
    <w:p>
      <w:pPr>
        <w:pStyle w:val="ListBullet"/>
        <w:spacing w:after="40"/>
      </w:pPr>
      <w:r>
        <w:t>Average first-sale revenue.</w:t>
      </w:r>
    </w:p>
    <w:p>
      <w:pPr>
        <w:pStyle w:val="ListBullet"/>
        <w:spacing w:after="40"/>
      </w:pPr>
      <w:r>
        <w:t>Qualified opportunity count.</w:t>
      </w:r>
    </w:p>
    <w:p>
      <w:pPr>
        <w:pStyle w:val="ListBullet"/>
        <w:spacing w:after="40"/>
      </w:pPr>
      <w:r>
        <w:t>Proposal count and close rate.</w:t>
      </w:r>
    </w:p>
    <w:p>
      <w:pPr>
        <w:pStyle w:val="ListBullet"/>
        <w:spacing w:after="40"/>
      </w:pPr>
      <w:r>
        <w:t>Average sales cycle.</w:t>
      </w:r>
    </w:p>
    <w:p>
      <w:pPr>
        <w:pStyle w:val="ListBullet"/>
        <w:spacing w:after="40"/>
      </w:pPr>
      <w:r>
        <w:t>Delivery capacity and founder-only hours.</w:t>
      </w:r>
    </w:p>
    <w:p>
      <w:pPr>
        <w:pStyle w:val="ListBullet"/>
        <w:spacing w:after="40"/>
      </w:pPr>
      <w:r>
        <w:t>Gross margin by offer.</w:t>
      </w:r>
    </w:p>
    <w:p>
      <w:pPr>
        <w:pStyle w:val="ListBullet"/>
        <w:spacing w:after="40"/>
      </w:pPr>
      <w:r>
        <w:t>Optimization attachment and churn.</w:t>
      </w:r>
    </w:p>
    <w:p>
      <w:pPr>
        <w:pStyle w:val="ListBullet"/>
        <w:spacing w:after="40"/>
      </w:pPr>
      <w:r>
        <w:t>Case studies / proof assets created.</w:t>
      </w:r>
    </w:p>
    <w:p>
      <w:pPr>
        <w:pStyle w:val="Heading1"/>
      </w:pPr>
      <w:r>
        <w:t>10. 90-Day Marketing Plan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171717"/>
            <w:vAlign w:val="center"/>
          </w:tcPr>
          <w:p>
            <w:pPr>
              <w:jc w:val="left"/>
            </w:pPr>
            <w:r>
              <w:rPr>
                <w:b/>
                <w:color w:val="FFFFFF"/>
                <w:sz w:val="17"/>
              </w:rPr>
              <w:t>Period</w:t>
            </w:r>
          </w:p>
        </w:tc>
        <w:tc>
          <w:tcPr>
            <w:tcW w:type="dxa" w:w="2304"/>
            <w:shd w:fill="171717"/>
            <w:vAlign w:val="center"/>
          </w:tcPr>
          <w:p>
            <w:pPr>
              <w:jc w:val="left"/>
            </w:pPr>
            <w:r>
              <w:rPr>
                <w:b/>
                <w:color w:val="FFFFFF"/>
                <w:sz w:val="17"/>
              </w:rPr>
              <w:t>Objective</w:t>
            </w:r>
          </w:p>
        </w:tc>
        <w:tc>
          <w:tcPr>
            <w:tcW w:type="dxa" w:w="6048"/>
            <w:shd w:fill="171717"/>
            <w:vAlign w:val="center"/>
          </w:tcPr>
          <w:p>
            <w:pPr>
              <w:jc w:val="left"/>
            </w:pPr>
            <w:r>
              <w:rPr>
                <w:b/>
                <w:color w:val="FFFFFF"/>
                <w:sz w:val="17"/>
              </w:rPr>
              <w:t>Required Outputs</w:t>
            </w:r>
          </w:p>
        </w:tc>
      </w:tr>
      <w:tr>
        <w:tc>
          <w:tcPr>
            <w:tcW w:type="dxa" w:w="1440"/>
            <w:vAlign w:val="top"/>
          </w:tcPr>
          <w:p>
            <w:pPr>
              <w:spacing w:after="20"/>
            </w:pPr>
            <w:r>
              <w:rPr>
                <w:sz w:val="16"/>
              </w:rPr>
              <w:t>Days 1-30</w:t>
            </w:r>
          </w:p>
        </w:tc>
        <w:tc>
          <w:tcPr>
            <w:tcW w:type="dxa" w:w="2304"/>
            <w:vAlign w:val="top"/>
          </w:tcPr>
          <w:p>
            <w:pPr>
              <w:spacing w:after="20"/>
            </w:pPr>
            <w:r>
              <w:rPr>
                <w:sz w:val="16"/>
              </w:rPr>
              <w:t>Reposition and validate</w:t>
            </w:r>
          </w:p>
        </w:tc>
        <w:tc>
          <w:tcPr>
            <w:tcW w:type="dxa" w:w="6048"/>
            <w:vAlign w:val="top"/>
          </w:tcPr>
          <w:p>
            <w:pPr>
              <w:spacing w:after="20"/>
            </w:pPr>
            <w:r>
              <w:rPr>
                <w:sz w:val="16"/>
              </w:rPr>
              <w:t>Revenue Spine landing page; one ICP; diagnostic application; intervention library v1; 25 priority accounts; 5 referral partners; first paid / qualified diagnostics</w:t>
            </w:r>
          </w:p>
        </w:tc>
      </w:tr>
      <w:tr>
        <w:tc>
          <w:tcPr>
            <w:tcW w:type="dxa" w:w="1440"/>
            <w:vAlign w:val="top"/>
            <w:shd w:fill="F2F2F0"/>
          </w:tcPr>
          <w:p>
            <w:pPr>
              <w:spacing w:after="20"/>
            </w:pPr>
            <w:r>
              <w:rPr>
                <w:sz w:val="16"/>
              </w:rPr>
              <w:t>Days 31-60</w:t>
            </w:r>
          </w:p>
        </w:tc>
        <w:tc>
          <w:tcPr>
            <w:tcW w:type="dxa" w:w="2304"/>
            <w:vAlign w:val="top"/>
            <w:shd w:fill="F2F2F0"/>
          </w:tcPr>
          <w:p>
            <w:pPr>
              <w:spacing w:after="20"/>
            </w:pPr>
            <w:r>
              <w:rPr>
                <w:sz w:val="16"/>
              </w:rPr>
              <w:t>Convert proof into sales leverage</w:t>
            </w:r>
          </w:p>
        </w:tc>
        <w:tc>
          <w:tcPr>
            <w:tcW w:type="dxa" w:w="6048"/>
            <w:vAlign w:val="top"/>
            <w:shd w:fill="F2F2F0"/>
          </w:tcPr>
          <w:p>
            <w:pPr>
              <w:spacing w:after="20"/>
            </w:pPr>
            <w:r>
              <w:rPr>
                <w:sz w:val="16"/>
              </w:rPr>
              <w:t>2+ completed installs/sprints; documented baselines and outcomes; case-study template; objections database; optimization offer tested</w:t>
            </w:r>
          </w:p>
        </w:tc>
      </w:tr>
      <w:tr>
        <w:tc>
          <w:tcPr>
            <w:tcW w:type="dxa" w:w="1440"/>
            <w:vAlign w:val="top"/>
          </w:tcPr>
          <w:p>
            <w:pPr>
              <w:spacing w:after="20"/>
            </w:pPr>
            <w:r>
              <w:rPr>
                <w:sz w:val="16"/>
              </w:rPr>
              <w:t>Days 61-90</w:t>
            </w:r>
          </w:p>
        </w:tc>
        <w:tc>
          <w:tcPr>
            <w:tcW w:type="dxa" w:w="2304"/>
            <w:vAlign w:val="top"/>
          </w:tcPr>
          <w:p>
            <w:pPr>
              <w:spacing w:after="20"/>
            </w:pPr>
            <w:r>
              <w:rPr>
                <w:sz w:val="16"/>
              </w:rPr>
              <w:t>Scale only what converted</w:t>
            </w:r>
          </w:p>
        </w:tc>
        <w:tc>
          <w:tcPr>
            <w:tcW w:type="dxa" w:w="6048"/>
            <w:vAlign w:val="top"/>
          </w:tcPr>
          <w:p>
            <w:pPr>
              <w:spacing w:after="20"/>
            </w:pPr>
            <w:r>
              <w:rPr>
                <w:sz w:val="16"/>
              </w:rPr>
              <w:t>Double best channel; formalize sales scripts; delegate research/CRM/evidence capture; publish vertical insight; establish benchmark dataset v1</w:t>
            </w:r>
          </w:p>
        </w:tc>
      </w:tr>
    </w:tbl>
    <w:p/>
    <w:p>
      <w:pPr>
        <w:pStyle w:val="Heading1"/>
      </w:pPr>
      <w:r>
        <w:t>11. KPI Stack</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171717"/>
            <w:vAlign w:val="center"/>
          </w:tcPr>
          <w:p>
            <w:pPr>
              <w:jc w:val="left"/>
            </w:pPr>
            <w:r>
              <w:rPr>
                <w:b/>
                <w:color w:val="FFFFFF"/>
                <w:sz w:val="17"/>
              </w:rPr>
              <w:t>Funnel</w:t>
            </w:r>
          </w:p>
        </w:tc>
        <w:tc>
          <w:tcPr>
            <w:tcW w:type="dxa" w:w="3168"/>
            <w:shd w:fill="171717"/>
            <w:vAlign w:val="center"/>
          </w:tcPr>
          <w:p>
            <w:pPr>
              <w:jc w:val="left"/>
            </w:pPr>
            <w:r>
              <w:rPr>
                <w:b/>
                <w:color w:val="FFFFFF"/>
                <w:sz w:val="17"/>
              </w:rPr>
              <w:t>Primary KPI</w:t>
            </w:r>
          </w:p>
        </w:tc>
        <w:tc>
          <w:tcPr>
            <w:tcW w:type="dxa" w:w="5184"/>
            <w:shd w:fill="171717"/>
            <w:vAlign w:val="center"/>
          </w:tcPr>
          <w:p>
            <w:pPr>
              <w:jc w:val="left"/>
            </w:pPr>
            <w:r>
              <w:rPr>
                <w:b/>
                <w:color w:val="FFFFFF"/>
                <w:sz w:val="17"/>
              </w:rPr>
              <w:t>Diagnostic Question</w:t>
            </w:r>
          </w:p>
        </w:tc>
      </w:tr>
      <w:tr>
        <w:tc>
          <w:tcPr>
            <w:tcW w:type="dxa" w:w="1440"/>
            <w:vAlign w:val="top"/>
          </w:tcPr>
          <w:p>
            <w:pPr>
              <w:spacing w:after="20"/>
            </w:pPr>
            <w:r>
              <w:rPr>
                <w:sz w:val="16"/>
              </w:rPr>
              <w:t>Market</w:t>
            </w:r>
          </w:p>
        </w:tc>
        <w:tc>
          <w:tcPr>
            <w:tcW w:type="dxa" w:w="3168"/>
            <w:vAlign w:val="top"/>
          </w:tcPr>
          <w:p>
            <w:pPr>
              <w:spacing w:after="20"/>
            </w:pPr>
            <w:r>
              <w:rPr>
                <w:sz w:val="16"/>
              </w:rPr>
              <w:t>Qualified accounts added</w:t>
            </w:r>
          </w:p>
        </w:tc>
        <w:tc>
          <w:tcPr>
            <w:tcW w:type="dxa" w:w="5184"/>
            <w:vAlign w:val="top"/>
          </w:tcPr>
          <w:p>
            <w:pPr>
              <w:spacing w:after="20"/>
            </w:pPr>
            <w:r>
              <w:rPr>
                <w:sz w:val="16"/>
              </w:rPr>
              <w:t>Are we targeting organizations with real economic pain?</w:t>
            </w:r>
          </w:p>
        </w:tc>
      </w:tr>
      <w:tr>
        <w:tc>
          <w:tcPr>
            <w:tcW w:type="dxa" w:w="1440"/>
            <w:vAlign w:val="top"/>
            <w:shd w:fill="F2F2F0"/>
          </w:tcPr>
          <w:p>
            <w:pPr>
              <w:spacing w:after="20"/>
            </w:pPr>
            <w:r>
              <w:rPr>
                <w:sz w:val="16"/>
              </w:rPr>
              <w:t>Attention</w:t>
            </w:r>
          </w:p>
        </w:tc>
        <w:tc>
          <w:tcPr>
            <w:tcW w:type="dxa" w:w="3168"/>
            <w:vAlign w:val="top"/>
            <w:shd w:fill="F2F2F0"/>
          </w:tcPr>
          <w:p>
            <w:pPr>
              <w:spacing w:after="20"/>
            </w:pPr>
            <w:r>
              <w:rPr>
                <w:sz w:val="16"/>
              </w:rPr>
              <w:t>Decision-maker replies / warm intros</w:t>
            </w:r>
          </w:p>
        </w:tc>
        <w:tc>
          <w:tcPr>
            <w:tcW w:type="dxa" w:w="5184"/>
            <w:vAlign w:val="top"/>
            <w:shd w:fill="F2F2F0"/>
          </w:tcPr>
          <w:p>
            <w:pPr>
              <w:spacing w:after="20"/>
            </w:pPr>
            <w:r>
              <w:rPr>
                <w:sz w:val="16"/>
              </w:rPr>
              <w:t>Does the message create relevant interest?</w:t>
            </w:r>
          </w:p>
        </w:tc>
      </w:tr>
      <w:tr>
        <w:tc>
          <w:tcPr>
            <w:tcW w:type="dxa" w:w="1440"/>
            <w:vAlign w:val="top"/>
          </w:tcPr>
          <w:p>
            <w:pPr>
              <w:spacing w:after="20"/>
            </w:pPr>
            <w:r>
              <w:rPr>
                <w:sz w:val="16"/>
              </w:rPr>
              <w:t>Sales</w:t>
            </w:r>
          </w:p>
        </w:tc>
        <w:tc>
          <w:tcPr>
            <w:tcW w:type="dxa" w:w="3168"/>
            <w:vAlign w:val="top"/>
          </w:tcPr>
          <w:p>
            <w:pPr>
              <w:spacing w:after="20"/>
            </w:pPr>
            <w:r>
              <w:rPr>
                <w:sz w:val="16"/>
              </w:rPr>
              <w:t>Qualified conversations</w:t>
            </w:r>
          </w:p>
        </w:tc>
        <w:tc>
          <w:tcPr>
            <w:tcW w:type="dxa" w:w="5184"/>
            <w:vAlign w:val="top"/>
          </w:tcPr>
          <w:p>
            <w:pPr>
              <w:spacing w:after="20"/>
            </w:pPr>
            <w:r>
              <w:rPr>
                <w:sz w:val="16"/>
              </w:rPr>
              <w:t>Are we reaching authority with pain and urgency?</w:t>
            </w:r>
          </w:p>
        </w:tc>
      </w:tr>
      <w:tr>
        <w:tc>
          <w:tcPr>
            <w:tcW w:type="dxa" w:w="1440"/>
            <w:vAlign w:val="top"/>
            <w:shd w:fill="F2F2F0"/>
          </w:tcPr>
          <w:p>
            <w:pPr>
              <w:spacing w:after="20"/>
            </w:pPr>
            <w:r>
              <w:rPr>
                <w:sz w:val="16"/>
              </w:rPr>
              <w:t>Diagnosis</w:t>
            </w:r>
          </w:p>
        </w:tc>
        <w:tc>
          <w:tcPr>
            <w:tcW w:type="dxa" w:w="3168"/>
            <w:vAlign w:val="top"/>
            <w:shd w:fill="F2F2F0"/>
          </w:tcPr>
          <w:p>
            <w:pPr>
              <w:spacing w:after="20"/>
            </w:pPr>
            <w:r>
              <w:rPr>
                <w:sz w:val="16"/>
              </w:rPr>
              <w:t>Diagnostics completed</w:t>
            </w:r>
          </w:p>
        </w:tc>
        <w:tc>
          <w:tcPr>
            <w:tcW w:type="dxa" w:w="5184"/>
            <w:vAlign w:val="top"/>
            <w:shd w:fill="F2F2F0"/>
          </w:tcPr>
          <w:p>
            <w:pPr>
              <w:spacing w:after="20"/>
            </w:pPr>
            <w:r>
              <w:rPr>
                <w:sz w:val="16"/>
              </w:rPr>
              <w:t>Can we prove the constraint?</w:t>
            </w:r>
          </w:p>
        </w:tc>
      </w:tr>
      <w:tr>
        <w:tc>
          <w:tcPr>
            <w:tcW w:type="dxa" w:w="1440"/>
            <w:vAlign w:val="top"/>
          </w:tcPr>
          <w:p>
            <w:pPr>
              <w:spacing w:after="20"/>
            </w:pPr>
            <w:r>
              <w:rPr>
                <w:sz w:val="16"/>
              </w:rPr>
              <w:t>Commercial</w:t>
            </w:r>
          </w:p>
        </w:tc>
        <w:tc>
          <w:tcPr>
            <w:tcW w:type="dxa" w:w="3168"/>
            <w:vAlign w:val="top"/>
          </w:tcPr>
          <w:p>
            <w:pPr>
              <w:spacing w:after="20"/>
            </w:pPr>
            <w:r>
              <w:rPr>
                <w:sz w:val="16"/>
              </w:rPr>
              <w:t>Proposal close rate</w:t>
            </w:r>
          </w:p>
        </w:tc>
        <w:tc>
          <w:tcPr>
            <w:tcW w:type="dxa" w:w="5184"/>
            <w:vAlign w:val="top"/>
          </w:tcPr>
          <w:p>
            <w:pPr>
              <w:spacing w:after="20"/>
            </w:pPr>
            <w:r>
              <w:rPr>
                <w:sz w:val="16"/>
              </w:rPr>
              <w:t>Does the prescription map convincingly to the evidence?</w:t>
            </w:r>
          </w:p>
        </w:tc>
      </w:tr>
      <w:tr>
        <w:tc>
          <w:tcPr>
            <w:tcW w:type="dxa" w:w="1440"/>
            <w:vAlign w:val="top"/>
            <w:shd w:fill="F2F2F0"/>
          </w:tcPr>
          <w:p>
            <w:pPr>
              <w:spacing w:after="20"/>
            </w:pPr>
            <w:r>
              <w:rPr>
                <w:sz w:val="16"/>
              </w:rPr>
              <w:t>Delivery</w:t>
            </w:r>
          </w:p>
        </w:tc>
        <w:tc>
          <w:tcPr>
            <w:tcW w:type="dxa" w:w="3168"/>
            <w:vAlign w:val="top"/>
            <w:shd w:fill="F2F2F0"/>
          </w:tcPr>
          <w:p>
            <w:pPr>
              <w:spacing w:after="20"/>
            </w:pPr>
            <w:r>
              <w:rPr>
                <w:sz w:val="16"/>
              </w:rPr>
              <w:t>Cycle time / gross margin</w:t>
            </w:r>
          </w:p>
        </w:tc>
        <w:tc>
          <w:tcPr>
            <w:tcW w:type="dxa" w:w="5184"/>
            <w:vAlign w:val="top"/>
            <w:shd w:fill="F2F2F0"/>
          </w:tcPr>
          <w:p>
            <w:pPr>
              <w:spacing w:after="20"/>
            </w:pPr>
            <w:r>
              <w:rPr>
                <w:sz w:val="16"/>
              </w:rPr>
              <w:t>Can the intervention be delivered without founder bottleneck?</w:t>
            </w:r>
          </w:p>
        </w:tc>
      </w:tr>
      <w:tr>
        <w:tc>
          <w:tcPr>
            <w:tcW w:type="dxa" w:w="1440"/>
            <w:vAlign w:val="top"/>
          </w:tcPr>
          <w:p>
            <w:pPr>
              <w:spacing w:after="20"/>
            </w:pPr>
            <w:r>
              <w:rPr>
                <w:sz w:val="16"/>
              </w:rPr>
              <w:t>Recurring</w:t>
            </w:r>
          </w:p>
        </w:tc>
        <w:tc>
          <w:tcPr>
            <w:tcW w:type="dxa" w:w="3168"/>
            <w:vAlign w:val="top"/>
          </w:tcPr>
          <w:p>
            <w:pPr>
              <w:spacing w:after="20"/>
            </w:pPr>
            <w:r>
              <w:rPr>
                <w:sz w:val="16"/>
              </w:rPr>
              <w:t>Optimization attachment</w:t>
            </w:r>
          </w:p>
        </w:tc>
        <w:tc>
          <w:tcPr>
            <w:tcW w:type="dxa" w:w="5184"/>
            <w:vAlign w:val="top"/>
          </w:tcPr>
          <w:p>
            <w:pPr>
              <w:spacing w:after="20"/>
            </w:pPr>
            <w:r>
              <w:rPr>
                <w:sz w:val="16"/>
              </w:rPr>
              <w:t>Does the client see continuing measurable value?</w:t>
            </w:r>
          </w:p>
        </w:tc>
      </w:tr>
      <w:tr>
        <w:tc>
          <w:tcPr>
            <w:tcW w:type="dxa" w:w="1440"/>
            <w:vAlign w:val="top"/>
            <w:shd w:fill="F2F2F0"/>
          </w:tcPr>
          <w:p>
            <w:pPr>
              <w:spacing w:after="20"/>
            </w:pPr>
            <w:r>
              <w:rPr>
                <w:sz w:val="16"/>
              </w:rPr>
              <w:t>Asset</w:t>
            </w:r>
          </w:p>
        </w:tc>
        <w:tc>
          <w:tcPr>
            <w:tcW w:type="dxa" w:w="3168"/>
            <w:vAlign w:val="top"/>
            <w:shd w:fill="F2F2F0"/>
          </w:tcPr>
          <w:p>
            <w:pPr>
              <w:spacing w:after="20"/>
            </w:pPr>
            <w:r>
              <w:rPr>
                <w:sz w:val="16"/>
              </w:rPr>
              <w:t>Verified outcomes / reusable modules</w:t>
            </w:r>
          </w:p>
        </w:tc>
        <w:tc>
          <w:tcPr>
            <w:tcW w:type="dxa" w:w="5184"/>
            <w:vAlign w:val="top"/>
            <w:shd w:fill="F2F2F0"/>
          </w:tcPr>
          <w:p>
            <w:pPr>
              <w:spacing w:after="20"/>
            </w:pPr>
            <w:r>
              <w:rPr>
                <w:sz w:val="16"/>
              </w:rPr>
              <w:t>Is the company getting smarter and more defensible?</w:t>
            </w:r>
          </w:p>
        </w:tc>
      </w:tr>
    </w:tbl>
    <w:p/>
    <w:p>
      <w:pPr>
        <w:pStyle w:val="Heading1"/>
      </w:pPr>
      <w:r>
        <w:t>12. Risks and Locks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1717"/>
            <w:vAlign w:val="center"/>
          </w:tcPr>
          <w:p>
            <w:pPr>
              <w:jc w:val="left"/>
            </w:pPr>
            <w:r>
              <w:rPr>
                <w:b/>
                <w:color w:val="FFFFFF"/>
                <w:sz w:val="17"/>
              </w:rPr>
              <w:t>Risk</w:t>
            </w:r>
          </w:p>
        </w:tc>
        <w:tc>
          <w:tcPr>
            <w:tcW w:type="dxa" w:w="6912"/>
            <w:shd w:fill="171717"/>
            <w:vAlign w:val="center"/>
          </w:tcPr>
          <w:p>
            <w:pPr>
              <w:jc w:val="left"/>
            </w:pPr>
            <w:r>
              <w:rPr>
                <w:b/>
                <w:color w:val="FFFFFF"/>
                <w:sz w:val="17"/>
              </w:rPr>
              <w:t>Lock</w:t>
            </w:r>
          </w:p>
        </w:tc>
      </w:tr>
      <w:tr>
        <w:tc>
          <w:tcPr>
            <w:tcW w:type="dxa" w:w="2880"/>
            <w:vAlign w:val="top"/>
          </w:tcPr>
          <w:p>
            <w:pPr>
              <w:spacing w:after="20"/>
            </w:pPr>
            <w:r>
              <w:rPr>
                <w:sz w:val="16"/>
              </w:rPr>
              <w:t>Offer sprawl</w:t>
            </w:r>
          </w:p>
        </w:tc>
        <w:tc>
          <w:tcPr>
            <w:tcW w:type="dxa" w:w="6912"/>
            <w:vAlign w:val="top"/>
          </w:tcPr>
          <w:p>
            <w:pPr>
              <w:spacing w:after="20"/>
            </w:pPr>
            <w:r>
              <w:rPr>
                <w:sz w:val="16"/>
              </w:rPr>
              <w:t>One core method, one primary ICP, one active offer ladder.</w:t>
            </w:r>
          </w:p>
        </w:tc>
      </w:tr>
      <w:tr>
        <w:tc>
          <w:tcPr>
            <w:tcW w:type="dxa" w:w="2880"/>
            <w:vAlign w:val="top"/>
            <w:shd w:fill="F2F2F0"/>
          </w:tcPr>
          <w:p>
            <w:pPr>
              <w:spacing w:after="20"/>
            </w:pPr>
            <w:r>
              <w:rPr>
                <w:sz w:val="16"/>
              </w:rPr>
              <w:t>Founder overload</w:t>
            </w:r>
          </w:p>
        </w:tc>
        <w:tc>
          <w:tcPr>
            <w:tcW w:type="dxa" w:w="6912"/>
            <w:vAlign w:val="top"/>
            <w:shd w:fill="F2F2F0"/>
          </w:tcPr>
          <w:p>
            <w:pPr>
              <w:spacing w:after="20"/>
            </w:pPr>
            <w:r>
              <w:rPr>
                <w:sz w:val="16"/>
              </w:rPr>
              <w:t>Capacity cap and delegate-before-expand rule.</w:t>
            </w:r>
          </w:p>
        </w:tc>
      </w:tr>
      <w:tr>
        <w:tc>
          <w:tcPr>
            <w:tcW w:type="dxa" w:w="2880"/>
            <w:vAlign w:val="top"/>
          </w:tcPr>
          <w:p>
            <w:pPr>
              <w:spacing w:after="20"/>
            </w:pPr>
            <w:r>
              <w:rPr>
                <w:sz w:val="16"/>
              </w:rPr>
              <w:t>Unverified marketing claims</w:t>
            </w:r>
          </w:p>
        </w:tc>
        <w:tc>
          <w:tcPr>
            <w:tcW w:type="dxa" w:w="6912"/>
            <w:vAlign w:val="top"/>
          </w:tcPr>
          <w:p>
            <w:pPr>
              <w:spacing w:after="20"/>
            </w:pPr>
            <w:r>
              <w:rPr>
                <w:sz w:val="16"/>
              </w:rPr>
              <w:t>Proof registry and evidence owner for every quantitative claim.</w:t>
            </w:r>
          </w:p>
        </w:tc>
      </w:tr>
      <w:tr>
        <w:tc>
          <w:tcPr>
            <w:tcW w:type="dxa" w:w="2880"/>
            <w:vAlign w:val="top"/>
            <w:shd w:fill="F2F2F0"/>
          </w:tcPr>
          <w:p>
            <w:pPr>
              <w:spacing w:after="20"/>
            </w:pPr>
            <w:r>
              <w:rPr>
                <w:sz w:val="16"/>
              </w:rPr>
              <w:t>Custom implementation chaos</w:t>
            </w:r>
          </w:p>
        </w:tc>
        <w:tc>
          <w:tcPr>
            <w:tcW w:type="dxa" w:w="6912"/>
            <w:vAlign w:val="top"/>
            <w:shd w:fill="F2F2F0"/>
          </w:tcPr>
          <w:p>
            <w:pPr>
              <w:spacing w:after="20"/>
            </w:pPr>
            <w:r>
              <w:rPr>
                <w:sz w:val="16"/>
              </w:rPr>
              <w:t>Intervention library and scope templates.</w:t>
            </w:r>
          </w:p>
        </w:tc>
      </w:tr>
      <w:tr>
        <w:tc>
          <w:tcPr>
            <w:tcW w:type="dxa" w:w="2880"/>
            <w:vAlign w:val="top"/>
          </w:tcPr>
          <w:p>
            <w:pPr>
              <w:spacing w:after="20"/>
            </w:pPr>
            <w:r>
              <w:rPr>
                <w:sz w:val="16"/>
              </w:rPr>
              <w:t>Free-audit time sink</w:t>
            </w:r>
          </w:p>
        </w:tc>
        <w:tc>
          <w:tcPr>
            <w:tcW w:type="dxa" w:w="6912"/>
            <w:vAlign w:val="top"/>
          </w:tcPr>
          <w:p>
            <w:pPr>
              <w:spacing w:after="20"/>
            </w:pPr>
            <w:r>
              <w:rPr>
                <w:sz w:val="16"/>
              </w:rPr>
              <w:t>Qualification gate; convert free audit to application-only or paid diagnostic when needed.</w:t>
            </w:r>
          </w:p>
        </w:tc>
      </w:tr>
      <w:tr>
        <w:tc>
          <w:tcPr>
            <w:tcW w:type="dxa" w:w="2880"/>
            <w:vAlign w:val="top"/>
            <w:shd w:fill="F2F2F0"/>
          </w:tcPr>
          <w:p>
            <w:pPr>
              <w:spacing w:after="20"/>
            </w:pPr>
            <w:r>
              <w:rPr>
                <w:sz w:val="16"/>
              </w:rPr>
              <w:t>AI novelty drift</w:t>
            </w:r>
          </w:p>
        </w:tc>
        <w:tc>
          <w:tcPr>
            <w:tcW w:type="dxa" w:w="6912"/>
            <w:vAlign w:val="top"/>
            <w:shd w:fill="F2F2F0"/>
          </w:tcPr>
          <w:p>
            <w:pPr>
              <w:spacing w:after="20"/>
            </w:pPr>
            <w:r>
              <w:rPr>
                <w:sz w:val="16"/>
              </w:rPr>
              <w:t>No AI intervention without economic or operating rationale.</w:t>
            </w:r>
          </w:p>
        </w:tc>
      </w:tr>
      <w:tr>
        <w:tc>
          <w:tcPr>
            <w:tcW w:type="dxa" w:w="2880"/>
            <w:vAlign w:val="top"/>
          </w:tcPr>
          <w:p>
            <w:pPr>
              <w:spacing w:after="20"/>
            </w:pPr>
            <w:r>
              <w:rPr>
                <w:sz w:val="16"/>
              </w:rPr>
              <w:t>Site identity fragmentation</w:t>
            </w:r>
          </w:p>
        </w:tc>
        <w:tc>
          <w:tcPr>
            <w:tcW w:type="dxa" w:w="6912"/>
            <w:vAlign w:val="top"/>
          </w:tcPr>
          <w:p>
            <w:pPr>
              <w:spacing w:after="20"/>
            </w:pPr>
            <w:r>
              <w:rPr>
                <w:sz w:val="16"/>
              </w:rPr>
              <w:t>Revenue Spine dominates commercial navigation; ecosystem projects are secondary.</w:t>
            </w:r>
          </w:p>
        </w:tc>
      </w:tr>
    </w:tbl>
    <w:p/>
    <w:p>
      <w:pPr>
        <w:pStyle w:val="Heading1"/>
      </w:pPr>
      <w:r>
        <w:t>13. Immediate Marketing Actions</w:t>
      </w:r>
    </w:p>
    <w:p>
      <w:pPr>
        <w:pStyle w:val="ListNumber"/>
        <w:spacing w:after="40"/>
      </w:pPr>
      <w:r>
        <w:t>Replace the company-wide website hero with the Revenue Spine category message.</w:t>
      </w:r>
    </w:p>
    <w:p>
      <w:pPr>
        <w:pStyle w:val="ListNumber"/>
        <w:spacing w:after="40"/>
      </w:pPr>
      <w:r>
        <w:t>Move the existing $1.5K/$2.5K/$3.5K website packages under a Local Service Edition page during transition.</w:t>
      </w:r>
    </w:p>
    <w:p>
      <w:pPr>
        <w:pStyle w:val="ListNumber"/>
        <w:spacing w:after="40"/>
      </w:pPr>
      <w:r>
        <w:t>Build a Revenue Spine Diagnostic application that captures buyer objective, economic context, current systems, and decision authority.</w:t>
      </w:r>
    </w:p>
    <w:p>
      <w:pPr>
        <w:pStyle w:val="ListNumber"/>
        <w:spacing w:after="40"/>
      </w:pPr>
      <w:r>
        <w:t>Create one proof registry and validate every numerical claim currently displayed on the site.</w:t>
      </w:r>
    </w:p>
    <w:p>
      <w:pPr>
        <w:pStyle w:val="ListNumber"/>
        <w:spacing w:after="40"/>
      </w:pPr>
      <w:r>
        <w:t>Publish one cornerstone article: 'The Revenue Spine: Where Service Businesses Lose Money Between Attention and Revenue.'</w:t>
      </w:r>
    </w:p>
    <w:p>
      <w:pPr>
        <w:pStyle w:val="ListNumber"/>
        <w:spacing w:after="40"/>
      </w:pPr>
      <w:r>
        <w:t>Build a 25-account target list and a 10-partner room-owner/referral list.</w:t>
      </w:r>
    </w:p>
    <w:p>
      <w:pPr>
        <w:pStyle w:val="ListNumber"/>
        <w:spacing w:after="40"/>
      </w:pPr>
      <w:r>
        <w:t>Run five diagnostic conversations and use the objections and language to refine the offer before expanding traffic.</w:t>
      </w:r>
    </w:p>
    <w:p>
      <w:pPr>
        <w:pStyle w:val="Heading1"/>
      </w:pPr>
      <w:r>
        <w:t>14. Market-Validated Startup Revision</w:t>
      </w:r>
    </w:p>
    <w:p>
      <w:pPr>
        <w:pStyle w:val="Heading1"/>
      </w:pPr>
      <w:r>
        <w:t>Market Reality and Confidence Framework</w:t>
      </w:r>
    </w:p>
    <w:p>
      <w:r>
        <w:t>The 2026 market strengthens the case for Revenue Spine, but it does not justify assuming demand. Small businesses are under cost pressure and increasingly prioritize efficiency, stability, and deeper customer relationships. AI use is widespread, while scaled ROI remains uneven. The operating consequence is clear: RUN It BAC should sell measurable constraint removal, not abstract transformation or AI novelty.</w:t>
      </w:r>
    </w:p>
    <w:tbl>
      <w:tblPr>
        <w:tblStyle w:val="TableGrid"/>
        <w:tblW w:type="auto" w:w="0"/>
        <w:jc w:val="center"/>
        <w:tblLook w:firstColumn="1" w:firstRow="1" w:lastColumn="0" w:lastRow="0" w:noHBand="0" w:noVBand="1" w:val="04A0"/>
      </w:tblPr>
      <w:tblGrid>
        <w:gridCol w:w="5083"/>
        <w:gridCol w:w="5083"/>
      </w:tblGrid>
      <w:tr>
        <w:tc>
          <w:tcPr>
            <w:tcW w:type="dxa" w:w="4464"/>
            <w:shd w:fill="171717"/>
            <w:vAlign w:val="center"/>
          </w:tcPr>
          <w:p>
            <w:r>
              <w:rPr>
                <w:b/>
                <w:color w:val="FFFFFF"/>
                <w:sz w:val="17"/>
              </w:rPr>
              <w:t>2026 Signal</w:t>
            </w:r>
          </w:p>
        </w:tc>
        <w:tc>
          <w:tcPr>
            <w:tcW w:type="dxa" w:w="5328"/>
            <w:shd w:fill="171717"/>
            <w:vAlign w:val="center"/>
          </w:tcPr>
          <w:p>
            <w:r>
              <w:rPr>
                <w:b/>
                <w:color w:val="FFFFFF"/>
                <w:sz w:val="17"/>
              </w:rPr>
              <w:t>Implication for RUN It BAC</w:t>
            </w:r>
          </w:p>
        </w:tc>
      </w:tr>
      <w:tr>
        <w:tc>
          <w:tcPr>
            <w:tcW w:type="dxa" w:w="4464"/>
            <w:vAlign w:val="top"/>
          </w:tcPr>
          <w:p>
            <w:r>
              <w:rPr>
                <w:sz w:val="16"/>
              </w:rPr>
              <w:t>Small-business AI use is widespread, but many firms remain early in practical adoption.</w:t>
            </w:r>
          </w:p>
        </w:tc>
        <w:tc>
          <w:tcPr>
            <w:tcW w:type="dxa" w:w="5328"/>
            <w:vAlign w:val="top"/>
          </w:tcPr>
          <w:p>
            <w:r>
              <w:rPr>
                <w:sz w:val="16"/>
              </w:rPr>
              <w:t>Do not sell AI access. Sell one measurable workflow or revenue constraint solved.</w:t>
            </w:r>
          </w:p>
        </w:tc>
      </w:tr>
      <w:tr>
        <w:tc>
          <w:tcPr>
            <w:tcW w:type="dxa" w:w="4464"/>
            <w:vAlign w:val="top"/>
            <w:shd w:fill="F2F2F0"/>
          </w:tcPr>
          <w:p>
            <w:r>
              <w:rPr>
                <w:sz w:val="16"/>
              </w:rPr>
              <w:t>Cost, unclear ROI, fragmented data, and workforce readiness are major blockers.</w:t>
            </w:r>
          </w:p>
        </w:tc>
        <w:tc>
          <w:tcPr>
            <w:tcW w:type="dxa" w:w="5328"/>
            <w:vAlign w:val="top"/>
            <w:shd w:fill="F2F2F0"/>
          </w:tcPr>
          <w:p>
            <w:r>
              <w:rPr>
                <w:sz w:val="16"/>
              </w:rPr>
              <w:t>Start with bounded interventions, explicit baselines, and human-in-the-loop adoption.</w:t>
            </w:r>
          </w:p>
        </w:tc>
      </w:tr>
      <w:tr>
        <w:tc>
          <w:tcPr>
            <w:tcW w:type="dxa" w:w="4464"/>
            <w:vAlign w:val="top"/>
          </w:tcPr>
          <w:p>
            <w:r>
              <w:rPr>
                <w:sz w:val="16"/>
              </w:rPr>
              <w:t>Small businesses face high prices and are cautious about expansion and capital spending.</w:t>
            </w:r>
          </w:p>
        </w:tc>
        <w:tc>
          <w:tcPr>
            <w:tcW w:type="dxa" w:w="5328"/>
            <w:vAlign w:val="top"/>
          </w:tcPr>
          <w:p>
            <w:r>
              <w:rPr>
                <w:sz w:val="16"/>
              </w:rPr>
              <w:t>Reduce upfront scope; use fast payback logic and staged expansion after proof.</w:t>
            </w:r>
          </w:p>
        </w:tc>
      </w:tr>
      <w:tr>
        <w:tc>
          <w:tcPr>
            <w:tcW w:type="dxa" w:w="4464"/>
            <w:vAlign w:val="top"/>
            <w:shd w:fill="F2F2F0"/>
          </w:tcPr>
          <w:p>
            <w:r>
              <w:rPr>
                <w:sz w:val="16"/>
              </w:rPr>
              <w:t>Businesses increasingly want stability and stronger customer relationships.</w:t>
            </w:r>
          </w:p>
        </w:tc>
        <w:tc>
          <w:tcPr>
            <w:tcW w:type="dxa" w:w="5328"/>
            <w:vAlign w:val="top"/>
            <w:shd w:fill="F2F2F0"/>
          </w:tcPr>
          <w:p>
            <w:r>
              <w:rPr>
                <w:sz w:val="16"/>
              </w:rPr>
              <w:t>Emphasize conversion, retention, response, follow-up, and operational reliability.</w:t>
            </w:r>
          </w:p>
        </w:tc>
      </w:tr>
      <w:tr>
        <w:tc>
          <w:tcPr>
            <w:tcW w:type="dxa" w:w="4464"/>
            <w:vAlign w:val="top"/>
          </w:tcPr>
          <w:p>
            <w:r>
              <w:rPr>
                <w:sz w:val="16"/>
              </w:rPr>
              <w:t>Enterprise AI use is broad, but most organizations are not yet scaling AI deeply into workflows.</w:t>
            </w:r>
          </w:p>
        </w:tc>
        <w:tc>
          <w:tcPr>
            <w:tcW w:type="dxa" w:w="5328"/>
            <w:vAlign w:val="top"/>
          </w:tcPr>
          <w:p>
            <w:r>
              <w:rPr>
                <w:sz w:val="16"/>
              </w:rPr>
              <w:t>Revenue Spine's workflow diagnosis + implementation layer is more defensible than generic AI consulting.</w:t>
            </w:r>
          </w:p>
        </w:tc>
      </w:tr>
    </w:tbl>
    <w:p/>
    <w:tbl>
      <w:tblPr>
        <w:tblW w:type="auto" w:w="0"/>
        <w:jc w:val="center"/>
        <w:tblLook w:firstColumn="1" w:firstRow="1" w:lastColumn="0" w:lastRow="0" w:noHBand="0" w:noVBand="1" w:val="04A0"/>
      </w:tblPr>
      <w:tblGrid>
        <w:gridCol w:w="10166"/>
      </w:tblGrid>
      <w:tr>
        <w:tc>
          <w:tcPr>
            <w:tcW w:type="dxa" w:w="10166"/>
            <w:shd w:fill="171717"/>
            <w:tcBorders>
              <w:left w:val="single" w:sz="18" w:color="D9A514"/>
              <w:top w:val="single" w:sz="2" w:color="171717"/>
              <w:bottom w:val="single" w:sz="2" w:color="171717"/>
              <w:right w:val="single" w:sz="2" w:color="171717"/>
            </w:tcBorders>
          </w:tcPr>
          <w:p>
            <w:r>
              <w:rPr>
                <w:b/>
                <w:color w:val="D9A514"/>
                <w:sz w:val="17"/>
              </w:rPr>
              <w:t>CONFIDENCE RULE</w:t>
              <w:br/>
            </w:r>
            <w:r>
              <w:rPr>
                <w:color w:val="FFFFFF"/>
                <w:sz w:val="21"/>
              </w:rPr>
              <w:t>No artifact can make a startup 95% certain to produce revenue before the market validates willingness to pay, close rate, delivery margin, and retention. The objective is 95% confidence that the operating system will discover those answers quickly, protect cash, and scale only after evidence.</w:t>
            </w:r>
          </w:p>
        </w:tc>
      </w:tr>
    </w:tbl>
    <w:p/>
    <w:p>
      <w:pPr>
        <w:pStyle w:val="Heading2"/>
      </w:pPr>
      <w:r>
        <w:t>Go-to-Market Sequence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152"/>
            <w:shd w:fill="171717"/>
            <w:vAlign w:val="center"/>
          </w:tcPr>
          <w:p>
            <w:r>
              <w:rPr>
                <w:b/>
                <w:color w:val="FFFFFF"/>
                <w:sz w:val="17"/>
              </w:rPr>
              <w:t>Days</w:t>
            </w:r>
          </w:p>
        </w:tc>
        <w:tc>
          <w:tcPr>
            <w:tcW w:type="dxa" w:w="2448"/>
            <w:shd w:fill="171717"/>
            <w:vAlign w:val="center"/>
          </w:tcPr>
          <w:p>
            <w:r>
              <w:rPr>
                <w:b/>
                <w:color w:val="FFFFFF"/>
                <w:sz w:val="17"/>
              </w:rPr>
              <w:t>Primary Job</w:t>
            </w:r>
          </w:p>
        </w:tc>
        <w:tc>
          <w:tcPr>
            <w:tcW w:type="dxa" w:w="3168"/>
            <w:shd w:fill="171717"/>
            <w:vAlign w:val="center"/>
          </w:tcPr>
          <w:p>
            <w:r>
              <w:rPr>
                <w:b/>
                <w:color w:val="FFFFFF"/>
                <w:sz w:val="17"/>
              </w:rPr>
              <w:t>Offer</w:t>
            </w:r>
          </w:p>
        </w:tc>
        <w:tc>
          <w:tcPr>
            <w:tcW w:type="dxa" w:w="3024"/>
            <w:shd w:fill="171717"/>
            <w:vAlign w:val="center"/>
          </w:tcPr>
          <w:p>
            <w:r>
              <w:rPr>
                <w:b/>
                <w:color w:val="FFFFFF"/>
                <w:sz w:val="17"/>
              </w:rPr>
              <w:t>Do Not Do</w:t>
            </w:r>
          </w:p>
        </w:tc>
      </w:tr>
      <w:tr>
        <w:tc>
          <w:tcPr>
            <w:tcW w:type="dxa" w:w="1152"/>
            <w:vAlign w:val="top"/>
          </w:tcPr>
          <w:p>
            <w:r>
              <w:rPr>
                <w:sz w:val="16"/>
              </w:rPr>
              <w:t>1-30</w:t>
            </w:r>
          </w:p>
        </w:tc>
        <w:tc>
          <w:tcPr>
            <w:tcW w:type="dxa" w:w="2448"/>
            <w:vAlign w:val="top"/>
          </w:tcPr>
          <w:p>
            <w:r>
              <w:rPr>
                <w:sz w:val="16"/>
              </w:rPr>
              <w:t>Sell and learn</w:t>
            </w:r>
          </w:p>
        </w:tc>
        <w:tc>
          <w:tcPr>
            <w:tcW w:type="dxa" w:w="3168"/>
            <w:vAlign w:val="top"/>
          </w:tcPr>
          <w:p>
            <w:r>
              <w:rPr>
                <w:sz w:val="16"/>
              </w:rPr>
              <w:t>Qualified Revenue Spine Snapshot -&gt; core install</w:t>
            </w:r>
          </w:p>
        </w:tc>
        <w:tc>
          <w:tcPr>
            <w:tcW w:type="dxa" w:w="3024"/>
            <w:vAlign w:val="top"/>
          </w:tcPr>
          <w:p>
            <w:r>
              <w:rPr>
                <w:sz w:val="16"/>
              </w:rPr>
              <w:t>Do not rebuild the app or broaden ICP.</w:t>
            </w:r>
          </w:p>
        </w:tc>
      </w:tr>
      <w:tr>
        <w:tc>
          <w:tcPr>
            <w:tcW w:type="dxa" w:w="1152"/>
            <w:vAlign w:val="top"/>
            <w:shd w:fill="F2F2F0"/>
          </w:tcPr>
          <w:p>
            <w:r>
              <w:rPr>
                <w:sz w:val="16"/>
              </w:rPr>
              <w:t>31-60</w:t>
            </w:r>
          </w:p>
        </w:tc>
        <w:tc>
          <w:tcPr>
            <w:tcW w:type="dxa" w:w="2448"/>
            <w:vAlign w:val="top"/>
            <w:shd w:fill="F2F2F0"/>
          </w:tcPr>
          <w:p>
            <w:r>
              <w:rPr>
                <w:sz w:val="16"/>
              </w:rPr>
              <w:t>Deliver and prove</w:t>
            </w:r>
          </w:p>
        </w:tc>
        <w:tc>
          <w:tcPr>
            <w:tcW w:type="dxa" w:w="3168"/>
            <w:vAlign w:val="top"/>
            <w:shd w:fill="F2F2F0"/>
          </w:tcPr>
          <w:p>
            <w:r>
              <w:rPr>
                <w:sz w:val="16"/>
              </w:rPr>
              <w:t>Core install + measured 30-day review</w:t>
            </w:r>
          </w:p>
        </w:tc>
        <w:tc>
          <w:tcPr>
            <w:tcW w:type="dxa" w:w="3024"/>
            <w:vAlign w:val="top"/>
            <w:shd w:fill="F2F2F0"/>
          </w:tcPr>
          <w:p>
            <w:r>
              <w:rPr>
                <w:sz w:val="16"/>
              </w:rPr>
              <w:t>Do not add new packages.</w:t>
            </w:r>
          </w:p>
        </w:tc>
      </w:tr>
      <w:tr>
        <w:tc>
          <w:tcPr>
            <w:tcW w:type="dxa" w:w="1152"/>
            <w:vAlign w:val="top"/>
          </w:tcPr>
          <w:p>
            <w:r>
              <w:rPr>
                <w:sz w:val="16"/>
              </w:rPr>
              <w:t>61-90</w:t>
            </w:r>
          </w:p>
        </w:tc>
        <w:tc>
          <w:tcPr>
            <w:tcW w:type="dxa" w:w="2448"/>
            <w:vAlign w:val="top"/>
          </w:tcPr>
          <w:p>
            <w:r>
              <w:rPr>
                <w:sz w:val="16"/>
              </w:rPr>
              <w:t>Repeat and delegate</w:t>
            </w:r>
          </w:p>
        </w:tc>
        <w:tc>
          <w:tcPr>
            <w:tcW w:type="dxa" w:w="3168"/>
            <w:vAlign w:val="top"/>
          </w:tcPr>
          <w:p>
            <w:r>
              <w:rPr>
                <w:sz w:val="16"/>
              </w:rPr>
              <w:t>Same install + optimization where ongoing job is real</w:t>
            </w:r>
          </w:p>
        </w:tc>
        <w:tc>
          <w:tcPr>
            <w:tcW w:type="dxa" w:w="3024"/>
            <w:vAlign w:val="top"/>
          </w:tcPr>
          <w:p>
            <w:r>
              <w:rPr>
                <w:sz w:val="16"/>
              </w:rPr>
              <w:t>Do not scale ads until close rate and unit economics are known.</w:t>
            </w:r>
          </w:p>
        </w:tc>
      </w:tr>
    </w:tbl>
    <w:p/>
    <w:p>
      <w:pPr>
        <w:pStyle w:val="Heading2"/>
      </w:pPr>
      <w:r>
        <w:t>Entry Mechanism</w:t>
      </w:r>
    </w:p>
    <w:p>
      <w:r>
        <w:t>Keep the current free 15-minute audit only as a qualification/snapshot conversation. It should not attempt to deliver the full proprietary diagnosis for free. The full diagnostic is either included in a paid install/deposit or sold separately once buyer willingness is demonstrated.</w:t>
      </w:r>
    </w:p>
    <w:p>
      <w:pPr>
        <w:pStyle w:val="Heading2"/>
      </w:pPr>
      <w:r>
        <w:t>Offer Simplification</w:t>
      </w:r>
    </w:p>
    <w:tbl>
      <w:tblPr>
        <w:tblStyle w:val="TableGrid"/>
        <w:tblW w:type="auto" w:w="0"/>
        <w:jc w:val="center"/>
        <w:tblLook w:firstColumn="1" w:firstRow="1" w:lastColumn="0" w:lastRow="0" w:noHBand="0" w:noVBand="1" w:val="04A0"/>
      </w:tblPr>
      <w:tblGrid>
        <w:gridCol w:w="3389"/>
        <w:gridCol w:w="3389"/>
        <w:gridCol w:w="3389"/>
      </w:tblGrid>
      <w:tr>
        <w:tc>
          <w:tcPr>
            <w:tcW w:type="dxa" w:w="3024"/>
            <w:shd w:fill="171717"/>
            <w:vAlign w:val="center"/>
          </w:tcPr>
          <w:p>
            <w:r>
              <w:rPr>
                <w:b/>
                <w:color w:val="FFFFFF"/>
                <w:sz w:val="17"/>
              </w:rPr>
              <w:t>Public Offer</w:t>
            </w:r>
          </w:p>
        </w:tc>
        <w:tc>
          <w:tcPr>
            <w:tcW w:type="dxa" w:w="4464"/>
            <w:shd w:fill="171717"/>
            <w:vAlign w:val="center"/>
          </w:tcPr>
          <w:p>
            <w:r>
              <w:rPr>
                <w:b/>
                <w:color w:val="FFFFFF"/>
                <w:sz w:val="17"/>
              </w:rPr>
              <w:t>Purpose</w:t>
            </w:r>
          </w:p>
        </w:tc>
        <w:tc>
          <w:tcPr>
            <w:tcW w:type="dxa" w:w="2160"/>
            <w:shd w:fill="171717"/>
            <w:vAlign w:val="center"/>
          </w:tcPr>
          <w:p>
            <w:r>
              <w:rPr>
                <w:b/>
                <w:color w:val="FFFFFF"/>
                <w:sz w:val="17"/>
              </w:rPr>
              <w:t>Startup Status</w:t>
            </w:r>
          </w:p>
        </w:tc>
      </w:tr>
      <w:tr>
        <w:tc>
          <w:tcPr>
            <w:tcW w:type="dxa" w:w="3024"/>
            <w:vAlign w:val="top"/>
          </w:tcPr>
          <w:p>
            <w:r>
              <w:rPr>
                <w:sz w:val="16"/>
              </w:rPr>
              <w:t>Revenue Spine Snapshot</w:t>
            </w:r>
          </w:p>
        </w:tc>
        <w:tc>
          <w:tcPr>
            <w:tcW w:type="dxa" w:w="4464"/>
            <w:vAlign w:val="top"/>
          </w:tcPr>
          <w:p>
            <w:r>
              <w:rPr>
                <w:sz w:val="16"/>
              </w:rPr>
              <w:t>Qualify buyer and identify whether an evidenced leak exists</w:t>
            </w:r>
          </w:p>
        </w:tc>
        <w:tc>
          <w:tcPr>
            <w:tcW w:type="dxa" w:w="2160"/>
            <w:vAlign w:val="top"/>
          </w:tcPr>
          <w:p>
            <w:r>
              <w:rPr>
                <w:sz w:val="16"/>
              </w:rPr>
              <w:t>Free, short, no full report</w:t>
            </w:r>
          </w:p>
        </w:tc>
      </w:tr>
      <w:tr>
        <w:tc>
          <w:tcPr>
            <w:tcW w:type="dxa" w:w="3024"/>
            <w:vAlign w:val="top"/>
            <w:shd w:fill="F2F2F0"/>
          </w:tcPr>
          <w:p>
            <w:r>
              <w:rPr>
                <w:sz w:val="16"/>
              </w:rPr>
              <w:t>Revenue Spine Install</w:t>
            </w:r>
          </w:p>
        </w:tc>
        <w:tc>
          <w:tcPr>
            <w:tcW w:type="dxa" w:w="4464"/>
            <w:vAlign w:val="top"/>
            <w:shd w:fill="F2F2F0"/>
          </w:tcPr>
          <w:p>
            <w:r>
              <w:rPr>
                <w:sz w:val="16"/>
              </w:rPr>
              <w:t>Core paid offer: message + action path + response/follow-up + measurement</w:t>
            </w:r>
          </w:p>
        </w:tc>
        <w:tc>
          <w:tcPr>
            <w:tcW w:type="dxa" w:w="2160"/>
            <w:vAlign w:val="top"/>
            <w:shd w:fill="F2F2F0"/>
          </w:tcPr>
          <w:p>
            <w:r>
              <w:rPr>
                <w:sz w:val="16"/>
              </w:rPr>
              <w:t>PRIMARY</w:t>
            </w:r>
          </w:p>
        </w:tc>
      </w:tr>
      <w:tr>
        <w:tc>
          <w:tcPr>
            <w:tcW w:type="dxa" w:w="3024"/>
            <w:vAlign w:val="top"/>
          </w:tcPr>
          <w:p>
            <w:r>
              <w:rPr>
                <w:sz w:val="16"/>
              </w:rPr>
              <w:t>Revenue Spine Optimization</w:t>
            </w:r>
          </w:p>
        </w:tc>
        <w:tc>
          <w:tcPr>
            <w:tcW w:type="dxa" w:w="4464"/>
            <w:vAlign w:val="top"/>
          </w:tcPr>
          <w:p>
            <w:r>
              <w:rPr>
                <w:sz w:val="16"/>
              </w:rPr>
              <w:t>Ongoing measurement and improvements after install</w:t>
            </w:r>
          </w:p>
        </w:tc>
        <w:tc>
          <w:tcPr>
            <w:tcW w:type="dxa" w:w="2160"/>
            <w:vAlign w:val="top"/>
          </w:tcPr>
          <w:p>
            <w:r>
              <w:rPr>
                <w:sz w:val="16"/>
              </w:rPr>
              <w:t>POST-SALE ONLY</w:t>
            </w:r>
          </w:p>
        </w:tc>
      </w:tr>
      <w:tr>
        <w:tc>
          <w:tcPr>
            <w:tcW w:type="dxa" w:w="3024"/>
            <w:vAlign w:val="top"/>
            <w:shd w:fill="F2F2F0"/>
          </w:tcPr>
          <w:p>
            <w:r>
              <w:rPr>
                <w:sz w:val="16"/>
              </w:rPr>
              <w:t>Revenue Spine Diagnostic (standalone)</w:t>
            </w:r>
          </w:p>
        </w:tc>
        <w:tc>
          <w:tcPr>
            <w:tcW w:type="dxa" w:w="4464"/>
            <w:vAlign w:val="top"/>
            <w:shd w:fill="F2F2F0"/>
          </w:tcPr>
          <w:p>
            <w:r>
              <w:rPr>
                <w:sz w:val="16"/>
              </w:rPr>
              <w:t>Paid strategic diagnostic for larger/complex organizations</w:t>
            </w:r>
          </w:p>
        </w:tc>
        <w:tc>
          <w:tcPr>
            <w:tcW w:type="dxa" w:w="2160"/>
            <w:vAlign w:val="top"/>
            <w:shd w:fill="F2F2F0"/>
          </w:tcPr>
          <w:p>
            <w:r>
              <w:rPr>
                <w:sz w:val="16"/>
              </w:rPr>
              <w:t>TEST AFTER INITIAL PROOF</w:t>
            </w:r>
          </w:p>
        </w:tc>
      </w:tr>
      <w:tr>
        <w:tc>
          <w:tcPr>
            <w:tcW w:type="dxa" w:w="3024"/>
            <w:vAlign w:val="top"/>
          </w:tcPr>
          <w:p>
            <w:r>
              <w:rPr>
                <w:sz w:val="16"/>
              </w:rPr>
              <w:t>Institutional / AI Operations</w:t>
            </w:r>
          </w:p>
        </w:tc>
        <w:tc>
          <w:tcPr>
            <w:tcW w:type="dxa" w:w="4464"/>
            <w:vAlign w:val="top"/>
          </w:tcPr>
          <w:p>
            <w:r>
              <w:rPr>
                <w:sz w:val="16"/>
              </w:rPr>
              <w:t>Higher-ticket expansion path</w:t>
            </w:r>
          </w:p>
        </w:tc>
        <w:tc>
          <w:tcPr>
            <w:tcW w:type="dxa" w:w="2160"/>
            <w:vAlign w:val="top"/>
          </w:tcPr>
          <w:p>
            <w:r>
              <w:rPr>
                <w:sz w:val="16"/>
              </w:rPr>
              <w:t>DEFER UNTIL CORE MOTION PROVEN</w:t>
            </w:r>
          </w:p>
        </w:tc>
      </w:tr>
    </w:tbl>
    <w:p/>
    <w:p>
      <w:pPr>
        <w:pStyle w:val="Heading2"/>
      </w:pPr>
      <w:r>
        <w:t>Pricing Discipline</w:t>
      </w:r>
    </w:p>
    <w:p>
      <w:pPr>
        <w:pStyle w:val="ListBullet"/>
        <w:spacing w:after="40"/>
      </w:pPr>
      <w:r>
        <w:t>Do not anchor startup pricing to the old $1,500 package if the economics cannot support founder time and quality.</w:t>
      </w:r>
    </w:p>
    <w:p>
      <w:pPr>
        <w:pStyle w:val="ListBullet"/>
        <w:spacing w:after="40"/>
      </w:pPr>
      <w:r>
        <w:t>Do not jump immediately to $25K-$50K merely because the strategy can support higher-value work.</w:t>
      </w:r>
    </w:p>
    <w:p>
      <w:pPr>
        <w:pStyle w:val="ListBullet"/>
        <w:spacing w:after="40"/>
      </w:pPr>
      <w:r>
        <w:t>Set a price floor using delivery cost + software/contractor cost + required contribution margin.</w:t>
      </w:r>
    </w:p>
    <w:p>
      <w:pPr>
        <w:pStyle w:val="ListBullet"/>
        <w:spacing w:after="40"/>
      </w:pPr>
      <w:r>
        <w:t>Raise price only after evidence shows close-rate resilience, faster time-to-value, stronger proof, or materially larger buyer economics.</w:t>
      </w:r>
    </w:p>
    <w:p>
      <w:pPr>
        <w:pStyle w:val="ListBullet"/>
        <w:spacing w:after="40"/>
      </w:pPr>
      <w:r>
        <w:t>Use scope reduction instead of discounting when a buyer cannot support the target price.</w:t>
      </w:r>
    </w:p>
    <w:p>
      <w:pPr>
        <w:pStyle w:val="Heading2"/>
      </w:pPr>
      <w:r>
        <w:t>Blue Ocean Strategy Canvas</w:t>
      </w:r>
    </w:p>
    <w:tbl>
      <w:tblPr>
        <w:tblStyle w:val="TableGrid"/>
        <w:tblW w:type="auto" w:w="0"/>
        <w:jc w:val="center"/>
        <w:tblLook w:firstColumn="1" w:firstRow="1" w:lastColumn="0" w:lastRow="0" w:noHBand="0" w:noVBand="1" w:val="04A0"/>
      </w:tblPr>
      <w:tblGrid>
        <w:gridCol w:w="3389"/>
        <w:gridCol w:w="3389"/>
        <w:gridCol w:w="3389"/>
      </w:tblGrid>
      <w:tr>
        <w:tc>
          <w:tcPr>
            <w:tcW w:type="dxa" w:w="2880"/>
            <w:shd w:fill="171717"/>
            <w:vAlign w:val="center"/>
          </w:tcPr>
          <w:p>
            <w:r>
              <w:rPr>
                <w:b/>
                <w:color w:val="FFFFFF"/>
                <w:sz w:val="17"/>
              </w:rPr>
              <w:t>Factor</w:t>
            </w:r>
          </w:p>
        </w:tc>
        <w:tc>
          <w:tcPr>
            <w:tcW w:type="dxa" w:w="3168"/>
            <w:shd w:fill="171717"/>
            <w:vAlign w:val="center"/>
          </w:tcPr>
          <w:p>
            <w:r>
              <w:rPr>
                <w:b/>
                <w:color w:val="FFFFFF"/>
                <w:sz w:val="17"/>
              </w:rPr>
              <w:t>Traditional Web/AI Agency</w:t>
            </w:r>
          </w:p>
        </w:tc>
        <w:tc>
          <w:tcPr>
            <w:tcW w:type="dxa" w:w="3600"/>
            <w:shd w:fill="171717"/>
            <w:vAlign w:val="center"/>
          </w:tcPr>
          <w:p>
            <w:r>
              <w:rPr>
                <w:b/>
                <w:color w:val="FFFFFF"/>
                <w:sz w:val="17"/>
              </w:rPr>
              <w:t>Revenue Spine Startup Position</w:t>
            </w:r>
          </w:p>
        </w:tc>
      </w:tr>
      <w:tr>
        <w:tc>
          <w:tcPr>
            <w:tcW w:type="dxa" w:w="2880"/>
            <w:vAlign w:val="top"/>
          </w:tcPr>
          <w:p>
            <w:r>
              <w:rPr>
                <w:sz w:val="16"/>
              </w:rPr>
              <w:t>Design aesthetics</w:t>
            </w:r>
          </w:p>
        </w:tc>
        <w:tc>
          <w:tcPr>
            <w:tcW w:type="dxa" w:w="3168"/>
            <w:vAlign w:val="top"/>
          </w:tcPr>
          <w:p>
            <w:r>
              <w:rPr>
                <w:sz w:val="16"/>
              </w:rPr>
              <w:t>High</w:t>
            </w:r>
          </w:p>
        </w:tc>
        <w:tc>
          <w:tcPr>
            <w:tcW w:type="dxa" w:w="3600"/>
            <w:vAlign w:val="top"/>
          </w:tcPr>
          <w:p>
            <w:r>
              <w:rPr>
                <w:sz w:val="16"/>
              </w:rPr>
              <w:t>Necessary but secondary</w:t>
            </w:r>
          </w:p>
        </w:tc>
      </w:tr>
      <w:tr>
        <w:tc>
          <w:tcPr>
            <w:tcW w:type="dxa" w:w="2880"/>
            <w:vAlign w:val="top"/>
            <w:shd w:fill="F2F2F0"/>
          </w:tcPr>
          <w:p>
            <w:r>
              <w:rPr>
                <w:sz w:val="16"/>
              </w:rPr>
              <w:t>Number of pages/tools</w:t>
            </w:r>
          </w:p>
        </w:tc>
        <w:tc>
          <w:tcPr>
            <w:tcW w:type="dxa" w:w="3168"/>
            <w:vAlign w:val="top"/>
            <w:shd w:fill="F2F2F0"/>
          </w:tcPr>
          <w:p>
            <w:r>
              <w:rPr>
                <w:sz w:val="16"/>
              </w:rPr>
              <w:t>High</w:t>
            </w:r>
          </w:p>
        </w:tc>
        <w:tc>
          <w:tcPr>
            <w:tcW w:type="dxa" w:w="3600"/>
            <w:vAlign w:val="top"/>
            <w:shd w:fill="F2F2F0"/>
          </w:tcPr>
          <w:p>
            <w:r>
              <w:rPr>
                <w:sz w:val="16"/>
              </w:rPr>
              <w:t>Low / minimum sufficient</w:t>
            </w:r>
          </w:p>
        </w:tc>
      </w:tr>
      <w:tr>
        <w:tc>
          <w:tcPr>
            <w:tcW w:type="dxa" w:w="2880"/>
            <w:vAlign w:val="top"/>
          </w:tcPr>
          <w:p>
            <w:r>
              <w:rPr>
                <w:sz w:val="16"/>
              </w:rPr>
              <w:t>Custom scope</w:t>
            </w:r>
          </w:p>
        </w:tc>
        <w:tc>
          <w:tcPr>
            <w:tcW w:type="dxa" w:w="3168"/>
            <w:vAlign w:val="top"/>
          </w:tcPr>
          <w:p>
            <w:r>
              <w:rPr>
                <w:sz w:val="16"/>
              </w:rPr>
              <w:t>High</w:t>
            </w:r>
          </w:p>
        </w:tc>
        <w:tc>
          <w:tcPr>
            <w:tcW w:type="dxa" w:w="3600"/>
            <w:vAlign w:val="top"/>
          </w:tcPr>
          <w:p>
            <w:r>
              <w:rPr>
                <w:sz w:val="16"/>
              </w:rPr>
              <w:t>Low</w:t>
            </w:r>
          </w:p>
        </w:tc>
      </w:tr>
      <w:tr>
        <w:tc>
          <w:tcPr>
            <w:tcW w:type="dxa" w:w="2880"/>
            <w:vAlign w:val="top"/>
            <w:shd w:fill="F2F2F0"/>
          </w:tcPr>
          <w:p>
            <w:r>
              <w:rPr>
                <w:sz w:val="16"/>
              </w:rPr>
              <w:t>Diagnostic rigor</w:t>
            </w:r>
          </w:p>
        </w:tc>
        <w:tc>
          <w:tcPr>
            <w:tcW w:type="dxa" w:w="3168"/>
            <w:vAlign w:val="top"/>
            <w:shd w:fill="F2F2F0"/>
          </w:tcPr>
          <w:p>
            <w:r>
              <w:rPr>
                <w:sz w:val="16"/>
              </w:rPr>
              <w:t>Low to medium</w:t>
            </w:r>
          </w:p>
        </w:tc>
        <w:tc>
          <w:tcPr>
            <w:tcW w:type="dxa" w:w="3600"/>
            <w:vAlign w:val="top"/>
            <w:shd w:fill="F2F2F0"/>
          </w:tcPr>
          <w:p>
            <w:r>
              <w:rPr>
                <w:sz w:val="16"/>
              </w:rPr>
              <w:t>Very high</w:t>
            </w:r>
          </w:p>
        </w:tc>
      </w:tr>
      <w:tr>
        <w:tc>
          <w:tcPr>
            <w:tcW w:type="dxa" w:w="2880"/>
            <w:vAlign w:val="top"/>
          </w:tcPr>
          <w:p>
            <w:r>
              <w:rPr>
                <w:sz w:val="16"/>
              </w:rPr>
              <w:t>Evidence traceability</w:t>
            </w:r>
          </w:p>
        </w:tc>
        <w:tc>
          <w:tcPr>
            <w:tcW w:type="dxa" w:w="3168"/>
            <w:vAlign w:val="top"/>
          </w:tcPr>
          <w:p>
            <w:r>
              <w:rPr>
                <w:sz w:val="16"/>
              </w:rPr>
              <w:t>Low</w:t>
            </w:r>
          </w:p>
        </w:tc>
        <w:tc>
          <w:tcPr>
            <w:tcW w:type="dxa" w:w="3600"/>
            <w:vAlign w:val="top"/>
          </w:tcPr>
          <w:p>
            <w:r>
              <w:rPr>
                <w:sz w:val="16"/>
              </w:rPr>
              <w:t>Very high</w:t>
            </w:r>
          </w:p>
        </w:tc>
      </w:tr>
      <w:tr>
        <w:tc>
          <w:tcPr>
            <w:tcW w:type="dxa" w:w="2880"/>
            <w:vAlign w:val="top"/>
            <w:shd w:fill="F2F2F0"/>
          </w:tcPr>
          <w:p>
            <w:r>
              <w:rPr>
                <w:sz w:val="16"/>
              </w:rPr>
              <w:t>Speed to measurable value</w:t>
            </w:r>
          </w:p>
        </w:tc>
        <w:tc>
          <w:tcPr>
            <w:tcW w:type="dxa" w:w="3168"/>
            <w:vAlign w:val="top"/>
            <w:shd w:fill="F2F2F0"/>
          </w:tcPr>
          <w:p>
            <w:r>
              <w:rPr>
                <w:sz w:val="16"/>
              </w:rPr>
              <w:t>Variable</w:t>
            </w:r>
          </w:p>
        </w:tc>
        <w:tc>
          <w:tcPr>
            <w:tcW w:type="dxa" w:w="3600"/>
            <w:vAlign w:val="top"/>
            <w:shd w:fill="F2F2F0"/>
          </w:tcPr>
          <w:p>
            <w:r>
              <w:rPr>
                <w:sz w:val="16"/>
              </w:rPr>
              <w:t>High</w:t>
            </w:r>
          </w:p>
        </w:tc>
      </w:tr>
      <w:tr>
        <w:tc>
          <w:tcPr>
            <w:tcW w:type="dxa" w:w="2880"/>
            <w:vAlign w:val="top"/>
          </w:tcPr>
          <w:p>
            <w:r>
              <w:rPr>
                <w:sz w:val="16"/>
              </w:rPr>
              <w:t>Booking/follow-up integration</w:t>
            </w:r>
          </w:p>
        </w:tc>
        <w:tc>
          <w:tcPr>
            <w:tcW w:type="dxa" w:w="3168"/>
            <w:vAlign w:val="top"/>
          </w:tcPr>
          <w:p>
            <w:r>
              <w:rPr>
                <w:sz w:val="16"/>
              </w:rPr>
              <w:t>Variable</w:t>
            </w:r>
          </w:p>
        </w:tc>
        <w:tc>
          <w:tcPr>
            <w:tcW w:type="dxa" w:w="3600"/>
            <w:vAlign w:val="top"/>
          </w:tcPr>
          <w:p>
            <w:r>
              <w:rPr>
                <w:sz w:val="16"/>
              </w:rPr>
              <w:t>Core</w:t>
            </w:r>
          </w:p>
        </w:tc>
      </w:tr>
      <w:tr>
        <w:tc>
          <w:tcPr>
            <w:tcW w:type="dxa" w:w="2880"/>
            <w:vAlign w:val="top"/>
            <w:shd w:fill="F2F2F0"/>
          </w:tcPr>
          <w:p>
            <w:r>
              <w:rPr>
                <w:sz w:val="16"/>
              </w:rPr>
              <w:t>Baseline + post-install measurement</w:t>
            </w:r>
          </w:p>
        </w:tc>
        <w:tc>
          <w:tcPr>
            <w:tcW w:type="dxa" w:w="3168"/>
            <w:vAlign w:val="top"/>
            <w:shd w:fill="F2F2F0"/>
          </w:tcPr>
          <w:p>
            <w:r>
              <w:rPr>
                <w:sz w:val="16"/>
              </w:rPr>
              <w:t>Low</w:t>
            </w:r>
          </w:p>
        </w:tc>
        <w:tc>
          <w:tcPr>
            <w:tcW w:type="dxa" w:w="3600"/>
            <w:vAlign w:val="top"/>
            <w:shd w:fill="F2F2F0"/>
          </w:tcPr>
          <w:p>
            <w:r>
              <w:rPr>
                <w:sz w:val="16"/>
              </w:rPr>
              <w:t>Core</w:t>
            </w:r>
          </w:p>
        </w:tc>
      </w:tr>
      <w:tr>
        <w:tc>
          <w:tcPr>
            <w:tcW w:type="dxa" w:w="2880"/>
            <w:vAlign w:val="top"/>
          </w:tcPr>
          <w:p>
            <w:r>
              <w:rPr>
                <w:sz w:val="16"/>
              </w:rPr>
              <w:t>AI novelty</w:t>
            </w:r>
          </w:p>
        </w:tc>
        <w:tc>
          <w:tcPr>
            <w:tcW w:type="dxa" w:w="3168"/>
            <w:vAlign w:val="top"/>
          </w:tcPr>
          <w:p>
            <w:r>
              <w:rPr>
                <w:sz w:val="16"/>
              </w:rPr>
              <w:t>Often high</w:t>
            </w:r>
          </w:p>
        </w:tc>
        <w:tc>
          <w:tcPr>
            <w:tcW w:type="dxa" w:w="3600"/>
            <w:vAlign w:val="top"/>
          </w:tcPr>
          <w:p>
            <w:r>
              <w:rPr>
                <w:sz w:val="16"/>
              </w:rPr>
              <w:t>Low unless justified</w:t>
            </w:r>
          </w:p>
        </w:tc>
      </w:tr>
      <w:tr>
        <w:tc>
          <w:tcPr>
            <w:tcW w:type="dxa" w:w="2880"/>
            <w:vAlign w:val="top"/>
            <w:shd w:fill="F2F2F0"/>
          </w:tcPr>
          <w:p>
            <w:r>
              <w:rPr>
                <w:sz w:val="16"/>
              </w:rPr>
              <w:t>Ongoing learning/benchmark data</w:t>
            </w:r>
          </w:p>
        </w:tc>
        <w:tc>
          <w:tcPr>
            <w:tcW w:type="dxa" w:w="3168"/>
            <w:vAlign w:val="top"/>
            <w:shd w:fill="F2F2F0"/>
          </w:tcPr>
          <w:p>
            <w:r>
              <w:rPr>
                <w:sz w:val="16"/>
              </w:rPr>
              <w:t>Low</w:t>
            </w:r>
          </w:p>
        </w:tc>
        <w:tc>
          <w:tcPr>
            <w:tcW w:type="dxa" w:w="3600"/>
            <w:vAlign w:val="top"/>
            <w:shd w:fill="F2F2F0"/>
          </w:tcPr>
          <w:p>
            <w:r>
              <w:rPr>
                <w:sz w:val="16"/>
              </w:rPr>
              <w:t>High</w:t>
            </w:r>
          </w:p>
        </w:tc>
      </w:tr>
    </w:tbl>
    <w:p/>
    <w:p>
      <w:pPr>
        <w:pStyle w:val="Heading2"/>
      </w:pPr>
      <w:r>
        <w:t>ERRC: Blue Ocean Creation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448"/>
            <w:shd w:fill="171717"/>
            <w:vAlign w:val="center"/>
          </w:tcPr>
          <w:p>
            <w:r>
              <w:rPr>
                <w:b/>
                <w:color w:val="FFFFFF"/>
                <w:sz w:val="17"/>
              </w:rPr>
              <w:t>Eliminate</w:t>
            </w:r>
          </w:p>
        </w:tc>
        <w:tc>
          <w:tcPr>
            <w:tcW w:type="dxa" w:w="2448"/>
            <w:shd w:fill="171717"/>
            <w:vAlign w:val="center"/>
          </w:tcPr>
          <w:p>
            <w:r>
              <w:rPr>
                <w:b/>
                <w:color w:val="FFFFFF"/>
                <w:sz w:val="17"/>
              </w:rPr>
              <w:t>Reduce</w:t>
            </w:r>
          </w:p>
        </w:tc>
        <w:tc>
          <w:tcPr>
            <w:tcW w:type="dxa" w:w="2448"/>
            <w:shd w:fill="171717"/>
            <w:vAlign w:val="center"/>
          </w:tcPr>
          <w:p>
            <w:r>
              <w:rPr>
                <w:b/>
                <w:color w:val="FFFFFF"/>
                <w:sz w:val="17"/>
              </w:rPr>
              <w:t>Raise</w:t>
            </w:r>
          </w:p>
        </w:tc>
        <w:tc>
          <w:tcPr>
            <w:tcW w:type="dxa" w:w="2448"/>
            <w:shd w:fill="171717"/>
            <w:vAlign w:val="center"/>
          </w:tcPr>
          <w:p>
            <w:r>
              <w:rPr>
                <w:b/>
                <w:color w:val="FFFFFF"/>
                <w:sz w:val="17"/>
              </w:rPr>
              <w:t>Create</w:t>
            </w:r>
          </w:p>
        </w:tc>
      </w:tr>
      <w:tr>
        <w:tc>
          <w:tcPr>
            <w:tcW w:type="dxa" w:w="2448"/>
            <w:vAlign w:val="top"/>
          </w:tcPr>
          <w:p>
            <w:r>
              <w:rPr>
                <w:sz w:val="16"/>
              </w:rPr>
              <w:t>Design-first pitching; random services; AI tool demos; unbounded custom work</w:t>
            </w:r>
          </w:p>
        </w:tc>
        <w:tc>
          <w:tcPr>
            <w:tcW w:type="dxa" w:w="2448"/>
            <w:vAlign w:val="top"/>
          </w:tcPr>
          <w:p>
            <w:r>
              <w:rPr>
                <w:sz w:val="16"/>
              </w:rPr>
              <w:t>Page counts; tool count; cosmetic deliverables; founder dependency</w:t>
            </w:r>
          </w:p>
        </w:tc>
        <w:tc>
          <w:tcPr>
            <w:tcW w:type="dxa" w:w="2448"/>
            <w:vAlign w:val="top"/>
          </w:tcPr>
          <w:p>
            <w:r>
              <w:rPr>
                <w:sz w:val="16"/>
              </w:rPr>
              <w:t>Diagnostic rigor; proof; speed; commercial clarity; measurement</w:t>
            </w:r>
          </w:p>
        </w:tc>
        <w:tc>
          <w:tcPr>
            <w:tcW w:type="dxa" w:w="2448"/>
            <w:vAlign w:val="top"/>
          </w:tcPr>
          <w:p>
            <w:r>
              <w:rPr>
                <w:sz w:val="16"/>
              </w:rPr>
              <w:t>Revenue Spine score + evidence map; intervention prescription; 30-day outcome review; benchmark learning loop</w:t>
            </w:r>
          </w:p>
        </w:tc>
      </w:tr>
    </w:tbl>
    <w:p/>
    <w:tbl>
      <w:tblPr>
        <w:tblW w:type="auto" w:w="0"/>
        <w:jc w:val="center"/>
        <w:tblLook w:firstColumn="1" w:firstRow="1" w:lastColumn="0" w:lastRow="0" w:noHBand="0" w:noVBand="1" w:val="04A0"/>
      </w:tblPr>
      <w:tblGrid>
        <w:gridCol w:w="10166"/>
      </w:tblGrid>
      <w:tr>
        <w:tc>
          <w:tcPr>
            <w:tcW w:type="dxa" w:w="10166"/>
            <w:shd w:fill="171717"/>
            <w:tcBorders>
              <w:left w:val="single" w:sz="18" w:color="D9A514"/>
              <w:top w:val="single" w:sz="2" w:color="171717"/>
              <w:bottom w:val="single" w:sz="2" w:color="171717"/>
              <w:right w:val="single" w:sz="2" w:color="171717"/>
            </w:tcBorders>
          </w:tcPr>
          <w:p>
            <w:r>
              <w:rPr>
                <w:b/>
                <w:color w:val="D9A514"/>
                <w:sz w:val="17"/>
              </w:rPr>
              <w:t>BLUE OCEAN STATUS</w:t>
              <w:br/>
            </w:r>
            <w:r>
              <w:rPr>
                <w:color w:val="FFFFFF"/>
                <w:sz w:val="21"/>
              </w:rPr>
              <w:t>Revenue Spine is a Blue Ocean hypothesis, not yet a proven Blue Ocean market position. It becomes credible only if buyers value the differentiated factors enough to pay, refer, and renew.</w:t>
            </w:r>
          </w:p>
        </w:tc>
      </w:tr>
    </w:tbl>
    <w:p/>
    <w:p>
      <w:pPr>
        <w:pStyle w:val="Heading2"/>
      </w:pPr>
      <w:r>
        <w:t>Proof Registry: Mandatory Before Growth Claims</w:t>
      </w:r>
    </w:p>
    <w:tbl>
      <w:tblPr>
        <w:tblStyle w:val="TableGrid"/>
        <w:tblW w:type="auto" w:w="0"/>
        <w:jc w:val="center"/>
        <w:tblLook w:firstColumn="1" w:firstRow="1" w:lastColumn="0" w:lastRow="0" w:noHBand="0" w:noVBand="1" w:val="04A0"/>
      </w:tblPr>
      <w:tblGrid>
        <w:gridCol w:w="5083"/>
        <w:gridCol w:w="5083"/>
      </w:tblGrid>
      <w:tr>
        <w:tc>
          <w:tcPr>
            <w:tcW w:type="dxa" w:w="2592"/>
            <w:shd w:fill="171717"/>
            <w:vAlign w:val="center"/>
          </w:tcPr>
          <w:p>
            <w:r>
              <w:rPr>
                <w:b/>
                <w:color w:val="FFFFFF"/>
                <w:sz w:val="17"/>
              </w:rPr>
              <w:t>Claim Type</w:t>
            </w:r>
          </w:p>
        </w:tc>
        <w:tc>
          <w:tcPr>
            <w:tcW w:type="dxa" w:w="7200"/>
            <w:shd w:fill="171717"/>
            <w:vAlign w:val="center"/>
          </w:tcPr>
          <w:p>
            <w:r>
              <w:rPr>
                <w:b/>
                <w:color w:val="FFFFFF"/>
                <w:sz w:val="17"/>
              </w:rPr>
              <w:t>Required Proof</w:t>
            </w:r>
          </w:p>
        </w:tc>
      </w:tr>
      <w:tr>
        <w:tc>
          <w:tcPr>
            <w:tcW w:type="dxa" w:w="2592"/>
            <w:vAlign w:val="top"/>
          </w:tcPr>
          <w:p>
            <w:r>
              <w:rPr>
                <w:sz w:val="16"/>
              </w:rPr>
              <w:t>Booking increase</w:t>
            </w:r>
          </w:p>
        </w:tc>
        <w:tc>
          <w:tcPr>
            <w:tcW w:type="dxa" w:w="7200"/>
            <w:vAlign w:val="top"/>
          </w:tcPr>
          <w:p>
            <w:r>
              <w:rPr>
                <w:sz w:val="16"/>
              </w:rPr>
              <w:t>Named or anonymized client record, baseline period, post-install period, denominator, and source system.</w:t>
            </w:r>
          </w:p>
        </w:tc>
      </w:tr>
      <w:tr>
        <w:tc>
          <w:tcPr>
            <w:tcW w:type="dxa" w:w="2592"/>
            <w:vAlign w:val="top"/>
            <w:shd w:fill="F2F2F0"/>
          </w:tcPr>
          <w:p>
            <w:r>
              <w:rPr>
                <w:sz w:val="16"/>
              </w:rPr>
              <w:t>New revenue</w:t>
            </w:r>
          </w:p>
        </w:tc>
        <w:tc>
          <w:tcPr>
            <w:tcW w:type="dxa" w:w="7200"/>
            <w:vAlign w:val="top"/>
            <w:shd w:fill="F2F2F0"/>
          </w:tcPr>
          <w:p>
            <w:r>
              <w:rPr>
                <w:sz w:val="16"/>
              </w:rPr>
              <w:t>Documented attribution basis and time window; do not imply causation beyond evidence.</w:t>
            </w:r>
          </w:p>
        </w:tc>
      </w:tr>
      <w:tr>
        <w:tc>
          <w:tcPr>
            <w:tcW w:type="dxa" w:w="2592"/>
            <w:vAlign w:val="top"/>
          </w:tcPr>
          <w:p>
            <w:r>
              <w:rPr>
                <w:sz w:val="16"/>
              </w:rPr>
              <w:t>Gross margin</w:t>
            </w:r>
          </w:p>
        </w:tc>
        <w:tc>
          <w:tcPr>
            <w:tcW w:type="dxa" w:w="7200"/>
            <w:vAlign w:val="top"/>
          </w:tcPr>
          <w:p>
            <w:r>
              <w:rPr>
                <w:sz w:val="16"/>
              </w:rPr>
              <w:t>Internal financial calculation with direct delivery costs defined consistently.</w:t>
            </w:r>
          </w:p>
        </w:tc>
      </w:tr>
      <w:tr>
        <w:tc>
          <w:tcPr>
            <w:tcW w:type="dxa" w:w="2592"/>
            <w:vAlign w:val="top"/>
            <w:shd w:fill="F2F2F0"/>
          </w:tcPr>
          <w:p>
            <w:r>
              <w:rPr>
                <w:sz w:val="16"/>
              </w:rPr>
              <w:t>Time to launch</w:t>
            </w:r>
          </w:p>
        </w:tc>
        <w:tc>
          <w:tcPr>
            <w:tcW w:type="dxa" w:w="7200"/>
            <w:vAlign w:val="top"/>
            <w:shd w:fill="F2F2F0"/>
          </w:tcPr>
          <w:p>
            <w:r>
              <w:rPr>
                <w:sz w:val="16"/>
              </w:rPr>
              <w:t>Signed date, onboarding date, and live date.</w:t>
            </w:r>
          </w:p>
        </w:tc>
      </w:tr>
      <w:tr>
        <w:tc>
          <w:tcPr>
            <w:tcW w:type="dxa" w:w="2592"/>
            <w:vAlign w:val="top"/>
          </w:tcPr>
          <w:p>
            <w:r>
              <w:rPr>
                <w:sz w:val="16"/>
              </w:rPr>
              <w:t>Average / 3x / percentage claims</w:t>
            </w:r>
          </w:p>
        </w:tc>
        <w:tc>
          <w:tcPr>
            <w:tcW w:type="dxa" w:w="7200"/>
            <w:vAlign w:val="top"/>
          </w:tcPr>
          <w:p>
            <w:r>
              <w:rPr>
                <w:sz w:val="16"/>
              </w:rPr>
              <w:t>Minimum cohort size defined; calculation reproducible; no cherry-picking.</w:t>
            </w:r>
          </w:p>
        </w:tc>
      </w:tr>
    </w:tbl>
    <w:p/>
    <w:tbl>
      <w:tblPr>
        <w:tblW w:type="auto" w:w="0"/>
        <w:jc w:val="center"/>
        <w:tblLook w:firstColumn="1" w:firstRow="1" w:lastColumn="0" w:lastRow="0" w:noHBand="0" w:noVBand="1" w:val="04A0"/>
      </w:tblPr>
      <w:tblGrid>
        <w:gridCol w:w="10166"/>
      </w:tblGrid>
      <w:tr>
        <w:tc>
          <w:tcPr>
            <w:tcW w:type="dxa" w:w="10166"/>
            <w:shd w:fill="C91524"/>
            <w:tcBorders>
              <w:left w:val="single" w:sz="18" w:color="FFFFFF"/>
              <w:top w:val="single" w:sz="2" w:color="C91524"/>
              <w:bottom w:val="single" w:sz="2" w:color="C91524"/>
              <w:right w:val="single" w:sz="2" w:color="C91524"/>
            </w:tcBorders>
          </w:tcPr>
          <w:p>
            <w:r>
              <w:rPr>
                <w:b/>
                <w:color w:val="FFFFFF"/>
                <w:sz w:val="17"/>
              </w:rPr>
              <w:t>IMMEDIATE WEBSITE CORRECTION</w:t>
              <w:br/>
            </w:r>
            <w:r>
              <w:rPr>
                <w:color w:val="FFFFFF"/>
                <w:sz w:val="21"/>
              </w:rPr>
              <w:t>Until proof is documented, remove or qualify any '3x average booking increase', '$8K new revenue', '65%+ gross margin', or similar numerical marketing claim that cannot be reproduced from source records.</w:t>
            </w:r>
          </w:p>
        </w:tc>
      </w:tr>
    </w:tbl>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PROPRIETARY WORKING DOCUMENT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left"/>
    </w:pPr>
    <w:r>
      <w:rPr>
        <w:b/>
        <w:color w:val="C91524"/>
      </w:rPr>
      <w:t>RUN IT BAC MEDIA  |  REVENUE SPINE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ptos" w:hAnsi="Aptos"/>
      <w:color w:val="1717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A0A0A"/>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Display" w:hAnsi="Aptos Display"/>
      <w:b/>
      <w:bCs/>
      <w:color w:val="C91524"/>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D9A51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A0A0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b/>
      <w:i/>
      <w:iCs/>
      <w:color w:val="7070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keepNext/>
      <w:spacing w:after="120"/>
    </w:pPr>
    <w:rPr>
      <w:rFonts w:ascii="Aptos" w:hAnsi="Aptos"/>
      <w:b/>
      <w:color w:val="D9A514"/>
      <w:sz w:val="17"/>
    </w:rPr>
  </w:style>
  <w:style w:type="paragraph" w:customStyle="1" w:styleId="Callout">
    <w:name w:val="Callout"/>
    <w:pPr>
      <w:spacing w:after="0" w:line="252" w:lineRule="auto"/>
    </w:pPr>
    <w:rPr>
      <w:rFonts w:ascii="Aptos" w:hAnsi="Aptos"/>
      <w:b/>
      <w:color w:val="FFFFFF"/>
      <w:sz w:val="22"/>
    </w:rPr>
  </w:style>
  <w:style w:type="paragraph" w:customStyle="1" w:styleId="Small">
    <w:name w:val="Small"/>
    <w:pPr>
      <w:spacing w:after="60"/>
    </w:pPr>
    <w:rPr>
      <w:rFonts w:ascii="Aptos" w:hAnsi="Aptos"/>
      <w:color w:val="7070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