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t>RUN IT BAC MEDIA</w:t>
      </w:r>
    </w:p>
    <w:p>
      <w:pPr>
        <w:pStyle w:val="Title"/>
      </w:pPr>
      <w:r>
        <w:t>The Revenue Spine Philosophy</w:t>
      </w:r>
    </w:p>
    <w:p>
      <w:pPr>
        <w:pStyle w:val="Subtitle"/>
      </w:pPr>
      <w:r>
        <w:t>Doctrine for diagnosing, installing, measuring, and compounding revenue infrastructure.</w:t>
      </w:r>
    </w:p>
    <w:p>
      <w:pPr>
        <w:pStyle w:val="Small"/>
      </w:pPr>
      <w:r>
        <w:t>Version 1.0  |  September 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6912"/>
            <w:shd w:fill="C915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1440"/>
            <w:shd w:fill="D9A51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1440"/>
            <w:shd w:fill="24A148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A0A0A"/>
            <w:tcBorders>
              <w:top w:sz="2" w:val="single" w:color="0A0A0A"/>
              <w:left w:sz="18" w:val="single" w:color="D9A514"/>
              <w:bottom w:sz="2" w:val="single" w:color="0A0A0A"/>
              <w:right w:sz="2" w:val="single" w:color="0A0A0A"/>
            </w:tcBorders>
          </w:tcPr>
          <w:p>
            <w:pPr>
              <w:pStyle w:val="Callout"/>
            </w:pPr>
            <w:r>
              <w:rPr>
                <w:color w:val="D9A514"/>
                <w:sz w:val="17"/>
              </w:rPr>
              <w:t>CORE DOCTRINE</w:t>
              <w:br/>
            </w:r>
            <w:r>
              <w:rPr>
                <w:color w:val="FFFFFF"/>
                <w:sz w:val="21"/>
              </w:rPr>
              <w:t>Diagnosis before prescription. Evidence before certainty. Systems before tactics. Outcomes before aesthetics. Learning before scale.</w:t>
            </w:r>
          </w:p>
        </w:tc>
      </w:tr>
    </w:tbl>
    <w:p/>
    <w:p>
      <w:pPr>
        <w:pStyle w:val="Heading2"/>
      </w:pPr>
      <w:r>
        <w:t>Source Basis and Decision Rule</w:t>
      </w:r>
    </w:p>
    <w:p>
      <w:r>
        <w:t>This document is a rebuild, not a silent rewrite of the existing materials. It preserves the strongest validated operating principles and explicitly replaces the website-only constraints where the new Revenue Spine architecture requires it.</w:t>
      </w:r>
    </w:p>
    <w:p>
      <w:pPr>
        <w:pStyle w:val="ListBullet"/>
        <w:spacing w:after="40"/>
      </w:pPr>
      <w:r>
        <w:t>Revenue Spine OS v1: evidence states, structured diagnosis, scorecard discipline, scenario-based revenue leak math, human QA, outcome tracking, and reproducible versions.</w:t>
      </w:r>
    </w:p>
    <w:p>
      <w:pPr>
        <w:pStyle w:val="ListBullet"/>
        <w:spacing w:after="40"/>
      </w:pPr>
      <w:r>
        <w:t>Revenue Spine Install Outline: one dominant message, clear service hierarchy, singular booking path, speed-to-lead, and automated follow-up.</w:t>
      </w:r>
    </w:p>
    <w:p>
      <w:pPr>
        <w:pStyle w:val="ListBullet"/>
        <w:spacing w:after="40"/>
      </w:pPr>
      <w:r>
        <w:t>Business and founder strategy documents: productize what repeats, protect founder attention, and convert services into assets and leverage.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52525"/>
            <w:tcBorders>
              <w:top w:sz="2" w:val="single" w:color="252525"/>
              <w:left w:sz="18" w:val="single" w:color="D9A514"/>
              <w:bottom w:sz="2" w:val="single" w:color="252525"/>
              <w:right w:sz="2" w:val="single" w:color="252525"/>
            </w:tcBorders>
          </w:tcPr>
          <w:p>
            <w:pPr>
              <w:pStyle w:val="Callout"/>
            </w:pPr>
            <w:r>
              <w:rPr>
                <w:color w:val="D9A514"/>
                <w:sz w:val="17"/>
              </w:rPr>
              <w:t>VERSIONING RULE</w:t>
              <w:br/>
            </w:r>
            <w:r>
              <w:rPr>
                <w:color w:val="FFFFFF"/>
                <w:sz w:val="21"/>
              </w:rPr>
              <w:t>When this document conflicts with earlier website-package or app instructions, this document governs only after the founder formally adopts Version 2.0. Historical reports and prior methodology remain reproducible.</w:t>
            </w:r>
          </w:p>
        </w:tc>
      </w:tr>
    </w:tbl>
    <w:p/>
    <w:p>
      <w:pPr>
        <w:pStyle w:val="Heading1"/>
      </w:pPr>
      <w:r>
        <w:t>1. What a Revenue Spine Is</w:t>
      </w:r>
    </w:p>
    <w:p>
      <w:r>
        <w:t>A Revenue Spine is the connected set of decisions, messages, systems, workflows, proof, and follow-up mechanisms that move economic attention toward a measurable commercial outcome. In a local service business, the spine may run from website clarity to booking to follow-up. In a larger organization, it may run from lead intake to CRM to handoff to reporting. The exact components vary. The diagnostic logic does not.</w:t>
      </w:r>
    </w:p>
    <w:p>
      <w:pPr>
        <w:pStyle w:val="Heading1"/>
      </w:pPr>
      <w:r>
        <w:t>2. The Five Laws</w:t>
      </w:r>
    </w:p>
    <w:p>
      <w:pPr>
        <w:pStyle w:val="Heading2"/>
      </w:pPr>
      <w:r>
        <w:t>Law 1: Diagnosis before prescription</w:t>
      </w:r>
    </w:p>
    <w:p>
      <w:r>
        <w:t>No tool, website, automation, AI agent, campaign, or redesign should be recommended until the constraint is identified. The intervention exists to solve the diagnosed problem. The diagnosis does not exist to justify a preselected service.</w:t>
      </w:r>
    </w:p>
    <w:p>
      <w:pPr>
        <w:pStyle w:val="Heading2"/>
      </w:pPr>
      <w:r>
        <w:t>Law 2: Evidence before certainty</w:t>
      </w:r>
    </w:p>
    <w:p>
      <w:r>
        <w:t>Meaningful claims are VERIFIED, CLIENT-PROVIDED, or ASSUMPTION. Assumptions are useful for scenarios, never as disguised facts. If a point cannot be determined from available evidence, the correct answer is 'not verified from available evidence.'</w:t>
      </w:r>
    </w:p>
    <w:p>
      <w:pPr>
        <w:pStyle w:val="Heading2"/>
      </w:pPr>
      <w:r>
        <w:t>Law 3: Revenue is a system, not a page</w:t>
      </w:r>
    </w:p>
    <w:p>
      <w:r>
        <w:t>A website can be beautiful and still fail commercially. A CRM can be installed and still fail operationally. Revenue performance depends on fit among message, offer, action path, trust, response time, follow-up, sales, delivery, and measurement.</w:t>
      </w:r>
    </w:p>
    <w:p>
      <w:pPr>
        <w:pStyle w:val="Heading2"/>
      </w:pPr>
      <w:r>
        <w:t>Law 4: The smallest sufficient intervention wins</w:t>
      </w:r>
    </w:p>
    <w:p>
      <w:r>
        <w:t>The objective is not maximal scope. It is the minimum intervention set that materially improves the constraint while preserving margin, speed, maintainability, and client adoption.</w:t>
      </w:r>
    </w:p>
    <w:p>
      <w:pPr>
        <w:pStyle w:val="Heading2"/>
      </w:pPr>
      <w:r>
        <w:t>Law 5: Every engagement must make the system smarter</w:t>
      </w:r>
    </w:p>
    <w:p>
      <w:r>
        <w:t>An engagement that produces only cash is incomplete. It should also produce outcome data, reusable intervention logic, a proof asset, a benchmark, or an improved framework.</w:t>
      </w:r>
    </w:p>
    <w:p>
      <w:pPr>
        <w:pStyle w:val="Heading1"/>
      </w:pPr>
      <w:r>
        <w:t>3. The Revenue Spine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728"/>
            <w:shd w:fill="17171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8064"/>
            <w:shd w:fill="17171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Attention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>
              <w:rPr>
                <w:sz w:val="16"/>
              </w:rPr>
              <w:t>How does the right buyer enter the system?</w:t>
            </w:r>
          </w:p>
        </w:tc>
      </w:tr>
      <w:tr>
        <w:tc>
          <w:tcPr>
            <w:tcW w:type="dxa" w:w="1728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Clarity</w:t>
            </w:r>
          </w:p>
        </w:tc>
        <w:tc>
          <w:tcPr>
            <w:tcW w:type="dxa" w:w="8064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Can the buyer understand what this is, who it is for, and why it matters?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Offer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>
              <w:rPr>
                <w:sz w:val="16"/>
              </w:rPr>
              <w:t>Is there a specific outcome and reason to act?</w:t>
            </w:r>
          </w:p>
        </w:tc>
      </w:tr>
      <w:tr>
        <w:tc>
          <w:tcPr>
            <w:tcW w:type="dxa" w:w="1728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Trust</w:t>
            </w:r>
          </w:p>
        </w:tc>
        <w:tc>
          <w:tcPr>
            <w:tcW w:type="dxa" w:w="8064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Is there evidence sufficient to reduce perceived risk?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Action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>
              <w:rPr>
                <w:sz w:val="16"/>
              </w:rPr>
              <w:t>Can the buyer take the next step without unnecessary friction?</w:t>
            </w:r>
          </w:p>
        </w:tc>
      </w:tr>
      <w:tr>
        <w:tc>
          <w:tcPr>
            <w:tcW w:type="dxa" w:w="1728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Response</w:t>
            </w:r>
          </w:p>
        </w:tc>
        <w:tc>
          <w:tcPr>
            <w:tcW w:type="dxa" w:w="8064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Does the business react quickly and correctly?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Follow-Up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>
              <w:rPr>
                <w:sz w:val="16"/>
              </w:rPr>
              <w:t>Does interest survive after the first interaction?</w:t>
            </w:r>
          </w:p>
        </w:tc>
      </w:tr>
      <w:tr>
        <w:tc>
          <w:tcPr>
            <w:tcW w:type="dxa" w:w="1728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Sales</w:t>
            </w:r>
          </w:p>
        </w:tc>
        <w:tc>
          <w:tcPr>
            <w:tcW w:type="dxa" w:w="8064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Is value translated into a decision process?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Delivery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>
              <w:rPr>
                <w:sz w:val="16"/>
              </w:rPr>
              <w:t>Does the system produce the promised operational outcome?</w:t>
            </w:r>
          </w:p>
        </w:tc>
      </w:tr>
      <w:tr>
        <w:tc>
          <w:tcPr>
            <w:tcW w:type="dxa" w:w="1728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Measurement</w:t>
            </w:r>
          </w:p>
        </w:tc>
        <w:tc>
          <w:tcPr>
            <w:tcW w:type="dxa" w:w="8064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Can the result be distinguished from assumption?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Optimization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>
              <w:rPr>
                <w:sz w:val="16"/>
              </w:rPr>
              <w:t>Does learning compound into better performance?</w:t>
            </w:r>
          </w:p>
        </w:tc>
      </w:tr>
    </w:tbl>
    <w:p/>
    <w:p>
      <w:pPr>
        <w:pStyle w:val="Heading1"/>
      </w:pPr>
      <w:r>
        <w:t>4. The Diagnostic Discipline</w:t>
      </w:r>
    </w:p>
    <w:p>
      <w:pPr>
        <w:pStyle w:val="Heading2"/>
      </w:pPr>
      <w:r>
        <w:t>Executive lens</w:t>
      </w:r>
    </w:p>
    <w:p>
      <w:pPr>
        <w:pStyle w:val="ListBullet"/>
        <w:spacing w:after="40"/>
      </w:pPr>
      <w:r>
        <w:t>Brand Clarity</w:t>
      </w:r>
    </w:p>
    <w:p>
      <w:pPr>
        <w:pStyle w:val="ListBullet"/>
        <w:spacing w:after="40"/>
      </w:pPr>
      <w:r>
        <w:t>Digital Presence</w:t>
      </w:r>
    </w:p>
    <w:p>
      <w:pPr>
        <w:pStyle w:val="ListBullet"/>
        <w:spacing w:after="40"/>
      </w:pPr>
      <w:r>
        <w:t>Positioning</w:t>
      </w:r>
    </w:p>
    <w:p>
      <w:pPr>
        <w:pStyle w:val="ListBullet"/>
        <w:spacing w:after="40"/>
      </w:pPr>
      <w:r>
        <w:t>Content &amp; Communication</w:t>
      </w:r>
    </w:p>
    <w:p>
      <w:pPr>
        <w:pStyle w:val="ListBullet"/>
        <w:spacing w:after="40"/>
      </w:pPr>
      <w:r>
        <w:t>Systems &amp; Infrastructure</w:t>
      </w:r>
    </w:p>
    <w:p>
      <w:pPr>
        <w:pStyle w:val="Heading2"/>
      </w:pPr>
      <w:r>
        <w:t>Operational lens</w:t>
      </w:r>
    </w:p>
    <w:p>
      <w:pPr>
        <w:pStyle w:val="ListBullet"/>
        <w:spacing w:after="40"/>
      </w:pPr>
      <w:r>
        <w:t>Five-second comprehension.</w:t>
      </w:r>
    </w:p>
    <w:p>
      <w:pPr>
        <w:pStyle w:val="ListBullet"/>
        <w:spacing w:after="40"/>
      </w:pPr>
      <w:r>
        <w:t>Above-the-fold clarity.</w:t>
      </w:r>
    </w:p>
    <w:p>
      <w:pPr>
        <w:pStyle w:val="ListBullet"/>
        <w:spacing w:after="40"/>
      </w:pPr>
      <w:r>
        <w:t>Offer clarity and differentiation.</w:t>
      </w:r>
    </w:p>
    <w:p>
      <w:pPr>
        <w:pStyle w:val="ListBullet"/>
        <w:spacing w:after="40"/>
      </w:pPr>
      <w:r>
        <w:t>CTA and booking/purchase flow.</w:t>
      </w:r>
    </w:p>
    <w:p>
      <w:pPr>
        <w:pStyle w:val="ListBullet"/>
        <w:spacing w:after="40"/>
      </w:pPr>
      <w:r>
        <w:t>Trust and proof.</w:t>
      </w:r>
    </w:p>
    <w:p>
      <w:pPr>
        <w:pStyle w:val="ListBullet"/>
        <w:spacing w:after="40"/>
      </w:pPr>
      <w:r>
        <w:t>Lead capture.</w:t>
      </w:r>
    </w:p>
    <w:p>
      <w:pPr>
        <w:pStyle w:val="ListBullet"/>
        <w:spacing w:after="40"/>
      </w:pPr>
      <w:r>
        <w:t>Follow-up and automation.</w:t>
      </w:r>
    </w:p>
    <w:p>
      <w:pPr>
        <w:pStyle w:val="ListBullet"/>
        <w:spacing w:after="40"/>
      </w:pPr>
      <w:r>
        <w:t>AI integration opportunities where economically justified.</w:t>
      </w:r>
    </w:p>
    <w:p>
      <w:pPr>
        <w:pStyle w:val="ListBullet"/>
        <w:spacing w:after="40"/>
      </w:pPr>
      <w:r>
        <w:t>Local / market positioning.</w:t>
      </w:r>
    </w:p>
    <w:p>
      <w:pPr>
        <w:pStyle w:val="ListBullet"/>
        <w:spacing w:after="40"/>
      </w:pPr>
      <w:r>
        <w:t>Mobile and speed experience.</w:t>
      </w:r>
    </w:p>
    <w:p>
      <w:pPr>
        <w:pStyle w:val="ListBullet"/>
        <w:spacing w:after="40"/>
      </w:pPr>
      <w:r>
        <w:t>Revenue-leak scenarios.</w:t>
      </w:r>
    </w:p>
    <w:p>
      <w:pPr>
        <w:pStyle w:val="ListBullet"/>
        <w:spacing w:after="40"/>
      </w:pPr>
      <w:r>
        <w:t>Priority sequence.</w:t>
      </w:r>
    </w:p>
    <w:p>
      <w:pPr>
        <w:pStyle w:val="ListBullet"/>
        <w:spacing w:after="40"/>
      </w:pPr>
      <w:r>
        <w:t>Final output and intervention recommendation.</w:t>
      </w:r>
    </w:p>
    <w:p>
      <w:r>
        <w:t>The scoring system exists to force consistency, not to manufacture scientific precision. A score must be traceable to observed evidence and the scoring version.</w:t>
      </w:r>
    </w:p>
    <w:p>
      <w:pPr>
        <w:pStyle w:val="Heading1"/>
      </w:pPr>
      <w:r>
        <w:t>5. Revenue Leak Math</w:t>
      </w:r>
    </w:p>
    <w:p>
      <w:r>
        <w:t>Revenue leak calculations are decision aids. They are not claims of causation. When verified values are unavailable, scenarios must be labeled as assumptions.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52525"/>
            <w:tcBorders>
              <w:top w:sz="2" w:val="single" w:color="252525"/>
              <w:left w:sz="18" w:val="single" w:color="D9A514"/>
              <w:bottom w:sz="2" w:val="single" w:color="252525"/>
              <w:right w:sz="2" w:val="single" w:color="252525"/>
            </w:tcBorders>
          </w:tcPr>
          <w:p>
            <w:pPr>
              <w:pStyle w:val="Callout"/>
            </w:pPr>
            <w:r>
              <w:rPr>
                <w:color w:val="D9A514"/>
                <w:sz w:val="17"/>
              </w:rPr>
              <w:t>SCENARIO FORMULA</w:t>
              <w:br/>
            </w:r>
            <w:r>
              <w:rPr>
                <w:color w:val="FFFFFF"/>
                <w:sz w:val="21"/>
              </w:rPr>
              <w:t>Average Client Value x Missed Bookings Per Week x 4 = Estimated Monthly Revenue Exposure</w:t>
            </w:r>
          </w:p>
        </w:tc>
      </w:tr>
    </w:tbl>
    <w:p/>
    <w:p>
      <w:r>
        <w:t>The phrase 'estimated revenue exposure' is preferred when the causal link between a specific leak and lost revenue has not been experimentally established.</w:t>
      </w:r>
    </w:p>
    <w:p>
      <w:pPr>
        <w:pStyle w:val="Heading1"/>
      </w:pPr>
      <w:r>
        <w:t>6. Intervention Philosophy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736"/>
            <w:shd w:fill="17171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Intervention Family</w:t>
            </w:r>
          </w:p>
        </w:tc>
        <w:tc>
          <w:tcPr>
            <w:tcW w:type="dxa" w:w="7056"/>
            <w:shd w:fill="17171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20"/>
            </w:pPr>
            <w:r>
              <w:rPr>
                <w:sz w:val="16"/>
              </w:rPr>
              <w:t>Messaging</w:t>
            </w:r>
          </w:p>
        </w:tc>
        <w:tc>
          <w:tcPr>
            <w:tcW w:type="dxa" w:w="7056"/>
            <w:vAlign w:val="top"/>
          </w:tcPr>
          <w:p>
            <w:pPr>
              <w:spacing w:after="20"/>
            </w:pPr>
            <w:r>
              <w:rPr>
                <w:sz w:val="16"/>
              </w:rPr>
              <w:t>Reduce confusion and sharpen buyer relevance.</w:t>
            </w:r>
          </w:p>
        </w:tc>
      </w:tr>
      <w:tr>
        <w:tc>
          <w:tcPr>
            <w:tcW w:type="dxa" w:w="2736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Offer Architecture</w:t>
            </w:r>
          </w:p>
        </w:tc>
        <w:tc>
          <w:tcPr>
            <w:tcW w:type="dxa" w:w="7056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Make the economic exchange specific and intelligible.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20"/>
            </w:pPr>
            <w:r>
              <w:rPr>
                <w:sz w:val="16"/>
              </w:rPr>
              <w:t>Conversion Experience</w:t>
            </w:r>
          </w:p>
        </w:tc>
        <w:tc>
          <w:tcPr>
            <w:tcW w:type="dxa" w:w="7056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 a direct path from attention to action.</w:t>
            </w:r>
          </w:p>
        </w:tc>
      </w:tr>
      <w:tr>
        <w:tc>
          <w:tcPr>
            <w:tcW w:type="dxa" w:w="2736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Booking / Lead Capture</w:t>
            </w:r>
          </w:p>
        </w:tc>
        <w:tc>
          <w:tcPr>
            <w:tcW w:type="dxa" w:w="7056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Reduce coordination and form friction.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20"/>
            </w:pPr>
            <w:r>
              <w:rPr>
                <w:sz w:val="16"/>
              </w:rPr>
              <w:t>Follow-Up</w:t>
            </w:r>
          </w:p>
        </w:tc>
        <w:tc>
          <w:tcPr>
            <w:tcW w:type="dxa" w:w="7056"/>
            <w:vAlign w:val="top"/>
          </w:tcPr>
          <w:p>
            <w:pPr>
              <w:spacing w:after="20"/>
            </w:pPr>
            <w:r>
              <w:rPr>
                <w:sz w:val="16"/>
              </w:rPr>
              <w:t>Prevent intent from dying after first contact.</w:t>
            </w:r>
          </w:p>
        </w:tc>
      </w:tr>
      <w:tr>
        <w:tc>
          <w:tcPr>
            <w:tcW w:type="dxa" w:w="2736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CRM / Workflow</w:t>
            </w:r>
          </w:p>
        </w:tc>
        <w:tc>
          <w:tcPr>
            <w:tcW w:type="dxa" w:w="7056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Create reliable state transitions and ownership.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20"/>
            </w:pPr>
            <w:r>
              <w:rPr>
                <w:sz w:val="16"/>
              </w:rPr>
              <w:t>AI / Automation</w:t>
            </w:r>
          </w:p>
        </w:tc>
        <w:tc>
          <w:tcPr>
            <w:tcW w:type="dxa" w:w="7056"/>
            <w:vAlign w:val="top"/>
          </w:tcPr>
          <w:p>
            <w:pPr>
              <w:spacing w:after="20"/>
            </w:pPr>
            <w:r>
              <w:rPr>
                <w:sz w:val="16"/>
              </w:rPr>
              <w:t>Remove repetitive burden or increase response quality/speed when justified.</w:t>
            </w:r>
          </w:p>
        </w:tc>
      </w:tr>
      <w:tr>
        <w:tc>
          <w:tcPr>
            <w:tcW w:type="dxa" w:w="2736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Proof / Authority</w:t>
            </w:r>
          </w:p>
        </w:tc>
        <w:tc>
          <w:tcPr>
            <w:tcW w:type="dxa" w:w="7056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Reduce uncertainty through specific evidence.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20"/>
            </w:pPr>
            <w:r>
              <w:rPr>
                <w:sz w:val="16"/>
              </w:rPr>
              <w:t>Measurement</w:t>
            </w:r>
          </w:p>
        </w:tc>
        <w:tc>
          <w:tcPr>
            <w:tcW w:type="dxa" w:w="7056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 baselines, attribution context, and performance visibility.</w:t>
            </w:r>
          </w:p>
        </w:tc>
      </w:tr>
    </w:tbl>
    <w:p/>
    <w:p>
      <w:pPr>
        <w:pStyle w:val="Heading1"/>
      </w:pPr>
      <w:r>
        <w:t>7. Revenue Spine and Blue Ocean Creation</w:t>
      </w:r>
    </w:p>
    <w:p>
      <w:r>
        <w:t>Revenue Spine should not generate random 'innovative' offers. It should use diagnosis and market evidence to discover where the category over-serves, under-serves, or ignores buyers.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584"/>
            <w:shd w:fill="17171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Move</w:t>
            </w:r>
          </w:p>
        </w:tc>
        <w:tc>
          <w:tcPr>
            <w:tcW w:type="dxa" w:w="8208"/>
            <w:shd w:fill="17171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Eliminate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sz w:val="16"/>
              </w:rPr>
              <w:t>What does the category routinely include that the buyer does not materially value?</w:t>
            </w:r>
          </w:p>
        </w:tc>
      </w:tr>
      <w:tr>
        <w:tc>
          <w:tcPr>
            <w:tcW w:type="dxa" w:w="1584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Reduce</w:t>
            </w:r>
          </w:p>
        </w:tc>
        <w:tc>
          <w:tcPr>
            <w:tcW w:type="dxa" w:w="8208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What is overbuilt, overcomplicated, or founder-intensive?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Raise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sz w:val="16"/>
              </w:rPr>
              <w:t>What outcome or assurance is materially underdelivered?</w:t>
            </w:r>
          </w:p>
        </w:tc>
      </w:tr>
      <w:tr>
        <w:tc>
          <w:tcPr>
            <w:tcW w:type="dxa" w:w="1584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Create</w:t>
            </w:r>
          </w:p>
        </w:tc>
        <w:tc>
          <w:tcPr>
            <w:tcW w:type="dxa" w:w="8208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What mechanism, workflow, proof layer, delivery model, or measurement system does the buyer need but the category rarely provides?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1717"/>
            <w:tcBorders>
              <w:top w:sz="2" w:val="single" w:color="171717"/>
              <w:left w:sz="18" w:val="single" w:color="D9A514"/>
              <w:bottom w:sz="2" w:val="single" w:color="171717"/>
              <w:right w:sz="2" w:val="single" w:color="171717"/>
            </w:tcBorders>
          </w:tcPr>
          <w:p>
            <w:pPr>
              <w:pStyle w:val="Callout"/>
            </w:pPr>
            <w:r>
              <w:rPr>
                <w:color w:val="D9A514"/>
                <w:sz w:val="17"/>
              </w:rPr>
              <w:t>BLUE OCEAN KILL RULE</w:t>
              <w:br/>
            </w:r>
            <w:r>
              <w:rPr>
                <w:color w:val="FFFFFF"/>
                <w:sz w:val="21"/>
              </w:rPr>
              <w:t>If the idea is only a new name, a cosmetic bundle, or a feature competitors can copy without changing their operating system, it is not strategic differentiation.</w:t>
            </w:r>
          </w:p>
        </w:tc>
      </w:tr>
    </w:tbl>
    <w:p/>
    <w:p>
      <w:pPr>
        <w:pStyle w:val="Heading1"/>
      </w:pPr>
      <w:r>
        <w:t>8. Human Judgment and AI</w:t>
      </w:r>
    </w:p>
    <w:p>
      <w:r>
        <w:t>AI is infrastructure. It may gather, structure, compare, draft, classify, and calculate. It may not silently turn assumptions into facts, approve final client diagnostics without the defined QA process, or obscure why a recommendation exists.</w:t>
      </w:r>
    </w:p>
    <w:p>
      <w:pPr>
        <w:pStyle w:val="ListBullet"/>
        <w:spacing w:after="40"/>
      </w:pPr>
      <w:r>
        <w:t>Buttons describe outcomes, not model names.</w:t>
      </w:r>
    </w:p>
    <w:p>
      <w:pPr>
        <w:pStyle w:val="ListBullet"/>
        <w:spacing w:after="40"/>
      </w:pPr>
      <w:r>
        <w:t>Generated analysis resolves into structured fields.</w:t>
      </w:r>
    </w:p>
    <w:p>
      <w:pPr>
        <w:pStyle w:val="ListBullet"/>
        <w:spacing w:after="40"/>
      </w:pPr>
      <w:r>
        <w:t>Human QA controls delivery in the early product stages.</w:t>
      </w:r>
    </w:p>
    <w:p>
      <w:pPr>
        <w:pStyle w:val="ListBullet"/>
        <w:spacing w:after="40"/>
      </w:pPr>
      <w:r>
        <w:t>Model changes require visible prompt/scoring/framework version changes.</w:t>
      </w:r>
    </w:p>
    <w:p>
      <w:pPr>
        <w:pStyle w:val="ListBullet"/>
        <w:spacing w:after="40"/>
      </w:pPr>
      <w:r>
        <w:t>The client sees evidence, implications, and action, not internal chain-of-thought or hidden prompts.</w:t>
      </w:r>
    </w:p>
    <w:p>
      <w:pPr>
        <w:pStyle w:val="Heading1"/>
      </w:pPr>
      <w:r>
        <w:t>9. The Measurement Doctrine</w:t>
      </w:r>
    </w:p>
    <w:p>
      <w:pPr>
        <w:pStyle w:val="ListBullet"/>
        <w:spacing w:after="40"/>
      </w:pPr>
      <w:r>
        <w:t>Baseline before intervention.</w:t>
      </w:r>
    </w:p>
    <w:p>
      <w:pPr>
        <w:pStyle w:val="ListBullet"/>
        <w:spacing w:after="40"/>
      </w:pPr>
      <w:r>
        <w:t>Current state after intervention.</w:t>
      </w:r>
    </w:p>
    <w:p>
      <w:pPr>
        <w:pStyle w:val="ListBullet"/>
        <w:spacing w:after="40"/>
      </w:pPr>
      <w:r>
        <w:t>Target state where the buyer has defined one.</w:t>
      </w:r>
    </w:p>
    <w:p>
      <w:pPr>
        <w:pStyle w:val="ListBullet"/>
        <w:spacing w:after="40"/>
      </w:pPr>
      <w:r>
        <w:t>Verified outcome versus scenario estimate.</w:t>
      </w:r>
    </w:p>
    <w:p>
      <w:pPr>
        <w:pStyle w:val="ListBullet"/>
        <w:spacing w:after="40"/>
      </w:pPr>
      <w:r>
        <w:t>Correlation versus causation.</w:t>
      </w:r>
    </w:p>
    <w:p>
      <w:pPr>
        <w:pStyle w:val="ListBullet"/>
        <w:spacing w:after="40"/>
      </w:pPr>
      <w:r>
        <w:t>Time window and population for every comparison.</w:t>
      </w:r>
    </w:p>
    <w:p>
      <w:pPr>
        <w:pStyle w:val="ListBullet"/>
        <w:spacing w:after="40"/>
      </w:pPr>
      <w:r>
        <w:t>No benchmark without enough comparable records to define the cohort.</w:t>
      </w:r>
    </w:p>
    <w:p>
      <w:pPr>
        <w:pStyle w:val="Heading1"/>
      </w:pPr>
      <w:r>
        <w:t>10. The Economic Doctrine</w:t>
      </w:r>
    </w:p>
    <w:p>
      <w:r>
        <w:t>Revenue Spine is designed to improve both client economics and RUN It BAC economics. An intervention that creates client value but requires unbounded founder labor is not yet a scalable product. A product that creates margin but does not solve an evidenced constraint will not sustain trust.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08"/>
            <w:shd w:fill="17171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Client Side</w:t>
            </w:r>
          </w:p>
        </w:tc>
        <w:tc>
          <w:tcPr>
            <w:tcW w:type="dxa" w:w="5184"/>
            <w:shd w:fill="17171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RUN It BAC Side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sz w:val="16"/>
              </w:rPr>
              <w:t>Recovered revenue / more qualified bookings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Collected project revenue</w:t>
            </w:r>
          </w:p>
        </w:tc>
      </w:tr>
      <w:tr>
        <w:tc>
          <w:tcPr>
            <w:tcW w:type="dxa" w:w="4608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Reduced administrative burden</w:t>
            </w:r>
          </w:p>
        </w:tc>
        <w:tc>
          <w:tcPr>
            <w:tcW w:type="dxa" w:w="5184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Gross margin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sz w:val="16"/>
              </w:rPr>
              <w:t>Faster response / cycle time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Faster standardized fulfillment</w:t>
            </w:r>
          </w:p>
        </w:tc>
      </w:tr>
      <w:tr>
        <w:tc>
          <w:tcPr>
            <w:tcW w:type="dxa" w:w="4608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Better conversion / sales flow</w:t>
            </w:r>
          </w:p>
        </w:tc>
        <w:tc>
          <w:tcPr>
            <w:tcW w:type="dxa" w:w="5184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Higher close rate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sz w:val="16"/>
              </w:rPr>
              <w:t>More reliable systems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Optimization MRR</w:t>
            </w:r>
          </w:p>
        </w:tc>
      </w:tr>
      <w:tr>
        <w:tc>
          <w:tcPr>
            <w:tcW w:type="dxa" w:w="4608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Better decisions through measurement</w:t>
            </w:r>
          </w:p>
        </w:tc>
        <w:tc>
          <w:tcPr>
            <w:tcW w:type="dxa" w:w="5184"/>
            <w:vAlign w:val="top"/>
            <w:shd w:fill="F2F2F0"/>
          </w:tcPr>
          <w:p>
            <w:pPr>
              <w:spacing w:after="20"/>
            </w:pPr>
            <w:r>
              <w:rPr>
                <w:sz w:val="16"/>
              </w:rPr>
              <w:t>Reusable IP and benchmark data</w:t>
            </w:r>
          </w:p>
        </w:tc>
      </w:tr>
    </w:tbl>
    <w:p/>
    <w:p>
      <w:pPr>
        <w:pStyle w:val="Heading1"/>
      </w:pPr>
      <w:r>
        <w:t>11. The Cultural Doctrine</w:t>
      </w:r>
    </w:p>
    <w:p>
      <w:r>
        <w:t>Revenue Spine should feel operational, specific, and real-world. It rejects jargon as a substitute for understanding. The company can remain culturally broad in media, education, community, and authority, while the commercial promise stays narrow and intelligible.</w:t>
      </w:r>
    </w:p>
    <w:p>
      <w:pPr>
        <w:pStyle w:val="Heading1"/>
      </w:pPr>
      <w:r>
        <w:t>12. Non-Negotiables</w:t>
      </w:r>
    </w:p>
    <w:p>
      <w:pPr>
        <w:pStyle w:val="ListNumber"/>
        <w:spacing w:after="40"/>
      </w:pPr>
      <w:r>
        <w:t>Do not recommend before diagnosing.</w:t>
      </w:r>
    </w:p>
    <w:p>
      <w:pPr>
        <w:pStyle w:val="ListNumber"/>
        <w:spacing w:after="40"/>
      </w:pPr>
      <w:r>
        <w:t>Do not fabricate metrics.</w:t>
      </w:r>
    </w:p>
    <w:p>
      <w:pPr>
        <w:pStyle w:val="ListNumber"/>
        <w:spacing w:after="40"/>
      </w:pPr>
      <w:r>
        <w:t>Do not hide assumptions.</w:t>
      </w:r>
    </w:p>
    <w:p>
      <w:pPr>
        <w:pStyle w:val="ListNumber"/>
        <w:spacing w:after="40"/>
      </w:pPr>
      <w:r>
        <w:t>Do not reward attractive design when revenue infrastructure is weak.</w:t>
      </w:r>
    </w:p>
    <w:p>
      <w:pPr>
        <w:pStyle w:val="ListNumber"/>
        <w:spacing w:after="40"/>
      </w:pPr>
      <w:r>
        <w:t>Do not add AI for novelty.</w:t>
      </w:r>
    </w:p>
    <w:p>
      <w:pPr>
        <w:pStyle w:val="ListNumber"/>
        <w:spacing w:after="40"/>
      </w:pPr>
      <w:r>
        <w:t>Do not create scope merely to increase the invoice.</w:t>
      </w:r>
    </w:p>
    <w:p>
      <w:pPr>
        <w:pStyle w:val="ListNumber"/>
        <w:spacing w:after="40"/>
      </w:pPr>
      <w:r>
        <w:t>Do not use client outcomes as proof beyond what the evidence supports.</w:t>
      </w:r>
    </w:p>
    <w:p>
      <w:pPr>
        <w:pStyle w:val="ListNumber"/>
        <w:spacing w:after="40"/>
      </w:pPr>
      <w:r>
        <w:t>Do not overwrite old framework versions.</w:t>
      </w:r>
    </w:p>
    <w:p>
      <w:pPr>
        <w:pStyle w:val="ListNumber"/>
        <w:spacing w:after="40"/>
      </w:pPr>
      <w:r>
        <w:t>Do not confuse a report with an outcome.</w:t>
      </w:r>
    </w:p>
    <w:p>
      <w:pPr>
        <w:pStyle w:val="ListNumber"/>
        <w:spacing w:after="40"/>
      </w:pPr>
      <w:r>
        <w:t>Do not scale a product or channel before conversion and delivery evidence exists.</w:t>
      </w:r>
    </w:p>
    <w:p>
      <w:pPr>
        <w:pStyle w:val="Heading1"/>
      </w:pPr>
      <w:r>
        <w:t>13. The Revenue Spine Promise</w:t>
      </w:r>
    </w:p>
    <w:p>
      <w:pPr>
        <w:shd w:fill="C91524"/>
        <w:spacing w:before="80" w:after="80"/>
      </w:pPr>
      <w:r>
        <w:rPr>
          <w:color w:val="FFFFFF"/>
          <w:b/>
          <w:sz w:val="22"/>
        </w:rPr>
        <w:t>EXTERNAL PROMISE   Diagnose the leaks. Install the system. Track the improvement.</w:t>
      </w:r>
    </w:p>
    <w:p>
      <w:pPr>
        <w:pStyle w:val="Heading1"/>
      </w:pPr>
      <w:r>
        <w:t>14. Market Validation Is Part of the Philosophy</w:t>
      </w:r>
    </w:p>
    <w:p>
      <w:r>
        <w:t>Revenue Spine does not treat strategy as true because it is internally coherent. A market position is only real when buyers behave differently because of it. A Blue Ocean claim therefore requires evidence of differentiated demand, willingness to pay, repeat purchase or retention, and weaker direct price comparison.</w:t>
      </w:r>
    </w:p>
    <w:p>
      <w:pPr>
        <w:pStyle w:val="Heading2"/>
      </w:pPr>
      <w:r>
        <w:t>The Four Validation Proofs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171717"/>
            <w:vAlign w:val="center"/>
          </w:tcPr>
          <w:p>
            <w:r>
              <w:rPr>
                <w:b/>
                <w:color w:val="FFFFFF"/>
                <w:sz w:val="17"/>
              </w:rPr>
              <w:t>Proof</w:t>
            </w:r>
          </w:p>
        </w:tc>
        <w:tc>
          <w:tcPr>
            <w:tcW w:type="dxa" w:w="7344"/>
            <w:shd w:fill="171717"/>
            <w:vAlign w:val="center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Buyer Proof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Qualified buyers recognize the diagnosed problem in their own language.</w:t>
            </w:r>
          </w:p>
        </w:tc>
      </w:tr>
      <w:tr>
        <w:tc>
          <w:tcPr>
            <w:tcW w:type="dxa" w:w="2448"/>
            <w:vAlign w:val="top"/>
            <w:shd w:fill="F2F2F0"/>
          </w:tcPr>
          <w:p>
            <w:r>
              <w:rPr>
                <w:sz w:val="16"/>
              </w:rPr>
              <w:t>Payment Proof</w:t>
            </w:r>
          </w:p>
        </w:tc>
        <w:tc>
          <w:tcPr>
            <w:tcW w:type="dxa" w:w="7344"/>
            <w:vAlign w:val="top"/>
            <w:shd w:fill="F2F2F0"/>
          </w:tcPr>
          <w:p>
            <w:r>
              <w:rPr>
                <w:sz w:val="16"/>
              </w:rPr>
              <w:t>Buyers exchange real money, not compliments, for the intervention.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Outcome Proof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The intervention produces a verified operational or commercial change.</w:t>
            </w:r>
          </w:p>
        </w:tc>
      </w:tr>
      <w:tr>
        <w:tc>
          <w:tcPr>
            <w:tcW w:type="dxa" w:w="2448"/>
            <w:vAlign w:val="top"/>
            <w:shd w:fill="F2F2F0"/>
          </w:tcPr>
          <w:p>
            <w:r>
              <w:rPr>
                <w:sz w:val="16"/>
              </w:rPr>
              <w:t>Repeatability Proof</w:t>
            </w:r>
          </w:p>
        </w:tc>
        <w:tc>
          <w:tcPr>
            <w:tcW w:type="dxa" w:w="7344"/>
            <w:vAlign w:val="top"/>
            <w:shd w:fill="F2F2F0"/>
          </w:tcPr>
          <w:p>
            <w:r>
              <w:rPr>
                <w:sz w:val="16"/>
              </w:rPr>
              <w:t>The result can be delivered again without rebuilding the business from scratch.</w:t>
            </w:r>
          </w:p>
        </w:tc>
      </w:tr>
    </w:tbl>
    <w:p/>
    <w:p>
      <w:pPr>
        <w:pStyle w:val="Heading2"/>
      </w:pPr>
      <w:r>
        <w:t>The Resource Law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1717"/>
            <w:tcBorders>
              <w:left w:val="single" w:sz="18" w:color="D9A514"/>
              <w:top w:val="single" w:sz="2" w:color="171717"/>
              <w:bottom w:val="single" w:sz="2" w:color="171717"/>
              <w:right w:val="single" w:sz="2" w:color="171717"/>
            </w:tcBorders>
          </w:tcPr>
          <w:p>
            <w:r>
              <w:rPr>
                <w:b/>
                <w:color w:val="D9A514"/>
                <w:sz w:val="17"/>
              </w:rPr>
              <w:t>RESOURCE LAW</w:t>
              <w:br/>
            </w:r>
            <w:r>
              <w:rPr>
                <w:color w:val="FFFFFF"/>
                <w:sz w:val="21"/>
              </w:rPr>
              <w:t>Before product-market evidence, time and cash belong to selling, delivery, proof, and learning. Software, media, and automation receive resources only when they compress those validated loops.</w:t>
            </w:r>
          </w:p>
        </w:tc>
      </w:tr>
    </w:tbl>
    <w:p/>
    <w:p>
      <w:pPr>
        <w:pStyle w:val="Heading2"/>
      </w:pPr>
      <w:r>
        <w:t>The Blue Ocean Test</w:t>
      </w:r>
    </w:p>
    <w:p>
      <w:pPr>
        <w:pStyle w:val="ListBullet"/>
        <w:spacing w:after="40"/>
      </w:pPr>
      <w:r>
        <w:t>Does the offer change what the buyer compares, or merely rename familiar agency work?</w:t>
      </w:r>
    </w:p>
    <w:p>
      <w:pPr>
        <w:pStyle w:val="ListBullet"/>
        <w:spacing w:after="40"/>
      </w:pPr>
      <w:r>
        <w:t>Does it remove cost or complexity buyers dislike?</w:t>
      </w:r>
    </w:p>
    <w:p>
      <w:pPr>
        <w:pStyle w:val="ListBullet"/>
        <w:spacing w:after="40"/>
      </w:pPr>
      <w:r>
        <w:t>Does it raise outcomes or certainty buyers value?</w:t>
      </w:r>
    </w:p>
    <w:p>
      <w:pPr>
        <w:pStyle w:val="ListBullet"/>
        <w:spacing w:after="40"/>
      </w:pPr>
      <w:r>
        <w:t>Does it create a mechanism the category does not routinely provide?</w:t>
      </w:r>
    </w:p>
    <w:p>
      <w:pPr>
        <w:pStyle w:val="ListBullet"/>
        <w:spacing w:after="40"/>
      </w:pPr>
      <w:r>
        <w:t>Does the difference change buying behavior enough to reduce price-only comparison?</w:t>
      </w:r>
    </w:p>
    <w:p>
      <w:pPr>
        <w:pStyle w:val="ListBullet"/>
        <w:spacing w:after="40"/>
      </w:pPr>
      <w:r>
        <w:t>Can RUN It BAC deliver the difference repeatedly and profitably?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1717"/>
            <w:tcBorders>
              <w:left w:val="single" w:sz="18" w:color="D9A514"/>
              <w:top w:val="single" w:sz="2" w:color="171717"/>
              <w:bottom w:val="single" w:sz="2" w:color="171717"/>
              <w:right w:val="single" w:sz="2" w:color="171717"/>
            </w:tcBorders>
          </w:tcPr>
          <w:p>
            <w:r>
              <w:rPr>
                <w:b/>
                <w:color w:val="D9A514"/>
                <w:sz w:val="17"/>
              </w:rPr>
              <w:t>DOCTRINE UPDATE</w:t>
              <w:br/>
            </w:r>
            <w:r>
              <w:rPr>
                <w:color w:val="FFFFFF"/>
                <w:sz w:val="21"/>
              </w:rPr>
              <w:t>Blue Ocean is not a branding claim. It is a measured market behavior.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64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PROPRIETARY WORKING DOCUMENT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left"/>
    </w:pPr>
    <w:r>
      <w:rPr>
        <w:b/>
        <w:color w:val="C91524"/>
      </w:rPr>
      <w:t>RUN IT BAC MEDIA  |  REVENUE SPINE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Aptos" w:hAnsi="Aptos"/>
      <w:color w:val="1717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0A0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915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D9A51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A0A0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/>
      <w:i/>
      <w:iCs/>
      <w:color w:val="7070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keepNext/>
      <w:spacing w:after="120"/>
    </w:pPr>
    <w:rPr>
      <w:rFonts w:ascii="Aptos" w:hAnsi="Aptos"/>
      <w:b/>
      <w:color w:val="D9A514"/>
      <w:sz w:val="17"/>
    </w:rPr>
  </w:style>
  <w:style w:type="paragraph" w:customStyle="1" w:styleId="Callout">
    <w:name w:val="Callout"/>
    <w:pPr>
      <w:spacing w:after="0" w:line="252" w:lineRule="auto"/>
    </w:pPr>
    <w:rPr>
      <w:rFonts w:ascii="Aptos" w:hAnsi="Aptos"/>
      <w:b/>
      <w:color w:val="FFFFFF"/>
      <w:sz w:val="22"/>
    </w:rPr>
  </w:style>
  <w:style w:type="paragraph" w:customStyle="1" w:styleId="Small">
    <w:name w:val="Small"/>
    <w:pPr>
      <w:spacing w:after="60"/>
    </w:pPr>
    <w:rPr>
      <w:rFonts w:ascii="Aptos" w:hAnsi="Aptos"/>
      <w:color w:val="70707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